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5C3B" w:rsidRDefault="00B25C3B" w:rsidP="00B25C3B">
      <w:r>
        <w:rPr>
          <w:rFonts w:ascii="Arial" w:hAnsi="Arial" w:cs="Arial"/>
          <w:b/>
          <w:bCs/>
          <w:color w:val="1F497D"/>
          <w:rtl/>
        </w:rPr>
        <w:t>בינוי ומעבר 2014-2016:</w:t>
      </w:r>
    </w:p>
    <w:tbl>
      <w:tblPr>
        <w:bidiVisual/>
        <w:tblW w:w="0" w:type="auto"/>
        <w:tblCellMar>
          <w:left w:w="0" w:type="dxa"/>
          <w:right w:w="0" w:type="dxa"/>
        </w:tblCellMar>
        <w:tblLook w:val="04A0" w:firstRow="1" w:lastRow="0" w:firstColumn="1" w:lastColumn="0" w:noHBand="0" w:noVBand="1"/>
      </w:tblPr>
      <w:tblGrid>
        <w:gridCol w:w="1295"/>
        <w:gridCol w:w="1230"/>
        <w:gridCol w:w="792"/>
        <w:gridCol w:w="832"/>
        <w:gridCol w:w="1093"/>
        <w:gridCol w:w="1613"/>
        <w:gridCol w:w="1451"/>
      </w:tblGrid>
      <w:tr w:rsidR="00B25C3B" w:rsidTr="00B25C3B">
        <w:trPr>
          <w:trHeight w:val="471"/>
        </w:trPr>
        <w:tc>
          <w:tcPr>
            <w:tcW w:w="1771" w:type="dxa"/>
            <w:tcBorders>
              <w:top w:val="single" w:sz="8" w:space="0" w:color="4F81BD"/>
              <w:left w:val="nil"/>
              <w:bottom w:val="single" w:sz="8" w:space="0" w:color="4F81BD"/>
              <w:right w:val="nil"/>
            </w:tcBorders>
            <w:tcMar>
              <w:top w:w="0" w:type="dxa"/>
              <w:left w:w="108" w:type="dxa"/>
              <w:bottom w:w="0" w:type="dxa"/>
              <w:right w:w="108" w:type="dxa"/>
            </w:tcMar>
            <w:hideMark/>
          </w:tcPr>
          <w:p w:rsidR="00B25C3B" w:rsidRDefault="00B25C3B">
            <w:pPr>
              <w:rPr>
                <w:rFonts w:hint="cs"/>
                <w:rtl/>
              </w:rPr>
            </w:pPr>
            <w:r>
              <w:rPr>
                <w:rFonts w:ascii="Arial" w:hAnsi="Arial" w:cs="Arial"/>
                <w:b/>
                <w:bCs/>
                <w:color w:val="1F497D"/>
                <w:sz w:val="20"/>
                <w:szCs w:val="20"/>
                <w:rtl/>
              </w:rPr>
              <w:t>סעיף</w:t>
            </w:r>
          </w:p>
        </w:tc>
        <w:tc>
          <w:tcPr>
            <w:tcW w:w="1449" w:type="dxa"/>
            <w:tcBorders>
              <w:top w:val="single" w:sz="8" w:space="0" w:color="4F81BD"/>
              <w:left w:val="nil"/>
              <w:bottom w:val="single" w:sz="8" w:space="0" w:color="4F81BD"/>
              <w:right w:val="nil"/>
            </w:tcBorders>
            <w:tcMar>
              <w:top w:w="0" w:type="dxa"/>
              <w:left w:w="108" w:type="dxa"/>
              <w:bottom w:w="0" w:type="dxa"/>
              <w:right w:w="108" w:type="dxa"/>
            </w:tcMar>
            <w:hideMark/>
          </w:tcPr>
          <w:p w:rsidR="00B25C3B" w:rsidRDefault="00B25C3B">
            <w:pPr>
              <w:rPr>
                <w:rFonts w:hint="cs"/>
                <w:rtl/>
              </w:rPr>
            </w:pPr>
            <w:r>
              <w:rPr>
                <w:rFonts w:ascii="Arial" w:hAnsi="Arial" w:cs="Arial"/>
                <w:b/>
                <w:bCs/>
                <w:color w:val="1F497D"/>
                <w:sz w:val="20"/>
                <w:szCs w:val="20"/>
                <w:rtl/>
              </w:rPr>
              <w:t>סכום שהוקצה (</w:t>
            </w:r>
            <w:proofErr w:type="spellStart"/>
            <w:r>
              <w:rPr>
                <w:rFonts w:ascii="Arial" w:hAnsi="Arial" w:cs="Arial"/>
                <w:b/>
                <w:bCs/>
                <w:color w:val="1F497D"/>
                <w:sz w:val="20"/>
                <w:szCs w:val="20"/>
                <w:rtl/>
              </w:rPr>
              <w:t>מלש"ח</w:t>
            </w:r>
            <w:proofErr w:type="spellEnd"/>
            <w:r>
              <w:rPr>
                <w:rFonts w:ascii="Arial" w:hAnsi="Arial" w:cs="Arial"/>
                <w:b/>
                <w:bCs/>
                <w:color w:val="1F497D"/>
                <w:sz w:val="20"/>
                <w:szCs w:val="20"/>
                <w:rtl/>
              </w:rPr>
              <w:t>)</w:t>
            </w:r>
          </w:p>
        </w:tc>
        <w:tc>
          <w:tcPr>
            <w:tcW w:w="803" w:type="dxa"/>
            <w:tcBorders>
              <w:top w:val="single" w:sz="8" w:space="0" w:color="4F81BD"/>
              <w:left w:val="nil"/>
              <w:bottom w:val="single" w:sz="8" w:space="0" w:color="4F81BD"/>
              <w:right w:val="nil"/>
            </w:tcBorders>
            <w:tcMar>
              <w:top w:w="0" w:type="dxa"/>
              <w:left w:w="108" w:type="dxa"/>
              <w:bottom w:w="0" w:type="dxa"/>
              <w:right w:w="108" w:type="dxa"/>
            </w:tcMar>
            <w:hideMark/>
          </w:tcPr>
          <w:p w:rsidR="00B25C3B" w:rsidRDefault="00B25C3B">
            <w:pPr>
              <w:rPr>
                <w:rFonts w:hint="cs"/>
                <w:rtl/>
              </w:rPr>
            </w:pPr>
            <w:r>
              <w:rPr>
                <w:rFonts w:ascii="Arial" w:hAnsi="Arial" w:cs="Arial"/>
                <w:b/>
                <w:bCs/>
                <w:color w:val="1F497D"/>
                <w:sz w:val="20"/>
                <w:szCs w:val="20"/>
                <w:rtl/>
              </w:rPr>
              <w:t>מספר בקשות</w:t>
            </w:r>
          </w:p>
        </w:tc>
        <w:tc>
          <w:tcPr>
            <w:tcW w:w="936" w:type="dxa"/>
            <w:tcBorders>
              <w:top w:val="single" w:sz="8" w:space="0" w:color="4F81BD"/>
              <w:left w:val="nil"/>
              <w:bottom w:val="single" w:sz="8" w:space="0" w:color="4F81BD"/>
              <w:right w:val="nil"/>
            </w:tcBorders>
            <w:tcMar>
              <w:top w:w="0" w:type="dxa"/>
              <w:left w:w="108" w:type="dxa"/>
              <w:bottom w:w="0" w:type="dxa"/>
              <w:right w:w="108" w:type="dxa"/>
            </w:tcMar>
            <w:hideMark/>
          </w:tcPr>
          <w:p w:rsidR="00B25C3B" w:rsidRDefault="00B25C3B">
            <w:pPr>
              <w:rPr>
                <w:rFonts w:hint="cs"/>
                <w:rtl/>
              </w:rPr>
            </w:pPr>
            <w:r>
              <w:rPr>
                <w:rFonts w:ascii="Arial" w:hAnsi="Arial" w:cs="Arial"/>
                <w:b/>
                <w:bCs/>
                <w:color w:val="1F497D"/>
                <w:sz w:val="20"/>
                <w:szCs w:val="20"/>
                <w:rtl/>
              </w:rPr>
              <w:t>מספר כיתות</w:t>
            </w:r>
          </w:p>
        </w:tc>
        <w:tc>
          <w:tcPr>
            <w:tcW w:w="1332" w:type="dxa"/>
            <w:tcBorders>
              <w:top w:val="single" w:sz="8" w:space="0" w:color="4F81BD"/>
              <w:left w:val="nil"/>
              <w:bottom w:val="single" w:sz="8" w:space="0" w:color="4F81BD"/>
              <w:right w:val="nil"/>
            </w:tcBorders>
            <w:tcMar>
              <w:top w:w="0" w:type="dxa"/>
              <w:left w:w="108" w:type="dxa"/>
              <w:bottom w:w="0" w:type="dxa"/>
              <w:right w:w="108" w:type="dxa"/>
            </w:tcMar>
            <w:hideMark/>
          </w:tcPr>
          <w:p w:rsidR="00B25C3B" w:rsidRDefault="00B25C3B">
            <w:pPr>
              <w:rPr>
                <w:rFonts w:hint="cs"/>
                <w:rtl/>
              </w:rPr>
            </w:pPr>
            <w:r>
              <w:rPr>
                <w:rFonts w:ascii="Arial" w:hAnsi="Arial" w:cs="Arial"/>
                <w:b/>
                <w:bCs/>
                <w:color w:val="1F497D"/>
                <w:sz w:val="20"/>
                <w:szCs w:val="20"/>
                <w:rtl/>
              </w:rPr>
              <w:t>מעונות שנבנו וקיבלו סמל</w:t>
            </w:r>
          </w:p>
        </w:tc>
        <w:tc>
          <w:tcPr>
            <w:tcW w:w="2212" w:type="dxa"/>
            <w:tcBorders>
              <w:top w:val="single" w:sz="8" w:space="0" w:color="4F81BD"/>
              <w:left w:val="nil"/>
              <w:bottom w:val="single" w:sz="8" w:space="0" w:color="4F81BD"/>
              <w:right w:val="nil"/>
            </w:tcBorders>
            <w:tcMar>
              <w:top w:w="0" w:type="dxa"/>
              <w:left w:w="108" w:type="dxa"/>
              <w:bottom w:w="0" w:type="dxa"/>
              <w:right w:w="108" w:type="dxa"/>
            </w:tcMar>
            <w:hideMark/>
          </w:tcPr>
          <w:p w:rsidR="00B25C3B" w:rsidRDefault="00B25C3B">
            <w:pPr>
              <w:rPr>
                <w:rFonts w:hint="cs"/>
                <w:rtl/>
              </w:rPr>
            </w:pPr>
            <w:r>
              <w:rPr>
                <w:rFonts w:ascii="Arial" w:hAnsi="Arial" w:cs="Arial"/>
                <w:b/>
                <w:bCs/>
                <w:color w:val="1F497D"/>
                <w:sz w:val="20"/>
                <w:szCs w:val="20"/>
                <w:rtl/>
              </w:rPr>
              <w:t xml:space="preserve">בקשות שבוטלו </w:t>
            </w:r>
          </w:p>
          <w:p w:rsidR="00B25C3B" w:rsidRDefault="00B25C3B">
            <w:pPr>
              <w:rPr>
                <w:rFonts w:hint="cs"/>
                <w:rtl/>
              </w:rPr>
            </w:pPr>
            <w:r>
              <w:rPr>
                <w:rFonts w:ascii="Arial" w:hAnsi="Arial" w:cs="Arial"/>
                <w:b/>
                <w:bCs/>
                <w:color w:val="1F497D"/>
                <w:sz w:val="20"/>
                <w:szCs w:val="20"/>
                <w:rtl/>
              </w:rPr>
              <w:t>(אי הגשת חוזה עם קבלן)</w:t>
            </w:r>
          </w:p>
        </w:tc>
        <w:tc>
          <w:tcPr>
            <w:tcW w:w="2126" w:type="dxa"/>
            <w:tcBorders>
              <w:top w:val="single" w:sz="8" w:space="0" w:color="4F81BD"/>
              <w:left w:val="nil"/>
              <w:bottom w:val="single" w:sz="8" w:space="0" w:color="4F81BD"/>
              <w:right w:val="nil"/>
            </w:tcBorders>
            <w:hideMark/>
          </w:tcPr>
          <w:p w:rsidR="00B25C3B" w:rsidRDefault="00B25C3B">
            <w:pPr>
              <w:rPr>
                <w:rFonts w:hint="cs"/>
                <w:rtl/>
              </w:rPr>
            </w:pPr>
            <w:r>
              <w:rPr>
                <w:rFonts w:ascii="Arial" w:hAnsi="Arial" w:cs="Arial"/>
                <w:b/>
                <w:bCs/>
                <w:color w:val="1F497D"/>
                <w:sz w:val="20"/>
                <w:szCs w:val="20"/>
                <w:rtl/>
              </w:rPr>
              <w:t xml:space="preserve">סכום שבוטל </w:t>
            </w:r>
          </w:p>
          <w:p w:rsidR="00B25C3B" w:rsidRDefault="00B25C3B">
            <w:pPr>
              <w:rPr>
                <w:rFonts w:hint="cs"/>
                <w:rtl/>
              </w:rPr>
            </w:pPr>
            <w:r>
              <w:rPr>
                <w:rFonts w:ascii="Arial" w:hAnsi="Arial" w:cs="Arial"/>
                <w:b/>
                <w:bCs/>
                <w:color w:val="1F497D"/>
                <w:sz w:val="20"/>
                <w:szCs w:val="20"/>
                <w:rtl/>
              </w:rPr>
              <w:t>(אי הגשת חוזה עם קבלן)</w:t>
            </w:r>
          </w:p>
        </w:tc>
      </w:tr>
      <w:tr w:rsidR="00B25C3B" w:rsidTr="00B25C3B">
        <w:trPr>
          <w:trHeight w:val="60"/>
        </w:trPr>
        <w:tc>
          <w:tcPr>
            <w:tcW w:w="1771" w:type="dxa"/>
            <w:shd w:val="clear" w:color="auto" w:fill="D3DFEE"/>
            <w:tcMar>
              <w:top w:w="0" w:type="dxa"/>
              <w:left w:w="108" w:type="dxa"/>
              <w:bottom w:w="0" w:type="dxa"/>
              <w:right w:w="108" w:type="dxa"/>
            </w:tcMar>
            <w:hideMark/>
          </w:tcPr>
          <w:p w:rsidR="00B25C3B" w:rsidRDefault="00B25C3B">
            <w:pPr>
              <w:rPr>
                <w:rFonts w:hint="cs"/>
                <w:rtl/>
              </w:rPr>
            </w:pPr>
            <w:r>
              <w:rPr>
                <w:rFonts w:ascii="Arial" w:hAnsi="Arial" w:cs="Arial"/>
                <w:b/>
                <w:bCs/>
                <w:color w:val="1F497D"/>
                <w:sz w:val="20"/>
                <w:szCs w:val="20"/>
                <w:rtl/>
              </w:rPr>
              <w:t>סה"כ</w:t>
            </w:r>
          </w:p>
        </w:tc>
        <w:tc>
          <w:tcPr>
            <w:tcW w:w="1449" w:type="dxa"/>
            <w:shd w:val="clear" w:color="auto" w:fill="D3DFEE"/>
            <w:tcMar>
              <w:top w:w="0" w:type="dxa"/>
              <w:left w:w="108" w:type="dxa"/>
              <w:bottom w:w="0" w:type="dxa"/>
              <w:right w:w="108" w:type="dxa"/>
            </w:tcMar>
            <w:hideMark/>
          </w:tcPr>
          <w:p w:rsidR="00B25C3B" w:rsidRDefault="00B25C3B">
            <w:pPr>
              <w:rPr>
                <w:rFonts w:hint="cs"/>
                <w:rtl/>
              </w:rPr>
            </w:pPr>
            <w:r>
              <w:rPr>
                <w:rFonts w:ascii="Arial" w:hAnsi="Arial" w:cs="Arial"/>
                <w:color w:val="1F497D"/>
                <w:sz w:val="20"/>
                <w:szCs w:val="20"/>
                <w:rtl/>
              </w:rPr>
              <w:t>910</w:t>
            </w:r>
          </w:p>
        </w:tc>
        <w:tc>
          <w:tcPr>
            <w:tcW w:w="803" w:type="dxa"/>
            <w:shd w:val="clear" w:color="auto" w:fill="D3DFEE"/>
            <w:tcMar>
              <w:top w:w="0" w:type="dxa"/>
              <w:left w:w="108" w:type="dxa"/>
              <w:bottom w:w="0" w:type="dxa"/>
              <w:right w:w="108" w:type="dxa"/>
            </w:tcMar>
            <w:hideMark/>
          </w:tcPr>
          <w:p w:rsidR="00B25C3B" w:rsidRDefault="00B25C3B">
            <w:pPr>
              <w:rPr>
                <w:rFonts w:hint="cs"/>
                <w:rtl/>
              </w:rPr>
            </w:pPr>
            <w:r>
              <w:rPr>
                <w:rFonts w:ascii="Arial" w:hAnsi="Arial" w:cs="Arial"/>
                <w:color w:val="1F497D"/>
                <w:sz w:val="20"/>
                <w:szCs w:val="20"/>
                <w:rtl/>
              </w:rPr>
              <w:t>309</w:t>
            </w:r>
          </w:p>
        </w:tc>
        <w:tc>
          <w:tcPr>
            <w:tcW w:w="936" w:type="dxa"/>
            <w:shd w:val="clear" w:color="auto" w:fill="D3DFEE"/>
            <w:tcMar>
              <w:top w:w="0" w:type="dxa"/>
              <w:left w:w="108" w:type="dxa"/>
              <w:bottom w:w="0" w:type="dxa"/>
              <w:right w:w="108" w:type="dxa"/>
            </w:tcMar>
            <w:hideMark/>
          </w:tcPr>
          <w:p w:rsidR="00B25C3B" w:rsidRDefault="00B25C3B">
            <w:pPr>
              <w:rPr>
                <w:rFonts w:hint="cs"/>
                <w:rtl/>
              </w:rPr>
            </w:pPr>
            <w:r>
              <w:rPr>
                <w:rFonts w:ascii="Arial" w:hAnsi="Arial" w:cs="Arial"/>
                <w:color w:val="1F497D"/>
                <w:sz w:val="20"/>
                <w:szCs w:val="20"/>
                <w:rtl/>
              </w:rPr>
              <w:t>924</w:t>
            </w:r>
          </w:p>
        </w:tc>
        <w:tc>
          <w:tcPr>
            <w:tcW w:w="1332" w:type="dxa"/>
            <w:shd w:val="clear" w:color="auto" w:fill="D3DFEE"/>
            <w:tcMar>
              <w:top w:w="0" w:type="dxa"/>
              <w:left w:w="108" w:type="dxa"/>
              <w:bottom w:w="0" w:type="dxa"/>
              <w:right w:w="108" w:type="dxa"/>
            </w:tcMar>
            <w:hideMark/>
          </w:tcPr>
          <w:p w:rsidR="00B25C3B" w:rsidRDefault="00B25C3B">
            <w:pPr>
              <w:rPr>
                <w:rFonts w:hint="cs"/>
                <w:rtl/>
              </w:rPr>
            </w:pPr>
            <w:r>
              <w:rPr>
                <w:rFonts w:ascii="Arial" w:hAnsi="Arial" w:cs="Arial"/>
                <w:color w:val="1F497D"/>
                <w:sz w:val="20"/>
                <w:szCs w:val="20"/>
                <w:rtl/>
              </w:rPr>
              <w:t>110</w:t>
            </w:r>
          </w:p>
        </w:tc>
        <w:tc>
          <w:tcPr>
            <w:tcW w:w="2212" w:type="dxa"/>
            <w:shd w:val="clear" w:color="auto" w:fill="D3DFEE"/>
            <w:tcMar>
              <w:top w:w="0" w:type="dxa"/>
              <w:left w:w="108" w:type="dxa"/>
              <w:bottom w:w="0" w:type="dxa"/>
              <w:right w:w="108" w:type="dxa"/>
            </w:tcMar>
            <w:hideMark/>
          </w:tcPr>
          <w:p w:rsidR="00B25C3B" w:rsidRDefault="00B25C3B">
            <w:pPr>
              <w:rPr>
                <w:rFonts w:hint="cs"/>
                <w:rtl/>
              </w:rPr>
            </w:pPr>
            <w:r>
              <w:rPr>
                <w:rFonts w:ascii="Arial" w:hAnsi="Arial" w:cs="Arial"/>
                <w:color w:val="1F497D"/>
                <w:sz w:val="20"/>
                <w:szCs w:val="20"/>
                <w:rtl/>
              </w:rPr>
              <w:t xml:space="preserve">38 </w:t>
            </w:r>
          </w:p>
        </w:tc>
        <w:tc>
          <w:tcPr>
            <w:tcW w:w="2126" w:type="dxa"/>
            <w:shd w:val="clear" w:color="auto" w:fill="D3DFEE"/>
            <w:hideMark/>
          </w:tcPr>
          <w:p w:rsidR="00B25C3B" w:rsidRDefault="00B25C3B">
            <w:pPr>
              <w:rPr>
                <w:rFonts w:hint="cs"/>
                <w:rtl/>
              </w:rPr>
            </w:pPr>
            <w:r>
              <w:rPr>
                <w:rFonts w:ascii="Arial" w:hAnsi="Arial" w:cs="Arial"/>
                <w:color w:val="1F497D"/>
                <w:sz w:val="20"/>
                <w:szCs w:val="20"/>
                <w:rtl/>
              </w:rPr>
              <w:t xml:space="preserve">110 </w:t>
            </w:r>
            <w:proofErr w:type="spellStart"/>
            <w:r>
              <w:rPr>
                <w:rFonts w:ascii="Arial" w:hAnsi="Arial" w:cs="Arial"/>
                <w:color w:val="1F497D"/>
                <w:sz w:val="20"/>
                <w:szCs w:val="20"/>
                <w:rtl/>
              </w:rPr>
              <w:t>מלש"ח</w:t>
            </w:r>
            <w:proofErr w:type="spellEnd"/>
          </w:p>
        </w:tc>
      </w:tr>
      <w:tr w:rsidR="00B25C3B" w:rsidTr="00B25C3B">
        <w:tc>
          <w:tcPr>
            <w:tcW w:w="1771" w:type="dxa"/>
            <w:tcBorders>
              <w:top w:val="nil"/>
              <w:left w:val="nil"/>
              <w:bottom w:val="single" w:sz="8" w:space="0" w:color="4F81BD"/>
              <w:right w:val="nil"/>
            </w:tcBorders>
            <w:tcMar>
              <w:top w:w="0" w:type="dxa"/>
              <w:left w:w="108" w:type="dxa"/>
              <w:bottom w:w="0" w:type="dxa"/>
              <w:right w:w="108" w:type="dxa"/>
            </w:tcMar>
            <w:hideMark/>
          </w:tcPr>
          <w:p w:rsidR="00B25C3B" w:rsidRDefault="00B25C3B">
            <w:pPr>
              <w:rPr>
                <w:rFonts w:hint="cs"/>
                <w:rtl/>
              </w:rPr>
            </w:pPr>
            <w:r>
              <w:rPr>
                <w:rFonts w:ascii="Arial" w:hAnsi="Arial" w:cs="Arial"/>
                <w:b/>
                <w:bCs/>
                <w:color w:val="1F497D"/>
                <w:sz w:val="20"/>
                <w:szCs w:val="20"/>
                <w:rtl/>
              </w:rPr>
              <w:t>מזה לא יהודי</w:t>
            </w:r>
          </w:p>
        </w:tc>
        <w:tc>
          <w:tcPr>
            <w:tcW w:w="1449" w:type="dxa"/>
            <w:tcBorders>
              <w:top w:val="nil"/>
              <w:left w:val="nil"/>
              <w:bottom w:val="single" w:sz="8" w:space="0" w:color="4F81BD"/>
              <w:right w:val="nil"/>
            </w:tcBorders>
            <w:tcMar>
              <w:top w:w="0" w:type="dxa"/>
              <w:left w:w="108" w:type="dxa"/>
              <w:bottom w:w="0" w:type="dxa"/>
              <w:right w:w="108" w:type="dxa"/>
            </w:tcMar>
            <w:hideMark/>
          </w:tcPr>
          <w:p w:rsidR="00B25C3B" w:rsidRDefault="00B25C3B">
            <w:pPr>
              <w:rPr>
                <w:rFonts w:hint="cs"/>
                <w:rtl/>
              </w:rPr>
            </w:pPr>
            <w:r>
              <w:rPr>
                <w:rFonts w:ascii="Arial" w:hAnsi="Arial" w:cs="Arial"/>
                <w:color w:val="1F497D"/>
                <w:sz w:val="20"/>
                <w:szCs w:val="20"/>
                <w:rtl/>
              </w:rPr>
              <w:t xml:space="preserve">193 </w:t>
            </w:r>
            <w:r>
              <w:rPr>
                <w:rFonts w:ascii="Arial" w:hAnsi="Arial" w:cs="Arial"/>
                <w:b/>
                <w:bCs/>
                <w:color w:val="1F497D"/>
                <w:sz w:val="16"/>
                <w:szCs w:val="16"/>
                <w:rtl/>
              </w:rPr>
              <w:t>(21%)</w:t>
            </w:r>
          </w:p>
        </w:tc>
        <w:tc>
          <w:tcPr>
            <w:tcW w:w="803" w:type="dxa"/>
            <w:tcBorders>
              <w:top w:val="nil"/>
              <w:left w:val="nil"/>
              <w:bottom w:val="single" w:sz="8" w:space="0" w:color="4F81BD"/>
              <w:right w:val="nil"/>
            </w:tcBorders>
            <w:tcMar>
              <w:top w:w="0" w:type="dxa"/>
              <w:left w:w="108" w:type="dxa"/>
              <w:bottom w:w="0" w:type="dxa"/>
              <w:right w:w="108" w:type="dxa"/>
            </w:tcMar>
            <w:hideMark/>
          </w:tcPr>
          <w:p w:rsidR="00B25C3B" w:rsidRDefault="00B25C3B">
            <w:pPr>
              <w:rPr>
                <w:rFonts w:hint="cs"/>
                <w:rtl/>
              </w:rPr>
            </w:pPr>
            <w:r>
              <w:rPr>
                <w:rFonts w:ascii="Arial" w:hAnsi="Arial" w:cs="Arial"/>
                <w:color w:val="1F497D"/>
                <w:sz w:val="20"/>
                <w:szCs w:val="20"/>
                <w:rtl/>
              </w:rPr>
              <w:t>61</w:t>
            </w:r>
          </w:p>
        </w:tc>
        <w:tc>
          <w:tcPr>
            <w:tcW w:w="936" w:type="dxa"/>
            <w:tcBorders>
              <w:top w:val="nil"/>
              <w:left w:val="nil"/>
              <w:bottom w:val="single" w:sz="8" w:space="0" w:color="4F81BD"/>
              <w:right w:val="nil"/>
            </w:tcBorders>
            <w:tcMar>
              <w:top w:w="0" w:type="dxa"/>
              <w:left w:w="108" w:type="dxa"/>
              <w:bottom w:w="0" w:type="dxa"/>
              <w:right w:w="108" w:type="dxa"/>
            </w:tcMar>
            <w:hideMark/>
          </w:tcPr>
          <w:p w:rsidR="00B25C3B" w:rsidRDefault="00B25C3B">
            <w:pPr>
              <w:rPr>
                <w:rFonts w:hint="cs"/>
                <w:rtl/>
              </w:rPr>
            </w:pPr>
            <w:r>
              <w:rPr>
                <w:rFonts w:ascii="Arial" w:hAnsi="Arial" w:cs="Arial"/>
                <w:color w:val="1F497D"/>
                <w:sz w:val="20"/>
                <w:szCs w:val="20"/>
                <w:rtl/>
              </w:rPr>
              <w:t>196</w:t>
            </w:r>
          </w:p>
        </w:tc>
        <w:tc>
          <w:tcPr>
            <w:tcW w:w="1332" w:type="dxa"/>
            <w:tcBorders>
              <w:top w:val="nil"/>
              <w:left w:val="nil"/>
              <w:bottom w:val="single" w:sz="8" w:space="0" w:color="4F81BD"/>
              <w:right w:val="nil"/>
            </w:tcBorders>
            <w:tcMar>
              <w:top w:w="0" w:type="dxa"/>
              <w:left w:w="108" w:type="dxa"/>
              <w:bottom w:w="0" w:type="dxa"/>
              <w:right w:w="108" w:type="dxa"/>
            </w:tcMar>
            <w:hideMark/>
          </w:tcPr>
          <w:p w:rsidR="00B25C3B" w:rsidRDefault="00B25C3B">
            <w:pPr>
              <w:rPr>
                <w:rFonts w:hint="cs"/>
                <w:rtl/>
              </w:rPr>
            </w:pPr>
            <w:r>
              <w:rPr>
                <w:rFonts w:ascii="Arial" w:hAnsi="Arial" w:cs="Arial"/>
                <w:color w:val="1F497D"/>
                <w:sz w:val="20"/>
                <w:szCs w:val="20"/>
                <w:rtl/>
              </w:rPr>
              <w:t>5</w:t>
            </w:r>
          </w:p>
        </w:tc>
        <w:tc>
          <w:tcPr>
            <w:tcW w:w="2212" w:type="dxa"/>
            <w:tcBorders>
              <w:top w:val="nil"/>
              <w:left w:val="nil"/>
              <w:bottom w:val="single" w:sz="8" w:space="0" w:color="4F81BD"/>
              <w:right w:val="nil"/>
            </w:tcBorders>
            <w:tcMar>
              <w:top w:w="0" w:type="dxa"/>
              <w:left w:w="108" w:type="dxa"/>
              <w:bottom w:w="0" w:type="dxa"/>
              <w:right w:w="108" w:type="dxa"/>
            </w:tcMar>
            <w:hideMark/>
          </w:tcPr>
          <w:p w:rsidR="00B25C3B" w:rsidRDefault="00B25C3B">
            <w:pPr>
              <w:rPr>
                <w:rFonts w:hint="cs"/>
                <w:rtl/>
              </w:rPr>
            </w:pPr>
            <w:r>
              <w:rPr>
                <w:rFonts w:ascii="Arial" w:hAnsi="Arial" w:cs="Arial"/>
                <w:color w:val="1F497D"/>
                <w:sz w:val="20"/>
                <w:szCs w:val="20"/>
                <w:rtl/>
              </w:rPr>
              <w:t xml:space="preserve">14 </w:t>
            </w:r>
          </w:p>
        </w:tc>
        <w:tc>
          <w:tcPr>
            <w:tcW w:w="2126" w:type="dxa"/>
            <w:tcBorders>
              <w:top w:val="nil"/>
              <w:left w:val="nil"/>
              <w:bottom w:val="single" w:sz="8" w:space="0" w:color="4F81BD"/>
              <w:right w:val="nil"/>
            </w:tcBorders>
            <w:hideMark/>
          </w:tcPr>
          <w:p w:rsidR="00B25C3B" w:rsidRDefault="00B25C3B">
            <w:pPr>
              <w:rPr>
                <w:rFonts w:hint="cs"/>
                <w:rtl/>
              </w:rPr>
            </w:pPr>
            <w:r>
              <w:rPr>
                <w:rFonts w:ascii="Arial" w:hAnsi="Arial" w:cs="Arial"/>
                <w:color w:val="1F497D"/>
                <w:sz w:val="20"/>
                <w:szCs w:val="20"/>
                <w:rtl/>
              </w:rPr>
              <w:t xml:space="preserve">49 </w:t>
            </w:r>
            <w:proofErr w:type="spellStart"/>
            <w:r>
              <w:rPr>
                <w:rFonts w:ascii="Arial" w:hAnsi="Arial" w:cs="Arial"/>
                <w:color w:val="1F497D"/>
                <w:sz w:val="20"/>
                <w:szCs w:val="20"/>
                <w:rtl/>
              </w:rPr>
              <w:t>מלש"ח</w:t>
            </w:r>
            <w:proofErr w:type="spellEnd"/>
            <w:r>
              <w:rPr>
                <w:rFonts w:ascii="Arial" w:hAnsi="Arial" w:cs="Arial"/>
                <w:b/>
                <w:bCs/>
                <w:color w:val="1F497D"/>
                <w:sz w:val="20"/>
                <w:szCs w:val="20"/>
                <w:rtl/>
              </w:rPr>
              <w:t xml:space="preserve"> </w:t>
            </w:r>
            <w:r>
              <w:rPr>
                <w:rFonts w:ascii="Arial" w:hAnsi="Arial" w:cs="Arial"/>
                <w:b/>
                <w:bCs/>
                <w:color w:val="FF0000"/>
                <w:sz w:val="16"/>
                <w:szCs w:val="16"/>
                <w:rtl/>
              </w:rPr>
              <w:t>(44%)</w:t>
            </w:r>
          </w:p>
        </w:tc>
      </w:tr>
    </w:tbl>
    <w:p w:rsidR="00B25C3B" w:rsidRDefault="00B25C3B" w:rsidP="00B25C3B">
      <w:pPr>
        <w:rPr>
          <w:rFonts w:hint="cs"/>
          <w:rtl/>
        </w:rPr>
      </w:pPr>
      <w:r>
        <w:rPr>
          <w:rFonts w:ascii="Arial" w:hAnsi="Arial" w:cs="Arial"/>
          <w:color w:val="1F497D"/>
        </w:rPr>
        <w:t> </w:t>
      </w:r>
    </w:p>
    <w:p w:rsidR="00B25C3B" w:rsidRDefault="00B25C3B" w:rsidP="00B25C3B">
      <w:pPr>
        <w:rPr>
          <w:rFonts w:hint="cs"/>
          <w:rtl/>
        </w:rPr>
      </w:pPr>
      <w:r>
        <w:rPr>
          <w:rFonts w:ascii="Arial" w:hAnsi="Arial" w:cs="Arial"/>
          <w:b/>
          <w:bCs/>
          <w:color w:val="1F497D"/>
        </w:rPr>
        <w:t> </w:t>
      </w:r>
    </w:p>
    <w:p w:rsidR="00B25C3B" w:rsidRDefault="00B25C3B" w:rsidP="00B25C3B">
      <w:pPr>
        <w:rPr>
          <w:rFonts w:hint="cs"/>
          <w:rtl/>
        </w:rPr>
      </w:pPr>
      <w:r>
        <w:rPr>
          <w:rFonts w:ascii="Arial" w:hAnsi="Arial" w:cs="Arial"/>
          <w:b/>
          <w:bCs/>
          <w:color w:val="1F497D"/>
          <w:rtl/>
        </w:rPr>
        <w:t>בינוי 2017:</w:t>
      </w:r>
    </w:p>
    <w:tbl>
      <w:tblPr>
        <w:bidiVisual/>
        <w:tblW w:w="0" w:type="auto"/>
        <w:tblCellMar>
          <w:left w:w="0" w:type="dxa"/>
          <w:right w:w="0" w:type="dxa"/>
        </w:tblCellMar>
        <w:tblLook w:val="04A0" w:firstRow="1" w:lastRow="0" w:firstColumn="1" w:lastColumn="0" w:noHBand="0" w:noVBand="1"/>
      </w:tblPr>
      <w:tblGrid>
        <w:gridCol w:w="1771"/>
        <w:gridCol w:w="1449"/>
        <w:gridCol w:w="1086"/>
      </w:tblGrid>
      <w:tr w:rsidR="00B25C3B" w:rsidTr="00B25C3B">
        <w:tc>
          <w:tcPr>
            <w:tcW w:w="1771" w:type="dxa"/>
            <w:tcBorders>
              <w:top w:val="single" w:sz="8" w:space="0" w:color="4F81BD"/>
              <w:left w:val="nil"/>
              <w:bottom w:val="single" w:sz="8" w:space="0" w:color="4F81BD"/>
              <w:right w:val="nil"/>
            </w:tcBorders>
            <w:tcMar>
              <w:top w:w="0" w:type="dxa"/>
              <w:left w:w="108" w:type="dxa"/>
              <w:bottom w:w="0" w:type="dxa"/>
              <w:right w:w="108" w:type="dxa"/>
            </w:tcMar>
            <w:hideMark/>
          </w:tcPr>
          <w:p w:rsidR="00B25C3B" w:rsidRDefault="00B25C3B">
            <w:pPr>
              <w:rPr>
                <w:rFonts w:hint="cs"/>
                <w:rtl/>
              </w:rPr>
            </w:pPr>
            <w:r>
              <w:rPr>
                <w:rFonts w:ascii="Arial" w:hAnsi="Arial" w:cs="Arial"/>
                <w:b/>
                <w:bCs/>
                <w:color w:val="1F497D"/>
                <w:sz w:val="20"/>
                <w:szCs w:val="20"/>
                <w:rtl/>
              </w:rPr>
              <w:t>סעיף</w:t>
            </w:r>
          </w:p>
        </w:tc>
        <w:tc>
          <w:tcPr>
            <w:tcW w:w="1449" w:type="dxa"/>
            <w:tcBorders>
              <w:top w:val="single" w:sz="8" w:space="0" w:color="4F81BD"/>
              <w:left w:val="nil"/>
              <w:bottom w:val="single" w:sz="8" w:space="0" w:color="4F81BD"/>
              <w:right w:val="nil"/>
            </w:tcBorders>
            <w:tcMar>
              <w:top w:w="0" w:type="dxa"/>
              <w:left w:w="108" w:type="dxa"/>
              <w:bottom w:w="0" w:type="dxa"/>
              <w:right w:w="108" w:type="dxa"/>
            </w:tcMar>
            <w:hideMark/>
          </w:tcPr>
          <w:p w:rsidR="00B25C3B" w:rsidRDefault="00B25C3B">
            <w:pPr>
              <w:rPr>
                <w:rFonts w:hint="cs"/>
                <w:rtl/>
              </w:rPr>
            </w:pPr>
            <w:r>
              <w:rPr>
                <w:rFonts w:ascii="Arial" w:hAnsi="Arial" w:cs="Arial"/>
                <w:b/>
                <w:bCs/>
                <w:color w:val="1F497D"/>
                <w:sz w:val="20"/>
                <w:szCs w:val="20"/>
                <w:rtl/>
              </w:rPr>
              <w:t>סכום שהוקצה (</w:t>
            </w:r>
            <w:proofErr w:type="spellStart"/>
            <w:r>
              <w:rPr>
                <w:rFonts w:ascii="Arial" w:hAnsi="Arial" w:cs="Arial"/>
                <w:b/>
                <w:bCs/>
                <w:color w:val="1F497D"/>
                <w:sz w:val="20"/>
                <w:szCs w:val="20"/>
                <w:rtl/>
              </w:rPr>
              <w:t>מלש"ח</w:t>
            </w:r>
            <w:proofErr w:type="spellEnd"/>
            <w:r>
              <w:rPr>
                <w:rFonts w:ascii="Arial" w:hAnsi="Arial" w:cs="Arial"/>
                <w:b/>
                <w:bCs/>
                <w:color w:val="1F497D"/>
                <w:sz w:val="20"/>
                <w:szCs w:val="20"/>
                <w:rtl/>
              </w:rPr>
              <w:t>)</w:t>
            </w:r>
          </w:p>
        </w:tc>
        <w:tc>
          <w:tcPr>
            <w:tcW w:w="1086" w:type="dxa"/>
            <w:tcBorders>
              <w:top w:val="single" w:sz="8" w:space="0" w:color="4F81BD"/>
              <w:left w:val="nil"/>
              <w:bottom w:val="single" w:sz="8" w:space="0" w:color="4F81BD"/>
              <w:right w:val="nil"/>
            </w:tcBorders>
            <w:tcMar>
              <w:top w:w="0" w:type="dxa"/>
              <w:left w:w="108" w:type="dxa"/>
              <w:bottom w:w="0" w:type="dxa"/>
              <w:right w:w="108" w:type="dxa"/>
            </w:tcMar>
            <w:hideMark/>
          </w:tcPr>
          <w:p w:rsidR="00B25C3B" w:rsidRDefault="00B25C3B">
            <w:pPr>
              <w:rPr>
                <w:rFonts w:hint="cs"/>
                <w:rtl/>
              </w:rPr>
            </w:pPr>
            <w:r>
              <w:rPr>
                <w:rFonts w:ascii="Arial" w:hAnsi="Arial" w:cs="Arial"/>
                <w:b/>
                <w:bCs/>
                <w:color w:val="1F497D"/>
                <w:sz w:val="20"/>
                <w:szCs w:val="20"/>
                <w:rtl/>
              </w:rPr>
              <w:t>מספר כיתות</w:t>
            </w:r>
          </w:p>
        </w:tc>
      </w:tr>
      <w:tr w:rsidR="00B25C3B" w:rsidTr="00B25C3B">
        <w:tc>
          <w:tcPr>
            <w:tcW w:w="1771" w:type="dxa"/>
            <w:shd w:val="clear" w:color="auto" w:fill="D3DFEE"/>
            <w:tcMar>
              <w:top w:w="0" w:type="dxa"/>
              <w:left w:w="108" w:type="dxa"/>
              <w:bottom w:w="0" w:type="dxa"/>
              <w:right w:w="108" w:type="dxa"/>
            </w:tcMar>
            <w:hideMark/>
          </w:tcPr>
          <w:p w:rsidR="00B25C3B" w:rsidRDefault="00B25C3B">
            <w:pPr>
              <w:rPr>
                <w:rFonts w:hint="cs"/>
                <w:rtl/>
              </w:rPr>
            </w:pPr>
            <w:r>
              <w:rPr>
                <w:rFonts w:ascii="Arial" w:hAnsi="Arial" w:cs="Arial"/>
                <w:b/>
                <w:bCs/>
                <w:color w:val="1F497D"/>
                <w:sz w:val="20"/>
                <w:szCs w:val="20"/>
                <w:rtl/>
              </w:rPr>
              <w:t>סה"כ</w:t>
            </w:r>
          </w:p>
        </w:tc>
        <w:tc>
          <w:tcPr>
            <w:tcW w:w="1449" w:type="dxa"/>
            <w:shd w:val="clear" w:color="auto" w:fill="D3DFEE"/>
            <w:tcMar>
              <w:top w:w="0" w:type="dxa"/>
              <w:left w:w="108" w:type="dxa"/>
              <w:bottom w:w="0" w:type="dxa"/>
              <w:right w:w="108" w:type="dxa"/>
            </w:tcMar>
            <w:hideMark/>
          </w:tcPr>
          <w:p w:rsidR="00B25C3B" w:rsidRDefault="00B25C3B">
            <w:pPr>
              <w:rPr>
                <w:rFonts w:hint="cs"/>
                <w:rtl/>
              </w:rPr>
            </w:pPr>
            <w:r>
              <w:rPr>
                <w:rFonts w:ascii="Arial" w:hAnsi="Arial" w:cs="Arial"/>
                <w:color w:val="1F497D"/>
                <w:sz w:val="20"/>
                <w:szCs w:val="20"/>
                <w:rtl/>
              </w:rPr>
              <w:t>307</w:t>
            </w:r>
          </w:p>
        </w:tc>
        <w:tc>
          <w:tcPr>
            <w:tcW w:w="1086" w:type="dxa"/>
            <w:shd w:val="clear" w:color="auto" w:fill="D3DFEE"/>
            <w:tcMar>
              <w:top w:w="0" w:type="dxa"/>
              <w:left w:w="108" w:type="dxa"/>
              <w:bottom w:w="0" w:type="dxa"/>
              <w:right w:w="108" w:type="dxa"/>
            </w:tcMar>
            <w:hideMark/>
          </w:tcPr>
          <w:p w:rsidR="00B25C3B" w:rsidRDefault="00B25C3B">
            <w:pPr>
              <w:rPr>
                <w:rFonts w:hint="cs"/>
                <w:rtl/>
              </w:rPr>
            </w:pPr>
            <w:r>
              <w:rPr>
                <w:rFonts w:ascii="Arial" w:hAnsi="Arial" w:cs="Arial"/>
                <w:color w:val="1F497D"/>
                <w:sz w:val="20"/>
                <w:szCs w:val="20"/>
                <w:rtl/>
              </w:rPr>
              <w:t>285</w:t>
            </w:r>
          </w:p>
        </w:tc>
      </w:tr>
      <w:tr w:rsidR="00B25C3B" w:rsidTr="00B25C3B">
        <w:tc>
          <w:tcPr>
            <w:tcW w:w="1771" w:type="dxa"/>
            <w:tcBorders>
              <w:top w:val="nil"/>
              <w:left w:val="nil"/>
              <w:bottom w:val="single" w:sz="8" w:space="0" w:color="4F81BD"/>
              <w:right w:val="nil"/>
            </w:tcBorders>
            <w:tcMar>
              <w:top w:w="0" w:type="dxa"/>
              <w:left w:w="108" w:type="dxa"/>
              <w:bottom w:w="0" w:type="dxa"/>
              <w:right w:w="108" w:type="dxa"/>
            </w:tcMar>
            <w:hideMark/>
          </w:tcPr>
          <w:p w:rsidR="00B25C3B" w:rsidRDefault="00B25C3B">
            <w:pPr>
              <w:rPr>
                <w:rFonts w:hint="cs"/>
                <w:rtl/>
              </w:rPr>
            </w:pPr>
            <w:r>
              <w:rPr>
                <w:rFonts w:ascii="Arial" w:hAnsi="Arial" w:cs="Arial"/>
                <w:b/>
                <w:bCs/>
                <w:color w:val="1F497D"/>
                <w:sz w:val="20"/>
                <w:szCs w:val="20"/>
                <w:rtl/>
              </w:rPr>
              <w:t>מזה לא יהודי</w:t>
            </w:r>
          </w:p>
        </w:tc>
        <w:tc>
          <w:tcPr>
            <w:tcW w:w="1449" w:type="dxa"/>
            <w:tcBorders>
              <w:top w:val="nil"/>
              <w:left w:val="nil"/>
              <w:bottom w:val="single" w:sz="8" w:space="0" w:color="4F81BD"/>
              <w:right w:val="nil"/>
            </w:tcBorders>
            <w:tcMar>
              <w:top w:w="0" w:type="dxa"/>
              <w:left w:w="108" w:type="dxa"/>
              <w:bottom w:w="0" w:type="dxa"/>
              <w:right w:w="108" w:type="dxa"/>
            </w:tcMar>
            <w:hideMark/>
          </w:tcPr>
          <w:p w:rsidR="00B25C3B" w:rsidRDefault="00B25C3B">
            <w:pPr>
              <w:rPr>
                <w:rFonts w:hint="cs"/>
                <w:rtl/>
              </w:rPr>
            </w:pPr>
            <w:r>
              <w:rPr>
                <w:rFonts w:ascii="Arial" w:hAnsi="Arial" w:cs="Arial"/>
                <w:color w:val="1F497D"/>
                <w:sz w:val="20"/>
                <w:szCs w:val="20"/>
                <w:rtl/>
              </w:rPr>
              <w:t>75 (+14*)</w:t>
            </w:r>
          </w:p>
        </w:tc>
        <w:tc>
          <w:tcPr>
            <w:tcW w:w="1086" w:type="dxa"/>
            <w:tcBorders>
              <w:top w:val="nil"/>
              <w:left w:val="nil"/>
              <w:bottom w:val="single" w:sz="8" w:space="0" w:color="4F81BD"/>
              <w:right w:val="nil"/>
            </w:tcBorders>
            <w:tcMar>
              <w:top w:w="0" w:type="dxa"/>
              <w:left w:w="108" w:type="dxa"/>
              <w:bottom w:w="0" w:type="dxa"/>
              <w:right w:w="108" w:type="dxa"/>
            </w:tcMar>
            <w:hideMark/>
          </w:tcPr>
          <w:p w:rsidR="00B25C3B" w:rsidRDefault="00B25C3B">
            <w:pPr>
              <w:rPr>
                <w:rFonts w:hint="cs"/>
                <w:rtl/>
              </w:rPr>
            </w:pPr>
            <w:r>
              <w:rPr>
                <w:rFonts w:ascii="Arial" w:hAnsi="Arial" w:cs="Arial"/>
                <w:color w:val="1F497D"/>
                <w:sz w:val="20"/>
                <w:szCs w:val="20"/>
                <w:rtl/>
              </w:rPr>
              <w:t>69 (+12*)</w:t>
            </w:r>
          </w:p>
        </w:tc>
      </w:tr>
    </w:tbl>
    <w:p w:rsidR="00B25C3B" w:rsidRDefault="00B25C3B" w:rsidP="00B25C3B">
      <w:pPr>
        <w:rPr>
          <w:rFonts w:hint="cs"/>
          <w:rtl/>
        </w:rPr>
      </w:pPr>
      <w:r>
        <w:rPr>
          <w:rFonts w:ascii="Arial" w:hAnsi="Arial" w:cs="Arial"/>
          <w:color w:val="1F497D"/>
          <w:sz w:val="20"/>
          <w:szCs w:val="20"/>
          <w:rtl/>
        </w:rPr>
        <w:t>*כולל ועדה אחרונה</w:t>
      </w:r>
    </w:p>
    <w:p w:rsidR="00B25C3B" w:rsidRDefault="00B25C3B" w:rsidP="00B25C3B">
      <w:pPr>
        <w:rPr>
          <w:rFonts w:hint="cs"/>
          <w:rtl/>
        </w:rPr>
      </w:pPr>
      <w:r>
        <w:rPr>
          <w:rFonts w:ascii="Arial" w:hAnsi="Arial" w:cs="Arial"/>
          <w:color w:val="1F497D"/>
          <w:rtl/>
        </w:rPr>
        <w:t> </w:t>
      </w:r>
    </w:p>
    <w:p w:rsidR="00B25C3B" w:rsidRDefault="00B25C3B" w:rsidP="00B25C3B">
      <w:pPr>
        <w:rPr>
          <w:rFonts w:hint="cs"/>
          <w:rtl/>
        </w:rPr>
      </w:pPr>
      <w:r>
        <w:rPr>
          <w:rFonts w:ascii="Arial" w:hAnsi="Arial" w:cs="Arial"/>
          <w:color w:val="1F497D"/>
        </w:rPr>
        <w:t> </w:t>
      </w:r>
    </w:p>
    <w:p w:rsidR="00B25C3B" w:rsidRDefault="00B25C3B" w:rsidP="00B25C3B">
      <w:pPr>
        <w:rPr>
          <w:rFonts w:hint="cs"/>
          <w:rtl/>
        </w:rPr>
      </w:pPr>
      <w:r>
        <w:rPr>
          <w:rFonts w:ascii="Arial" w:hAnsi="Arial" w:cs="Arial"/>
          <w:color w:val="1F497D"/>
        </w:rPr>
        <w:t> </w:t>
      </w:r>
    </w:p>
    <w:p w:rsidR="00B25C3B" w:rsidRDefault="00B25C3B" w:rsidP="00B25C3B">
      <w:pPr>
        <w:rPr>
          <w:rFonts w:hint="cs"/>
          <w:rtl/>
        </w:rPr>
      </w:pPr>
      <w:r>
        <w:rPr>
          <w:rFonts w:ascii="Arial" w:hAnsi="Arial" w:cs="Arial"/>
          <w:b/>
          <w:bCs/>
          <w:color w:val="1F497D"/>
          <w:rtl/>
        </w:rPr>
        <w:t>חסמים:</w:t>
      </w:r>
    </w:p>
    <w:p w:rsidR="00B25C3B" w:rsidRDefault="00B25C3B" w:rsidP="00B25C3B">
      <w:pPr>
        <w:rPr>
          <w:rFonts w:hint="cs"/>
          <w:rtl/>
        </w:rPr>
      </w:pPr>
      <w:r>
        <w:rPr>
          <w:rFonts w:ascii="Arial" w:hAnsi="Arial" w:cs="Arial"/>
          <w:color w:val="1F497D"/>
          <w:rtl/>
        </w:rPr>
        <w:t>בשלב זה, אנו מזהים 2 חסמים מרכזיים סביב נושא הבינוי במגזר הלא יהודי:</w:t>
      </w:r>
    </w:p>
    <w:p w:rsidR="00B25C3B" w:rsidRDefault="00B25C3B" w:rsidP="00B25C3B">
      <w:pPr>
        <w:pStyle w:val="a3"/>
        <w:bidi/>
        <w:ind w:left="360" w:hanging="360"/>
        <w:rPr>
          <w:rFonts w:hint="cs"/>
          <w:rtl/>
        </w:rPr>
      </w:pPr>
      <w:r>
        <w:rPr>
          <w:rFonts w:ascii="Arial" w:hAnsi="Arial" w:cs="Arial"/>
          <w:color w:val="1F497D"/>
          <w:rtl/>
        </w:rPr>
        <w:t>1.</w:t>
      </w:r>
      <w:r>
        <w:rPr>
          <w:rFonts w:hint="cs"/>
          <w:color w:val="1F497D"/>
          <w:sz w:val="14"/>
          <w:szCs w:val="14"/>
          <w:rtl/>
        </w:rPr>
        <w:t xml:space="preserve">      </w:t>
      </w:r>
      <w:r>
        <w:rPr>
          <w:rFonts w:ascii="Arial" w:hAnsi="Arial" w:cs="Arial"/>
          <w:color w:val="1F497D"/>
          <w:u w:val="single"/>
          <w:rtl/>
        </w:rPr>
        <w:t>קצב התקדמות הבנייה</w:t>
      </w:r>
      <w:r>
        <w:rPr>
          <w:rFonts w:ascii="Arial" w:hAnsi="Arial" w:cs="Arial"/>
          <w:color w:val="1F497D"/>
          <w:rtl/>
        </w:rPr>
        <w:t xml:space="preserve">- הוראת המנכ"ל המסדירה את נושא הבינוי קובעת אבני דרך לביצוע שאי עמידה בהן תביא לביטול ההרשאות- חתימה על חוזה עם קבלן וסיום הבנייה. מהנתונים המצויים לפנינו ניתן לראות כי רשויות רבות מהמגזר הלא יהודי מתקדמות בקצב איטי מאוד או לא מתקדמות כלל (ראו נתוני הטבלה לעיל ביחס לשיעור הרשויות מהמגזר הלא יהודי שבוטלו להן בקשות בשל אי הגשת חוזה עם קבלן). </w:t>
      </w:r>
    </w:p>
    <w:p w:rsidR="00B25C3B" w:rsidRDefault="00B25C3B" w:rsidP="00B25C3B">
      <w:pPr>
        <w:pStyle w:val="a3"/>
        <w:bidi/>
        <w:ind w:left="360" w:hanging="360"/>
        <w:rPr>
          <w:rFonts w:hint="cs"/>
          <w:rtl/>
        </w:rPr>
      </w:pPr>
      <w:r>
        <w:rPr>
          <w:rFonts w:ascii="Arial" w:hAnsi="Arial" w:cs="Arial"/>
          <w:color w:val="1F497D"/>
          <w:rtl/>
        </w:rPr>
        <w:t>2.</w:t>
      </w:r>
      <w:r>
        <w:rPr>
          <w:rFonts w:hint="cs"/>
          <w:color w:val="1F497D"/>
          <w:sz w:val="14"/>
          <w:szCs w:val="14"/>
          <w:rtl/>
        </w:rPr>
        <w:t xml:space="preserve">      </w:t>
      </w:r>
      <w:r>
        <w:rPr>
          <w:rFonts w:ascii="Arial" w:hAnsi="Arial" w:cs="Arial"/>
          <w:color w:val="1F497D"/>
          <w:u w:val="single"/>
          <w:rtl/>
        </w:rPr>
        <w:t>הגשת בקשות</w:t>
      </w:r>
      <w:r>
        <w:rPr>
          <w:rFonts w:ascii="Arial" w:hAnsi="Arial" w:cs="Arial"/>
          <w:color w:val="1F497D"/>
          <w:rtl/>
        </w:rPr>
        <w:t xml:space="preserve">- אמנם כל התקציב לשנת 2017 הוקצה לרשויות מקומיות, אולם נכון להיום אין עוד הרבה בקשות תקינות 'בקנה', כך שאם לא תהיה כמות נוספת של בקשות תקינות הרי שתקציב 2018 המיועד למגזר הלא יהודי (כ-88 </w:t>
      </w:r>
      <w:proofErr w:type="spellStart"/>
      <w:r>
        <w:rPr>
          <w:rFonts w:ascii="Arial" w:hAnsi="Arial" w:cs="Arial"/>
          <w:color w:val="1F497D"/>
          <w:rtl/>
        </w:rPr>
        <w:t>מלש"ח</w:t>
      </w:r>
      <w:proofErr w:type="spellEnd"/>
      <w:r>
        <w:rPr>
          <w:rFonts w:ascii="Arial" w:hAnsi="Arial" w:cs="Arial"/>
          <w:color w:val="1F497D"/>
          <w:rtl/>
        </w:rPr>
        <w:t>) לא ינוצל ברובו, ועשוי להיות מוסט, בהתאם להוראת המנכ"ל, למגזרים אחרים.</w:t>
      </w:r>
      <w:r>
        <w:rPr>
          <w:rFonts w:hint="cs"/>
          <w:color w:val="FF0000"/>
          <w:rtl/>
        </w:rPr>
        <w:t xml:space="preserve"> </w:t>
      </w:r>
    </w:p>
    <w:p w:rsidR="00B25C3B" w:rsidRDefault="00B25C3B" w:rsidP="00B25C3B">
      <w:pPr>
        <w:pStyle w:val="a3"/>
        <w:bidi/>
        <w:ind w:left="360"/>
        <w:rPr>
          <w:rFonts w:hint="cs"/>
          <w:rtl/>
        </w:rPr>
      </w:pPr>
      <w:r>
        <w:rPr>
          <w:rFonts w:hint="cs"/>
          <w:color w:val="1F497D"/>
          <w:rtl/>
        </w:rPr>
        <w:t> </w:t>
      </w:r>
    </w:p>
    <w:p w:rsidR="00B25C3B" w:rsidRDefault="00B25C3B" w:rsidP="00B25C3B">
      <w:pPr>
        <w:rPr>
          <w:rFonts w:hint="cs"/>
          <w:rtl/>
        </w:rPr>
      </w:pPr>
      <w:r>
        <w:rPr>
          <w:rFonts w:ascii="Arial" w:hAnsi="Arial" w:cs="Arial"/>
          <w:color w:val="1F497D"/>
          <w:rtl/>
        </w:rPr>
        <w:t>יצוין, כי חסמים אלה משתקפים רק מתהליך העבודה של האגף מול הרשויות. ישנם חסמים נוספים ידועים שאינם בתחום הפעילות של המשרד, כגון חסמים תכנוניים (היעדר תכניות מתאר, ומיעוט קרקעות המוקצות לצרכי ציבור), מחסור בכוח אדם ומשאבים ועוד.</w:t>
      </w:r>
      <w:r>
        <w:rPr>
          <w:rFonts w:ascii="Times New Roman" w:hAnsi="Times New Roman" w:cs="Times New Roman"/>
          <w:color w:val="FF0000"/>
          <w:rtl/>
        </w:rPr>
        <w:t xml:space="preserve"> </w:t>
      </w:r>
    </w:p>
    <w:p w:rsidR="00B25C3B" w:rsidRDefault="00B25C3B" w:rsidP="00B25C3B">
      <w:pPr>
        <w:rPr>
          <w:rFonts w:hint="cs"/>
          <w:rtl/>
        </w:rPr>
      </w:pPr>
      <w:r>
        <w:rPr>
          <w:rFonts w:ascii="Tahoma" w:hAnsi="Tahoma" w:cs="Tahoma"/>
          <w:color w:val="1F497D"/>
          <w:rtl/>
        </w:rPr>
        <w:t> </w:t>
      </w:r>
    </w:p>
    <w:p w:rsidR="00727D11" w:rsidRDefault="00727D11">
      <w:pPr>
        <w:rPr>
          <w:rFonts w:hint="cs"/>
          <w:rtl/>
        </w:rPr>
      </w:pPr>
      <w:bookmarkStart w:id="0" w:name="_GoBack"/>
      <w:bookmarkEnd w:id="0"/>
    </w:p>
    <w:sectPr w:rsidR="00727D11" w:rsidSect="0074038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C3B"/>
    <w:rsid w:val="00727D11"/>
    <w:rsid w:val="00740384"/>
    <w:rsid w:val="00B25C3B"/>
    <w:rsid w:val="00EE618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260833-F31F-45F5-B31F-97C1D63F7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5C3B"/>
    <w:pPr>
      <w:bidi/>
      <w:spacing w:after="0" w:line="240" w:lineRule="auto"/>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5C3B"/>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658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47D19A-4BBD-499E-9E26-CFE850824782}"/>
</file>

<file path=customXml/itemProps2.xml><?xml version="1.0" encoding="utf-8"?>
<ds:datastoreItem xmlns:ds="http://schemas.openxmlformats.org/officeDocument/2006/customXml" ds:itemID="{E1BC7346-833B-4238-B303-3807BA1AA63E}"/>
</file>

<file path=customXml/itemProps3.xml><?xml version="1.0" encoding="utf-8"?>
<ds:datastoreItem xmlns:ds="http://schemas.openxmlformats.org/officeDocument/2006/customXml" ds:itemID="{B759EC36-27AE-40BC-A511-80567704C826}"/>
</file>

<file path=docProps/app.xml><?xml version="1.0" encoding="utf-8"?>
<Properties xmlns="http://schemas.openxmlformats.org/officeDocument/2006/extended-properties" xmlns:vt="http://schemas.openxmlformats.org/officeDocument/2006/docPropsVTypes">
  <Template>Normal.dotm</Template>
  <TotalTime>0</TotalTime>
  <Pages>1</Pages>
  <Words>223</Words>
  <Characters>1117</Characters>
  <Application>Microsoft Office Word</Application>
  <DocSecurity>0</DocSecurity>
  <Lines>9</Lines>
  <Paragraphs>2</Paragraphs>
  <ScaleCrop>false</ScaleCrop>
  <Company/>
  <LinksUpToDate>false</LinksUpToDate>
  <CharactersWithSpaces>1338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אמל ביבאר</dc:creator>
  <cp:keywords/>
  <dc:description/>
  <cp:lastModifiedBy>אמל ביבאר</cp:lastModifiedBy>
  <cp:revision>1</cp:revision>
  <dcterms:created xsi:type="dcterms:W3CDTF">2017-06-19T07:55:00Z</dcterms:created>
  <dcterms:modified xsi:type="dcterms:W3CDTF">2017-06-19T07:55:00Z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2017496</vt:r8>
  </property>
</Properties>
</file>