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6AF" w:rsidRDefault="00656AF1" w:rsidP="00656AF1">
      <w:pPr>
        <w:jc w:val="center"/>
        <w:rPr>
          <w:b/>
          <w:bCs/>
          <w:sz w:val="24"/>
          <w:szCs w:val="24"/>
          <w:rtl/>
        </w:rPr>
      </w:pPr>
      <w:bookmarkStart w:id="0" w:name="_GoBack"/>
      <w:bookmarkEnd w:id="0"/>
      <w:r>
        <w:rPr>
          <w:rFonts w:hint="cs"/>
          <w:b/>
          <w:bCs/>
          <w:sz w:val="24"/>
          <w:szCs w:val="24"/>
          <w:rtl/>
        </w:rPr>
        <w:t>נייר עמדה</w:t>
      </w:r>
    </w:p>
    <w:p w:rsidR="00656AF1" w:rsidRDefault="00656AF1" w:rsidP="00656AF1">
      <w:pPr>
        <w:jc w:val="center"/>
        <w:rPr>
          <w:b/>
          <w:bCs/>
          <w:sz w:val="24"/>
          <w:szCs w:val="24"/>
          <w:rtl/>
        </w:rPr>
      </w:pPr>
      <w:r>
        <w:rPr>
          <w:rFonts w:hint="cs"/>
          <w:b/>
          <w:bCs/>
          <w:sz w:val="24"/>
          <w:szCs w:val="24"/>
          <w:rtl/>
        </w:rPr>
        <w:t>מאת ד"ר יהודה כהן, עו"ד</w:t>
      </w:r>
    </w:p>
    <w:p w:rsidR="00656AF1" w:rsidRDefault="00656AF1" w:rsidP="00656AF1">
      <w:pPr>
        <w:jc w:val="center"/>
        <w:rPr>
          <w:b/>
          <w:bCs/>
          <w:sz w:val="24"/>
          <w:szCs w:val="24"/>
          <w:rtl/>
        </w:rPr>
      </w:pPr>
      <w:r>
        <w:rPr>
          <w:rFonts w:hint="cs"/>
          <w:b/>
          <w:bCs/>
          <w:sz w:val="24"/>
          <w:szCs w:val="24"/>
          <w:rtl/>
        </w:rPr>
        <w:t xml:space="preserve">בנושא </w:t>
      </w:r>
      <w:r w:rsidR="00D02FF3">
        <w:rPr>
          <w:rFonts w:hint="cs"/>
          <w:b/>
          <w:bCs/>
          <w:sz w:val="24"/>
          <w:szCs w:val="24"/>
          <w:rtl/>
        </w:rPr>
        <w:t>הצעת חוק יסודות המשפט התש"ם-1980</w:t>
      </w:r>
    </w:p>
    <w:p w:rsidR="00D02FF3" w:rsidRDefault="00D02FF3" w:rsidP="00656AF1">
      <w:pPr>
        <w:jc w:val="center"/>
        <w:rPr>
          <w:b/>
          <w:bCs/>
          <w:sz w:val="24"/>
          <w:szCs w:val="24"/>
          <w:rtl/>
        </w:rPr>
      </w:pPr>
    </w:p>
    <w:p w:rsidR="00B70F48" w:rsidRDefault="000111A6" w:rsidP="000111A6">
      <w:pPr>
        <w:pStyle w:val="a3"/>
        <w:numPr>
          <w:ilvl w:val="0"/>
          <w:numId w:val="1"/>
        </w:numPr>
        <w:spacing w:line="360" w:lineRule="auto"/>
        <w:ind w:hanging="357"/>
        <w:jc w:val="both"/>
        <w:rPr>
          <w:sz w:val="24"/>
          <w:szCs w:val="24"/>
        </w:rPr>
      </w:pPr>
      <w:r>
        <w:rPr>
          <w:rFonts w:hint="cs"/>
          <w:sz w:val="24"/>
          <w:szCs w:val="24"/>
          <w:rtl/>
        </w:rPr>
        <w:t>מצ"ב כ</w:t>
      </w:r>
      <w:r w:rsidR="00D02FF3" w:rsidRPr="00D02FF3">
        <w:rPr>
          <w:rFonts w:hint="cs"/>
          <w:sz w:val="24"/>
          <w:szCs w:val="24"/>
          <w:rtl/>
        </w:rPr>
        <w:t xml:space="preserve">נספח לנייר עמדה זה </w:t>
      </w:r>
      <w:r w:rsidR="00D02FF3" w:rsidRPr="00D02FF3">
        <w:rPr>
          <w:sz w:val="24"/>
          <w:szCs w:val="24"/>
          <w:rtl/>
        </w:rPr>
        <w:t>–</w:t>
      </w:r>
      <w:r w:rsidR="00D02FF3" w:rsidRPr="00D02FF3">
        <w:rPr>
          <w:rFonts w:hint="cs"/>
          <w:sz w:val="24"/>
          <w:szCs w:val="24"/>
          <w:rtl/>
        </w:rPr>
        <w:t xml:space="preserve"> פרק ז' לספר שלי "מי מפחד ממדינה יהודית </w:t>
      </w:r>
      <w:r w:rsidR="00D02FF3" w:rsidRPr="00D02FF3">
        <w:rPr>
          <w:sz w:val="24"/>
          <w:szCs w:val="24"/>
          <w:rtl/>
        </w:rPr>
        <w:t>–</w:t>
      </w:r>
      <w:r w:rsidR="00D02FF3" w:rsidRPr="00D02FF3">
        <w:rPr>
          <w:rFonts w:hint="cs"/>
          <w:sz w:val="24"/>
          <w:szCs w:val="24"/>
          <w:rtl/>
        </w:rPr>
        <w:t xml:space="preserve"> היבט חוקתי ואידיאולוגי" שיצא בהוצאת לשכת עורכי הדין </w:t>
      </w:r>
      <w:r w:rsidR="00D02FF3">
        <w:rPr>
          <w:rFonts w:hint="cs"/>
          <w:sz w:val="24"/>
          <w:szCs w:val="24"/>
          <w:rtl/>
        </w:rPr>
        <w:t>(</w:t>
      </w:r>
      <w:r w:rsidR="00D02FF3" w:rsidRPr="00D02FF3">
        <w:rPr>
          <w:rFonts w:hint="cs"/>
          <w:sz w:val="24"/>
          <w:szCs w:val="24"/>
          <w:rtl/>
        </w:rPr>
        <w:t>להלן: הספר</w:t>
      </w:r>
      <w:r w:rsidR="00D02FF3">
        <w:rPr>
          <w:rFonts w:hint="cs"/>
          <w:sz w:val="24"/>
          <w:szCs w:val="24"/>
          <w:rtl/>
        </w:rPr>
        <w:t>)</w:t>
      </w:r>
      <w:r w:rsidR="00D02FF3" w:rsidRPr="00D02FF3">
        <w:rPr>
          <w:rFonts w:hint="cs"/>
          <w:sz w:val="24"/>
          <w:szCs w:val="24"/>
          <w:rtl/>
        </w:rPr>
        <w:t xml:space="preserve"> </w:t>
      </w:r>
      <w:r w:rsidR="00D02FF3" w:rsidRPr="00D02FF3">
        <w:rPr>
          <w:sz w:val="24"/>
          <w:szCs w:val="24"/>
          <w:rtl/>
        </w:rPr>
        <w:t>–</w:t>
      </w:r>
      <w:r w:rsidR="00D02FF3" w:rsidRPr="00D02FF3">
        <w:rPr>
          <w:rFonts w:hint="cs"/>
          <w:sz w:val="24"/>
          <w:szCs w:val="24"/>
          <w:rtl/>
        </w:rPr>
        <w:t xml:space="preserve"> חוק יסודות המשפט </w:t>
      </w:r>
      <w:r w:rsidR="002808EE">
        <w:rPr>
          <w:rFonts w:hint="cs"/>
          <w:sz w:val="24"/>
          <w:szCs w:val="24"/>
          <w:rtl/>
        </w:rPr>
        <w:t>(להלן: החוק)</w:t>
      </w:r>
      <w:r w:rsidR="00F00B56">
        <w:rPr>
          <w:rFonts w:hint="cs"/>
          <w:sz w:val="24"/>
          <w:szCs w:val="24"/>
          <w:rtl/>
        </w:rPr>
        <w:t>.</w:t>
      </w:r>
    </w:p>
    <w:p w:rsidR="00B70F48" w:rsidRDefault="00B70F48" w:rsidP="00B70F48">
      <w:pPr>
        <w:pStyle w:val="a3"/>
        <w:numPr>
          <w:ilvl w:val="0"/>
          <w:numId w:val="1"/>
        </w:numPr>
        <w:spacing w:line="360" w:lineRule="auto"/>
        <w:ind w:hanging="357"/>
        <w:jc w:val="both"/>
        <w:rPr>
          <w:sz w:val="24"/>
          <w:szCs w:val="24"/>
        </w:rPr>
      </w:pPr>
      <w:r>
        <w:rPr>
          <w:rFonts w:hint="cs"/>
          <w:sz w:val="24"/>
          <w:szCs w:val="24"/>
          <w:rtl/>
        </w:rPr>
        <w:t xml:space="preserve">החוק </w:t>
      </w:r>
      <w:r w:rsidR="00D02FF3" w:rsidRPr="00D02FF3">
        <w:rPr>
          <w:rFonts w:hint="cs"/>
          <w:sz w:val="24"/>
          <w:szCs w:val="24"/>
          <w:rtl/>
        </w:rPr>
        <w:t>נחקק לפני 37 שנים</w:t>
      </w:r>
      <w:r>
        <w:rPr>
          <w:rFonts w:hint="cs"/>
          <w:sz w:val="24"/>
          <w:szCs w:val="24"/>
          <w:rtl/>
        </w:rPr>
        <w:t xml:space="preserve"> ו</w:t>
      </w:r>
      <w:r w:rsidR="00D02FF3" w:rsidRPr="00D02FF3">
        <w:rPr>
          <w:rFonts w:hint="cs"/>
          <w:sz w:val="24"/>
          <w:szCs w:val="24"/>
          <w:rtl/>
        </w:rPr>
        <w:t>איננו מיושם בידי בתי המשפט בישראל</w:t>
      </w:r>
      <w:r>
        <w:rPr>
          <w:rFonts w:hint="cs"/>
          <w:sz w:val="24"/>
          <w:szCs w:val="24"/>
          <w:rtl/>
        </w:rPr>
        <w:t xml:space="preserve">. </w:t>
      </w:r>
      <w:r w:rsidR="00D02FF3" w:rsidRPr="00D02FF3">
        <w:rPr>
          <w:rFonts w:hint="cs"/>
          <w:sz w:val="24"/>
          <w:szCs w:val="24"/>
          <w:rtl/>
        </w:rPr>
        <w:t>הוא נותר בבחינת מילה ריקה.</w:t>
      </w:r>
      <w:r w:rsidR="002808EE">
        <w:rPr>
          <w:rFonts w:hint="cs"/>
          <w:sz w:val="24"/>
          <w:szCs w:val="24"/>
          <w:rtl/>
        </w:rPr>
        <w:t xml:space="preserve"> </w:t>
      </w:r>
      <w:r w:rsidR="00D94A9A">
        <w:rPr>
          <w:rFonts w:hint="cs"/>
          <w:sz w:val="24"/>
          <w:szCs w:val="24"/>
          <w:rtl/>
        </w:rPr>
        <w:t xml:space="preserve">זה המצב, </w:t>
      </w:r>
      <w:r w:rsidR="002808EE">
        <w:rPr>
          <w:rFonts w:hint="cs"/>
          <w:sz w:val="24"/>
          <w:szCs w:val="24"/>
          <w:rtl/>
        </w:rPr>
        <w:t xml:space="preserve">אף כי הוראותיו </w:t>
      </w:r>
      <w:r w:rsidR="00D94A9A">
        <w:rPr>
          <w:rFonts w:hint="cs"/>
          <w:sz w:val="24"/>
          <w:szCs w:val="24"/>
          <w:rtl/>
        </w:rPr>
        <w:t xml:space="preserve">של החוק </w:t>
      </w:r>
      <w:r w:rsidR="002808EE" w:rsidRPr="002808EE">
        <w:rPr>
          <w:rFonts w:hint="cs"/>
          <w:b/>
          <w:bCs/>
          <w:sz w:val="24"/>
          <w:szCs w:val="24"/>
          <w:rtl/>
        </w:rPr>
        <w:t>מחייבות</w:t>
      </w:r>
      <w:r w:rsidR="002808EE">
        <w:rPr>
          <w:rFonts w:hint="cs"/>
          <w:sz w:val="24"/>
          <w:szCs w:val="24"/>
          <w:rtl/>
        </w:rPr>
        <w:t xml:space="preserve"> כל שופט בישראל להכריע "לאור עקרונות ... מורשת ישראל" </w:t>
      </w:r>
      <w:r w:rsidR="000111A6">
        <w:rPr>
          <w:rFonts w:hint="cs"/>
          <w:sz w:val="24"/>
          <w:szCs w:val="24"/>
          <w:rtl/>
        </w:rPr>
        <w:t xml:space="preserve"> (</w:t>
      </w:r>
      <w:r w:rsidR="000111A6" w:rsidRPr="000111A6">
        <w:rPr>
          <w:rFonts w:hint="cs"/>
          <w:b/>
          <w:bCs/>
          <w:sz w:val="24"/>
          <w:szCs w:val="24"/>
          <w:rtl/>
        </w:rPr>
        <w:t xml:space="preserve">זוהי לא רק אפשרות הניתנת לשופט </w:t>
      </w:r>
      <w:r w:rsidR="000111A6" w:rsidRPr="000111A6">
        <w:rPr>
          <w:b/>
          <w:bCs/>
          <w:sz w:val="24"/>
          <w:szCs w:val="24"/>
          <w:rtl/>
        </w:rPr>
        <w:t>–</w:t>
      </w:r>
      <w:r w:rsidR="000111A6" w:rsidRPr="000111A6">
        <w:rPr>
          <w:rFonts w:hint="cs"/>
          <w:b/>
          <w:bCs/>
          <w:sz w:val="24"/>
          <w:szCs w:val="24"/>
          <w:rtl/>
        </w:rPr>
        <w:t xml:space="preserve"> זהו חיוב</w:t>
      </w:r>
      <w:r w:rsidR="000111A6">
        <w:rPr>
          <w:rFonts w:hint="cs"/>
          <w:sz w:val="24"/>
          <w:szCs w:val="24"/>
          <w:rtl/>
        </w:rPr>
        <w:t>)</w:t>
      </w:r>
      <w:r w:rsidR="00D94A9A">
        <w:rPr>
          <w:rFonts w:hint="cs"/>
          <w:sz w:val="24"/>
          <w:szCs w:val="24"/>
          <w:rtl/>
        </w:rPr>
        <w:t xml:space="preserve">. </w:t>
      </w:r>
    </w:p>
    <w:p w:rsidR="00B70F48" w:rsidRDefault="00D94A9A" w:rsidP="00B70F48">
      <w:pPr>
        <w:pStyle w:val="a3"/>
        <w:numPr>
          <w:ilvl w:val="0"/>
          <w:numId w:val="1"/>
        </w:numPr>
        <w:spacing w:line="360" w:lineRule="auto"/>
        <w:ind w:hanging="357"/>
        <w:jc w:val="both"/>
        <w:rPr>
          <w:sz w:val="24"/>
          <w:szCs w:val="24"/>
        </w:rPr>
      </w:pPr>
      <w:r>
        <w:rPr>
          <w:rFonts w:hint="cs"/>
          <w:sz w:val="24"/>
          <w:szCs w:val="24"/>
          <w:rtl/>
        </w:rPr>
        <w:t xml:space="preserve">חיוב זה נקבע </w:t>
      </w:r>
      <w:r w:rsidR="002808EE">
        <w:rPr>
          <w:rFonts w:hint="cs"/>
          <w:sz w:val="24"/>
          <w:szCs w:val="24"/>
          <w:rtl/>
        </w:rPr>
        <w:t>בהסתייגות אחת</w:t>
      </w:r>
      <w:r>
        <w:rPr>
          <w:rFonts w:hint="cs"/>
          <w:sz w:val="24"/>
          <w:szCs w:val="24"/>
          <w:rtl/>
        </w:rPr>
        <w:t xml:space="preserve"> בלבד</w:t>
      </w:r>
      <w:r w:rsidR="002808EE">
        <w:rPr>
          <w:rFonts w:hint="cs"/>
          <w:sz w:val="24"/>
          <w:szCs w:val="24"/>
          <w:rtl/>
        </w:rPr>
        <w:t xml:space="preserve"> </w:t>
      </w:r>
      <w:r w:rsidR="002808EE">
        <w:rPr>
          <w:sz w:val="24"/>
          <w:szCs w:val="24"/>
          <w:rtl/>
        </w:rPr>
        <w:t>–</w:t>
      </w:r>
      <w:r w:rsidR="002808EE">
        <w:rPr>
          <w:rFonts w:hint="cs"/>
          <w:sz w:val="24"/>
          <w:szCs w:val="24"/>
          <w:rtl/>
        </w:rPr>
        <w:t xml:space="preserve"> שיהיו אלה עקרונות </w:t>
      </w:r>
      <w:r w:rsidR="00FA7836">
        <w:rPr>
          <w:rFonts w:hint="cs"/>
          <w:sz w:val="24"/>
          <w:szCs w:val="24"/>
          <w:rtl/>
        </w:rPr>
        <w:t xml:space="preserve">של חירות, צדק, יושר ושלום". </w:t>
      </w:r>
    </w:p>
    <w:p w:rsidR="00D02FF3" w:rsidRDefault="00B70F48" w:rsidP="000111A6">
      <w:pPr>
        <w:pStyle w:val="a3"/>
        <w:numPr>
          <w:ilvl w:val="0"/>
          <w:numId w:val="1"/>
        </w:numPr>
        <w:spacing w:line="360" w:lineRule="auto"/>
        <w:ind w:hanging="357"/>
        <w:jc w:val="both"/>
        <w:rPr>
          <w:sz w:val="24"/>
          <w:szCs w:val="24"/>
        </w:rPr>
      </w:pPr>
      <w:r>
        <w:rPr>
          <w:rFonts w:hint="cs"/>
          <w:sz w:val="24"/>
          <w:szCs w:val="24"/>
          <w:rtl/>
        </w:rPr>
        <w:t>הפנייה לעקרונות אלה מחויבת</w:t>
      </w:r>
      <w:r w:rsidR="00FA7836">
        <w:rPr>
          <w:rFonts w:hint="cs"/>
          <w:sz w:val="24"/>
          <w:szCs w:val="24"/>
          <w:rtl/>
        </w:rPr>
        <w:t xml:space="preserve"> </w:t>
      </w:r>
      <w:r w:rsidR="00FA7836">
        <w:rPr>
          <w:sz w:val="24"/>
          <w:szCs w:val="24"/>
          <w:rtl/>
        </w:rPr>
        <w:t>–</w:t>
      </w:r>
      <w:r w:rsidR="00FA7836">
        <w:rPr>
          <w:rFonts w:hint="cs"/>
          <w:sz w:val="24"/>
          <w:szCs w:val="24"/>
          <w:rtl/>
        </w:rPr>
        <w:t xml:space="preserve"> אם לא נמצאה תשובה לשאלה המשפטית  בדבר חקיקה, בהלכה פסוקה או בדרך של היקש.</w:t>
      </w:r>
      <w:r w:rsidR="002808EE">
        <w:rPr>
          <w:rFonts w:hint="cs"/>
          <w:sz w:val="24"/>
          <w:szCs w:val="24"/>
          <w:rtl/>
        </w:rPr>
        <w:t xml:space="preserve"> </w:t>
      </w:r>
    </w:p>
    <w:p w:rsidR="00FA7836" w:rsidRDefault="00FA7836" w:rsidP="008E63FB">
      <w:pPr>
        <w:pStyle w:val="a3"/>
        <w:numPr>
          <w:ilvl w:val="0"/>
          <w:numId w:val="1"/>
        </w:numPr>
        <w:spacing w:line="360" w:lineRule="auto"/>
        <w:ind w:hanging="357"/>
        <w:jc w:val="both"/>
        <w:rPr>
          <w:sz w:val="24"/>
          <w:szCs w:val="24"/>
        </w:rPr>
      </w:pPr>
      <w:r>
        <w:rPr>
          <w:rFonts w:hint="cs"/>
          <w:sz w:val="24"/>
          <w:szCs w:val="24"/>
          <w:rtl/>
        </w:rPr>
        <w:t>בסעיף 2 לחוק בוטל סימן 46 לדבר המלך במועצתו לארץ ישראל, 1922-47</w:t>
      </w:r>
      <w:r w:rsidR="008E63FB">
        <w:rPr>
          <w:rFonts w:hint="cs"/>
          <w:sz w:val="24"/>
          <w:szCs w:val="24"/>
          <w:rtl/>
        </w:rPr>
        <w:t>. סימן 46 הוא</w:t>
      </w:r>
      <w:r>
        <w:rPr>
          <w:rFonts w:hint="cs"/>
          <w:sz w:val="24"/>
          <w:szCs w:val="24"/>
          <w:rtl/>
        </w:rPr>
        <w:t xml:space="preserve"> הסעיף המנדטורי </w:t>
      </w:r>
      <w:r w:rsidR="008E63FB">
        <w:rPr>
          <w:rFonts w:hint="cs"/>
          <w:sz w:val="24"/>
          <w:szCs w:val="24"/>
          <w:rtl/>
        </w:rPr>
        <w:t>שה</w:t>
      </w:r>
      <w:r>
        <w:rPr>
          <w:rFonts w:hint="cs"/>
          <w:sz w:val="24"/>
          <w:szCs w:val="24"/>
          <w:rtl/>
        </w:rPr>
        <w:t xml:space="preserve">עניק תוקף משפטי לכללים מסוימים הנוהגים באנגליה </w:t>
      </w:r>
      <w:r>
        <w:rPr>
          <w:sz w:val="24"/>
          <w:szCs w:val="24"/>
          <w:rtl/>
        </w:rPr>
        <w:t>–</w:t>
      </w:r>
      <w:r>
        <w:rPr>
          <w:rFonts w:hint="cs"/>
          <w:sz w:val="24"/>
          <w:szCs w:val="24"/>
          <w:rtl/>
        </w:rPr>
        <w:t xml:space="preserve"> בעלת המנדט (להלן: סימן 46). </w:t>
      </w:r>
    </w:p>
    <w:p w:rsidR="00FA7836" w:rsidRDefault="00EA0E09" w:rsidP="000111A6">
      <w:pPr>
        <w:pStyle w:val="a3"/>
        <w:numPr>
          <w:ilvl w:val="0"/>
          <w:numId w:val="1"/>
        </w:numPr>
        <w:spacing w:line="360" w:lineRule="auto"/>
        <w:ind w:hanging="357"/>
        <w:jc w:val="both"/>
        <w:rPr>
          <w:sz w:val="24"/>
          <w:szCs w:val="24"/>
        </w:rPr>
      </w:pPr>
      <w:r>
        <w:rPr>
          <w:rFonts w:hint="cs"/>
          <w:sz w:val="24"/>
          <w:szCs w:val="24"/>
          <w:rtl/>
        </w:rPr>
        <w:t xml:space="preserve">בכך הכפיפה הכנסת את שופטי ישראל </w:t>
      </w:r>
      <w:r w:rsidR="00B70F48">
        <w:rPr>
          <w:rFonts w:hint="cs"/>
          <w:sz w:val="24"/>
          <w:szCs w:val="24"/>
          <w:rtl/>
        </w:rPr>
        <w:t>לכללים מסוימים של מורשת ישראל</w:t>
      </w:r>
      <w:r>
        <w:rPr>
          <w:rFonts w:hint="cs"/>
          <w:sz w:val="24"/>
          <w:szCs w:val="24"/>
          <w:rtl/>
        </w:rPr>
        <w:t xml:space="preserve">, במקום </w:t>
      </w:r>
      <w:r w:rsidR="000111A6">
        <w:rPr>
          <w:rFonts w:hint="cs"/>
          <w:sz w:val="24"/>
          <w:szCs w:val="24"/>
          <w:rtl/>
        </w:rPr>
        <w:t xml:space="preserve">הכפיפות שהתקיימה עד אז) </w:t>
      </w:r>
      <w:r>
        <w:rPr>
          <w:rFonts w:hint="cs"/>
          <w:sz w:val="24"/>
          <w:szCs w:val="24"/>
          <w:rtl/>
        </w:rPr>
        <w:t>לכללים אנגליים.</w:t>
      </w:r>
    </w:p>
    <w:p w:rsidR="00EA0E09" w:rsidRDefault="00EA0E09" w:rsidP="000111A6">
      <w:pPr>
        <w:pStyle w:val="a3"/>
        <w:numPr>
          <w:ilvl w:val="0"/>
          <w:numId w:val="1"/>
        </w:numPr>
        <w:spacing w:line="360" w:lineRule="auto"/>
        <w:ind w:hanging="357"/>
        <w:jc w:val="both"/>
        <w:rPr>
          <w:sz w:val="24"/>
          <w:szCs w:val="24"/>
        </w:rPr>
      </w:pPr>
      <w:r>
        <w:rPr>
          <w:rFonts w:hint="cs"/>
          <w:sz w:val="24"/>
          <w:szCs w:val="24"/>
          <w:rtl/>
        </w:rPr>
        <w:t xml:space="preserve">יתר על כן </w:t>
      </w:r>
      <w:r>
        <w:rPr>
          <w:sz w:val="24"/>
          <w:szCs w:val="24"/>
          <w:rtl/>
        </w:rPr>
        <w:t>–</w:t>
      </w:r>
      <w:r>
        <w:rPr>
          <w:rFonts w:hint="cs"/>
          <w:sz w:val="24"/>
          <w:szCs w:val="24"/>
          <w:rtl/>
        </w:rPr>
        <w:t xml:space="preserve"> נקבע חיוב לפסוק </w:t>
      </w:r>
      <w:r>
        <w:rPr>
          <w:rFonts w:hint="cs"/>
          <w:b/>
          <w:bCs/>
          <w:sz w:val="24"/>
          <w:szCs w:val="24"/>
          <w:rtl/>
        </w:rPr>
        <w:t>אך ורק</w:t>
      </w:r>
      <w:r>
        <w:rPr>
          <w:rFonts w:hint="cs"/>
          <w:sz w:val="24"/>
          <w:szCs w:val="24"/>
          <w:rtl/>
        </w:rPr>
        <w:t xml:space="preserve"> לפי ארבעה מקורות אלה</w:t>
      </w:r>
      <w:r w:rsidR="000111A6">
        <w:rPr>
          <w:rFonts w:hint="cs"/>
          <w:sz w:val="24"/>
          <w:szCs w:val="24"/>
          <w:rtl/>
        </w:rPr>
        <w:t>.</w:t>
      </w:r>
    </w:p>
    <w:p w:rsidR="00EA0E09" w:rsidRDefault="00EA0E09" w:rsidP="00B82FE9">
      <w:pPr>
        <w:pStyle w:val="a3"/>
        <w:numPr>
          <w:ilvl w:val="0"/>
          <w:numId w:val="2"/>
        </w:numPr>
        <w:spacing w:line="360" w:lineRule="auto"/>
        <w:ind w:hanging="357"/>
        <w:jc w:val="both"/>
        <w:rPr>
          <w:sz w:val="24"/>
          <w:szCs w:val="24"/>
        </w:rPr>
      </w:pPr>
      <w:r>
        <w:rPr>
          <w:rFonts w:hint="cs"/>
          <w:sz w:val="24"/>
          <w:szCs w:val="24"/>
          <w:rtl/>
        </w:rPr>
        <w:t>דבר חקיקה</w:t>
      </w:r>
    </w:p>
    <w:p w:rsidR="00EA0E09" w:rsidRDefault="00EA0E09" w:rsidP="00B70F48">
      <w:pPr>
        <w:pStyle w:val="a3"/>
        <w:numPr>
          <w:ilvl w:val="0"/>
          <w:numId w:val="2"/>
        </w:numPr>
        <w:spacing w:line="360" w:lineRule="auto"/>
        <w:ind w:hanging="357"/>
        <w:jc w:val="both"/>
        <w:rPr>
          <w:sz w:val="24"/>
          <w:szCs w:val="24"/>
        </w:rPr>
      </w:pPr>
      <w:r>
        <w:rPr>
          <w:rFonts w:hint="cs"/>
          <w:sz w:val="24"/>
          <w:szCs w:val="24"/>
          <w:rtl/>
        </w:rPr>
        <w:t xml:space="preserve">הלכה פסוקה </w:t>
      </w:r>
    </w:p>
    <w:p w:rsidR="00EA0E09" w:rsidRDefault="00EA0E09" w:rsidP="00B82FE9">
      <w:pPr>
        <w:pStyle w:val="a3"/>
        <w:numPr>
          <w:ilvl w:val="0"/>
          <w:numId w:val="2"/>
        </w:numPr>
        <w:spacing w:line="360" w:lineRule="auto"/>
        <w:ind w:hanging="357"/>
        <w:jc w:val="both"/>
        <w:rPr>
          <w:sz w:val="24"/>
          <w:szCs w:val="24"/>
        </w:rPr>
      </w:pPr>
      <w:r>
        <w:rPr>
          <w:rFonts w:hint="cs"/>
          <w:sz w:val="24"/>
          <w:szCs w:val="24"/>
          <w:rtl/>
        </w:rPr>
        <w:t>דרך של היקש</w:t>
      </w:r>
    </w:p>
    <w:p w:rsidR="00EA0E09" w:rsidRDefault="00EA0E09" w:rsidP="00B70F48">
      <w:pPr>
        <w:pStyle w:val="a3"/>
        <w:numPr>
          <w:ilvl w:val="0"/>
          <w:numId w:val="2"/>
        </w:numPr>
        <w:spacing w:line="360" w:lineRule="auto"/>
        <w:ind w:hanging="357"/>
        <w:jc w:val="both"/>
        <w:rPr>
          <w:sz w:val="24"/>
          <w:szCs w:val="24"/>
        </w:rPr>
      </w:pPr>
      <w:r>
        <w:rPr>
          <w:rFonts w:hint="cs"/>
          <w:sz w:val="24"/>
          <w:szCs w:val="24"/>
          <w:rtl/>
        </w:rPr>
        <w:t>עקרונות מסוימים של מורשת ישראל.</w:t>
      </w:r>
    </w:p>
    <w:p w:rsidR="00D94A9A" w:rsidRDefault="002F385B" w:rsidP="000111A6">
      <w:pPr>
        <w:pStyle w:val="a3"/>
        <w:numPr>
          <w:ilvl w:val="0"/>
          <w:numId w:val="1"/>
        </w:numPr>
        <w:spacing w:line="360" w:lineRule="auto"/>
        <w:ind w:hanging="357"/>
        <w:jc w:val="both"/>
        <w:rPr>
          <w:sz w:val="24"/>
          <w:szCs w:val="24"/>
        </w:rPr>
      </w:pPr>
      <w:r>
        <w:rPr>
          <w:rFonts w:hint="cs"/>
          <w:sz w:val="24"/>
          <w:szCs w:val="24"/>
          <w:rtl/>
        </w:rPr>
        <w:t xml:space="preserve"> בכך</w:t>
      </w:r>
      <w:r w:rsidR="00D94A9A">
        <w:rPr>
          <w:rFonts w:hint="cs"/>
          <w:sz w:val="24"/>
          <w:szCs w:val="24"/>
          <w:rtl/>
        </w:rPr>
        <w:t xml:space="preserve"> </w:t>
      </w:r>
      <w:r w:rsidR="00D94A9A">
        <w:rPr>
          <w:sz w:val="24"/>
          <w:szCs w:val="24"/>
          <w:rtl/>
        </w:rPr>
        <w:t>–</w:t>
      </w:r>
      <w:r w:rsidR="00D94A9A">
        <w:rPr>
          <w:rFonts w:hint="cs"/>
          <w:sz w:val="24"/>
          <w:szCs w:val="24"/>
          <w:rtl/>
        </w:rPr>
        <w:t xml:space="preserve"> לפי החוק </w:t>
      </w:r>
      <w:r w:rsidR="00D94A9A">
        <w:rPr>
          <w:sz w:val="24"/>
          <w:szCs w:val="24"/>
          <w:rtl/>
        </w:rPr>
        <w:t>–</w:t>
      </w:r>
      <w:r w:rsidR="00D94A9A">
        <w:rPr>
          <w:rFonts w:hint="cs"/>
          <w:sz w:val="24"/>
          <w:szCs w:val="24"/>
          <w:rtl/>
        </w:rPr>
        <w:t xml:space="preserve"> מנועים </w:t>
      </w:r>
      <w:r>
        <w:rPr>
          <w:rFonts w:hint="cs"/>
          <w:sz w:val="24"/>
          <w:szCs w:val="24"/>
          <w:rtl/>
        </w:rPr>
        <w:t xml:space="preserve">שופטי ישראל </w:t>
      </w:r>
      <w:r w:rsidR="00D94A9A">
        <w:rPr>
          <w:rFonts w:hint="cs"/>
          <w:sz w:val="24"/>
          <w:szCs w:val="24"/>
          <w:rtl/>
        </w:rPr>
        <w:t>מ</w:t>
      </w:r>
      <w:r>
        <w:rPr>
          <w:rFonts w:hint="cs"/>
          <w:sz w:val="24"/>
          <w:szCs w:val="24"/>
          <w:rtl/>
        </w:rPr>
        <w:t xml:space="preserve">לפסוק כפי </w:t>
      </w:r>
      <w:r w:rsidR="000111A6">
        <w:rPr>
          <w:rFonts w:hint="cs"/>
          <w:sz w:val="24"/>
          <w:szCs w:val="24"/>
          <w:rtl/>
        </w:rPr>
        <w:t>המקובל</w:t>
      </w:r>
      <w:r>
        <w:rPr>
          <w:rFonts w:hint="cs"/>
          <w:sz w:val="24"/>
          <w:szCs w:val="24"/>
          <w:rtl/>
        </w:rPr>
        <w:t xml:space="preserve"> במשפטי העמים והמדינות האחרות</w:t>
      </w:r>
      <w:r w:rsidR="000111A6">
        <w:rPr>
          <w:rFonts w:hint="cs"/>
          <w:sz w:val="24"/>
          <w:szCs w:val="24"/>
          <w:rtl/>
        </w:rPr>
        <w:t xml:space="preserve">. </w:t>
      </w:r>
      <w:r>
        <w:rPr>
          <w:rFonts w:hint="cs"/>
          <w:sz w:val="24"/>
          <w:szCs w:val="24"/>
          <w:rtl/>
        </w:rPr>
        <w:t>במידה ולא נמצא</w:t>
      </w:r>
      <w:r w:rsidR="000111A6">
        <w:rPr>
          <w:rFonts w:hint="cs"/>
          <w:sz w:val="24"/>
          <w:szCs w:val="24"/>
          <w:rtl/>
        </w:rPr>
        <w:t>ה</w:t>
      </w:r>
      <w:r>
        <w:rPr>
          <w:rFonts w:hint="cs"/>
          <w:sz w:val="24"/>
          <w:szCs w:val="24"/>
          <w:rtl/>
        </w:rPr>
        <w:t xml:space="preserve"> תשובה </w:t>
      </w:r>
      <w:r w:rsidR="00D94A9A">
        <w:rPr>
          <w:rFonts w:hint="cs"/>
          <w:sz w:val="24"/>
          <w:szCs w:val="24"/>
          <w:rtl/>
        </w:rPr>
        <w:t>צ</w:t>
      </w:r>
      <w:r>
        <w:rPr>
          <w:rFonts w:hint="cs"/>
          <w:sz w:val="24"/>
          <w:szCs w:val="24"/>
          <w:rtl/>
        </w:rPr>
        <w:t>וו</w:t>
      </w:r>
      <w:r w:rsidR="000111A6">
        <w:rPr>
          <w:rFonts w:hint="cs"/>
          <w:sz w:val="24"/>
          <w:szCs w:val="24"/>
          <w:rtl/>
        </w:rPr>
        <w:t xml:space="preserve"> שופטי ישראל</w:t>
      </w:r>
      <w:r>
        <w:rPr>
          <w:rFonts w:hint="cs"/>
          <w:sz w:val="24"/>
          <w:szCs w:val="24"/>
          <w:rtl/>
        </w:rPr>
        <w:t xml:space="preserve"> להוציא תשובה מתוך עקרונות של מורשת ישראל </w:t>
      </w:r>
      <w:r w:rsidR="00D94A9A">
        <w:rPr>
          <w:rFonts w:hint="cs"/>
          <w:sz w:val="24"/>
          <w:szCs w:val="24"/>
          <w:rtl/>
        </w:rPr>
        <w:t>.</w:t>
      </w:r>
      <w:r w:rsidR="00B70F48">
        <w:rPr>
          <w:rFonts w:hint="cs"/>
          <w:sz w:val="24"/>
          <w:szCs w:val="24"/>
          <w:rtl/>
        </w:rPr>
        <w:t xml:space="preserve"> </w:t>
      </w:r>
      <w:r w:rsidR="00B70F48" w:rsidRPr="000111A6">
        <w:rPr>
          <w:rFonts w:hint="cs"/>
          <w:b/>
          <w:bCs/>
          <w:sz w:val="24"/>
          <w:szCs w:val="24"/>
          <w:rtl/>
        </w:rPr>
        <w:t>ההפניה האחרונה הזאת אינה בגדר רשות אלא בגדר חובה</w:t>
      </w:r>
      <w:r w:rsidR="00B70F48">
        <w:rPr>
          <w:rFonts w:hint="cs"/>
          <w:sz w:val="24"/>
          <w:szCs w:val="24"/>
          <w:rtl/>
        </w:rPr>
        <w:t xml:space="preserve">. </w:t>
      </w:r>
    </w:p>
    <w:p w:rsidR="00EA20C1" w:rsidRDefault="00EA20C1" w:rsidP="00EA20C1">
      <w:pPr>
        <w:pStyle w:val="a3"/>
        <w:numPr>
          <w:ilvl w:val="0"/>
          <w:numId w:val="1"/>
        </w:numPr>
        <w:spacing w:line="360" w:lineRule="auto"/>
        <w:ind w:hanging="357"/>
        <w:jc w:val="both"/>
        <w:rPr>
          <w:sz w:val="24"/>
          <w:szCs w:val="24"/>
        </w:rPr>
      </w:pPr>
      <w:r>
        <w:rPr>
          <w:rFonts w:hint="cs"/>
          <w:sz w:val="24"/>
          <w:szCs w:val="24"/>
          <w:rtl/>
        </w:rPr>
        <w:t xml:space="preserve">הואיל ובחוק יסוד השפיטה מש' התשמ"ד (ארבע שנים  לאחר חקיקת חוק יסודות המשפט) שם בסעיף 20 העוסק ב"הלכה פסוקה" נקבע כי פסקי דין של בית המשפט העליון מחייבים כל בתי המשפט למעט בית המשפט העליון, והואיל ועניינים נשוא חוק יסודות המשפט מוכרעים, בסופו של דבר, בבית המשפט העליון, התבטל ס"ק (ב) לס' 7 לעיל </w:t>
      </w:r>
      <w:r>
        <w:rPr>
          <w:sz w:val="24"/>
          <w:szCs w:val="24"/>
          <w:rtl/>
        </w:rPr>
        <w:t>–</w:t>
      </w:r>
      <w:r>
        <w:rPr>
          <w:rFonts w:hint="cs"/>
          <w:sz w:val="24"/>
          <w:szCs w:val="24"/>
          <w:rtl/>
        </w:rPr>
        <w:t xml:space="preserve"> במידה ומדובר בדיון בבית המשפט העליון. בכך הורחב  תחומו של חוק יסודות המשפט. </w:t>
      </w:r>
    </w:p>
    <w:p w:rsidR="002F385B" w:rsidRDefault="002F385B" w:rsidP="00B70F48">
      <w:pPr>
        <w:pStyle w:val="a3"/>
        <w:numPr>
          <w:ilvl w:val="0"/>
          <w:numId w:val="1"/>
        </w:numPr>
        <w:spacing w:line="360" w:lineRule="auto"/>
        <w:ind w:hanging="357"/>
        <w:jc w:val="both"/>
        <w:rPr>
          <w:sz w:val="24"/>
          <w:szCs w:val="24"/>
        </w:rPr>
      </w:pPr>
      <w:r>
        <w:rPr>
          <w:rFonts w:hint="cs"/>
          <w:sz w:val="24"/>
          <w:szCs w:val="24"/>
          <w:rtl/>
        </w:rPr>
        <w:t xml:space="preserve">מורשת ישראל </w:t>
      </w:r>
      <w:r w:rsidR="00D94A9A">
        <w:rPr>
          <w:rFonts w:hint="cs"/>
          <w:sz w:val="24"/>
          <w:szCs w:val="24"/>
          <w:rtl/>
        </w:rPr>
        <w:t>אינה מצומצמת לכללי</w:t>
      </w:r>
      <w:r>
        <w:rPr>
          <w:rFonts w:hint="cs"/>
          <w:sz w:val="24"/>
          <w:szCs w:val="24"/>
          <w:rtl/>
        </w:rPr>
        <w:t xml:space="preserve"> המשפט הדתי היהודי</w:t>
      </w:r>
      <w:r w:rsidR="00DF2458">
        <w:rPr>
          <w:rFonts w:hint="cs"/>
          <w:sz w:val="24"/>
          <w:szCs w:val="24"/>
          <w:rtl/>
        </w:rPr>
        <w:t xml:space="preserve">. </w:t>
      </w:r>
      <w:r>
        <w:rPr>
          <w:rFonts w:hint="cs"/>
          <w:sz w:val="24"/>
          <w:szCs w:val="24"/>
          <w:rtl/>
        </w:rPr>
        <w:t xml:space="preserve">כל יצירה </w:t>
      </w:r>
      <w:r>
        <w:rPr>
          <w:sz w:val="24"/>
          <w:szCs w:val="24"/>
          <w:rtl/>
        </w:rPr>
        <w:t>–</w:t>
      </w:r>
      <w:r>
        <w:rPr>
          <w:rFonts w:hint="cs"/>
          <w:sz w:val="24"/>
          <w:szCs w:val="24"/>
          <w:rtl/>
        </w:rPr>
        <w:t xml:space="preserve"> גם יצירה חילונית </w:t>
      </w:r>
      <w:r>
        <w:rPr>
          <w:sz w:val="24"/>
          <w:szCs w:val="24"/>
          <w:rtl/>
        </w:rPr>
        <w:t>–</w:t>
      </w:r>
      <w:r>
        <w:rPr>
          <w:rFonts w:hint="cs"/>
          <w:sz w:val="24"/>
          <w:szCs w:val="24"/>
          <w:rtl/>
        </w:rPr>
        <w:t xml:space="preserve"> שהיא במסגרת רוחו של עם ישראל היא "מורשת ישראל</w:t>
      </w:r>
      <w:r w:rsidR="00DF2458">
        <w:rPr>
          <w:rFonts w:hint="cs"/>
          <w:sz w:val="24"/>
          <w:szCs w:val="24"/>
          <w:rtl/>
        </w:rPr>
        <w:t>"</w:t>
      </w:r>
      <w:r>
        <w:rPr>
          <w:rFonts w:hint="cs"/>
          <w:sz w:val="24"/>
          <w:szCs w:val="24"/>
          <w:rtl/>
        </w:rPr>
        <w:t>.</w:t>
      </w:r>
    </w:p>
    <w:p w:rsidR="002F385B" w:rsidRDefault="002F385B" w:rsidP="00D96DD5">
      <w:pPr>
        <w:pStyle w:val="a3"/>
        <w:numPr>
          <w:ilvl w:val="0"/>
          <w:numId w:val="1"/>
        </w:numPr>
        <w:spacing w:line="360" w:lineRule="auto"/>
        <w:ind w:hanging="357"/>
        <w:jc w:val="both"/>
        <w:rPr>
          <w:sz w:val="24"/>
          <w:szCs w:val="24"/>
        </w:rPr>
      </w:pPr>
      <w:r>
        <w:rPr>
          <w:rFonts w:hint="cs"/>
          <w:sz w:val="24"/>
          <w:szCs w:val="24"/>
          <w:rtl/>
        </w:rPr>
        <w:t xml:space="preserve">בפועל פוסקים שופטינו כעולה בדעתם </w:t>
      </w:r>
      <w:r>
        <w:rPr>
          <w:sz w:val="24"/>
          <w:szCs w:val="24"/>
          <w:rtl/>
        </w:rPr>
        <w:t>–</w:t>
      </w:r>
      <w:r>
        <w:rPr>
          <w:rFonts w:hint="cs"/>
          <w:sz w:val="24"/>
          <w:szCs w:val="24"/>
          <w:rtl/>
        </w:rPr>
        <w:t xml:space="preserve"> ללא הגבלה </w:t>
      </w:r>
      <w:r>
        <w:rPr>
          <w:sz w:val="24"/>
          <w:szCs w:val="24"/>
          <w:rtl/>
        </w:rPr>
        <w:t>–</w:t>
      </w:r>
      <w:r>
        <w:rPr>
          <w:rFonts w:hint="cs"/>
          <w:sz w:val="24"/>
          <w:szCs w:val="24"/>
          <w:rtl/>
        </w:rPr>
        <w:t xml:space="preserve"> כולל </w:t>
      </w:r>
      <w:r w:rsidR="00DF2458">
        <w:rPr>
          <w:rFonts w:hint="cs"/>
          <w:sz w:val="24"/>
          <w:szCs w:val="24"/>
          <w:rtl/>
        </w:rPr>
        <w:t xml:space="preserve">פסיקות שהם פוסקים </w:t>
      </w:r>
      <w:r>
        <w:rPr>
          <w:rFonts w:hint="cs"/>
          <w:sz w:val="24"/>
          <w:szCs w:val="24"/>
          <w:rtl/>
        </w:rPr>
        <w:t>לפי פסיקות וחוק</w:t>
      </w:r>
      <w:r w:rsidR="00D96DD5">
        <w:rPr>
          <w:rFonts w:hint="cs"/>
          <w:sz w:val="24"/>
          <w:szCs w:val="24"/>
          <w:rtl/>
        </w:rPr>
        <w:t>ים</w:t>
      </w:r>
      <w:r>
        <w:rPr>
          <w:rFonts w:hint="cs"/>
          <w:sz w:val="24"/>
          <w:szCs w:val="24"/>
          <w:rtl/>
        </w:rPr>
        <w:t xml:space="preserve"> ש</w:t>
      </w:r>
      <w:r w:rsidR="00B70F48">
        <w:rPr>
          <w:rFonts w:hint="cs"/>
          <w:sz w:val="24"/>
          <w:szCs w:val="24"/>
          <w:rtl/>
        </w:rPr>
        <w:t xml:space="preserve">התקבלו אצל </w:t>
      </w:r>
      <w:r>
        <w:rPr>
          <w:rFonts w:hint="cs"/>
          <w:sz w:val="24"/>
          <w:szCs w:val="24"/>
          <w:rtl/>
        </w:rPr>
        <w:t>אומות העולם.</w:t>
      </w:r>
    </w:p>
    <w:p w:rsidR="00DD55DD" w:rsidRDefault="002F385B" w:rsidP="00D96DD5">
      <w:pPr>
        <w:pStyle w:val="a3"/>
        <w:numPr>
          <w:ilvl w:val="0"/>
          <w:numId w:val="1"/>
        </w:numPr>
        <w:spacing w:line="360" w:lineRule="auto"/>
        <w:ind w:hanging="357"/>
        <w:jc w:val="both"/>
        <w:rPr>
          <w:sz w:val="24"/>
          <w:szCs w:val="24"/>
        </w:rPr>
      </w:pPr>
      <w:r>
        <w:rPr>
          <w:rFonts w:hint="cs"/>
          <w:sz w:val="24"/>
          <w:szCs w:val="24"/>
          <w:rtl/>
        </w:rPr>
        <w:lastRenderedPageBreak/>
        <w:t xml:space="preserve">התיקון המוצע אינו מתקן </w:t>
      </w:r>
      <w:r w:rsidR="00DD55DD">
        <w:rPr>
          <w:rFonts w:hint="cs"/>
          <w:sz w:val="24"/>
          <w:szCs w:val="24"/>
          <w:rtl/>
        </w:rPr>
        <w:t xml:space="preserve">את הסטייה </w:t>
      </w:r>
      <w:r w:rsidR="00D96DD5">
        <w:rPr>
          <w:rFonts w:hint="cs"/>
          <w:sz w:val="24"/>
          <w:szCs w:val="24"/>
          <w:rtl/>
        </w:rPr>
        <w:t>מהוראות החוק (חוק יסודות המשפט)</w:t>
      </w:r>
      <w:r w:rsidR="00B70F48">
        <w:rPr>
          <w:rFonts w:hint="cs"/>
          <w:sz w:val="24"/>
          <w:szCs w:val="24"/>
          <w:rtl/>
        </w:rPr>
        <w:t xml:space="preserve">. </w:t>
      </w:r>
      <w:r w:rsidR="00225BD4">
        <w:rPr>
          <w:rFonts w:hint="cs"/>
          <w:sz w:val="24"/>
          <w:szCs w:val="24"/>
          <w:rtl/>
        </w:rPr>
        <w:t xml:space="preserve">ואגב </w:t>
      </w:r>
      <w:r w:rsidR="00225BD4">
        <w:rPr>
          <w:sz w:val="24"/>
          <w:szCs w:val="24"/>
          <w:rtl/>
        </w:rPr>
        <w:t>–</w:t>
      </w:r>
      <w:r w:rsidR="00225BD4">
        <w:rPr>
          <w:rFonts w:hint="cs"/>
          <w:sz w:val="24"/>
          <w:szCs w:val="24"/>
          <w:rtl/>
        </w:rPr>
        <w:t xml:space="preserve"> חוק </w:t>
      </w:r>
      <w:r w:rsidR="00D96DD5">
        <w:rPr>
          <w:rFonts w:hint="cs"/>
          <w:sz w:val="24"/>
          <w:szCs w:val="24"/>
          <w:rtl/>
        </w:rPr>
        <w:t>זה</w:t>
      </w:r>
      <w:r w:rsidR="00225BD4">
        <w:rPr>
          <w:rFonts w:hint="cs"/>
          <w:sz w:val="24"/>
          <w:szCs w:val="24"/>
          <w:rtl/>
        </w:rPr>
        <w:t xml:space="preserve"> תואם את עקרון היותנו "מדינה יהודית", כפי שנקבע במגילת העצמאות</w:t>
      </w:r>
      <w:r w:rsidR="00DD55DD">
        <w:rPr>
          <w:rFonts w:hint="cs"/>
          <w:sz w:val="24"/>
          <w:szCs w:val="24"/>
          <w:rtl/>
        </w:rPr>
        <w:t>.</w:t>
      </w:r>
    </w:p>
    <w:p w:rsidR="00DD55DD" w:rsidRDefault="00DD55DD" w:rsidP="00225BD4">
      <w:pPr>
        <w:pStyle w:val="a3"/>
        <w:numPr>
          <w:ilvl w:val="0"/>
          <w:numId w:val="1"/>
        </w:numPr>
        <w:spacing w:line="360" w:lineRule="auto"/>
        <w:ind w:hanging="357"/>
        <w:jc w:val="both"/>
        <w:rPr>
          <w:sz w:val="24"/>
          <w:szCs w:val="24"/>
        </w:rPr>
      </w:pPr>
      <w:r>
        <w:rPr>
          <w:rFonts w:hint="cs"/>
          <w:sz w:val="24"/>
          <w:szCs w:val="24"/>
          <w:rtl/>
        </w:rPr>
        <w:t>בכך התאפשר לשופטי</w:t>
      </w:r>
      <w:r w:rsidR="00225BD4">
        <w:rPr>
          <w:rFonts w:hint="cs"/>
          <w:sz w:val="24"/>
          <w:szCs w:val="24"/>
          <w:rtl/>
        </w:rPr>
        <w:t>נו</w:t>
      </w:r>
      <w:r>
        <w:rPr>
          <w:rFonts w:hint="cs"/>
          <w:sz w:val="24"/>
          <w:szCs w:val="24"/>
          <w:rtl/>
        </w:rPr>
        <w:t xml:space="preserve"> לפסוק כ</w:t>
      </w:r>
      <w:r w:rsidR="00D96DD5">
        <w:rPr>
          <w:rFonts w:hint="cs"/>
          <w:sz w:val="24"/>
          <w:szCs w:val="24"/>
          <w:rtl/>
        </w:rPr>
        <w:t>כל ה</w:t>
      </w:r>
      <w:r>
        <w:rPr>
          <w:rFonts w:hint="cs"/>
          <w:sz w:val="24"/>
          <w:szCs w:val="24"/>
          <w:rtl/>
        </w:rPr>
        <w:t>עולה בדעתם, ומורשת ישראל נותרה מיותמת.</w:t>
      </w:r>
    </w:p>
    <w:p w:rsidR="00225BD4" w:rsidRDefault="00DD55DD" w:rsidP="00225BD4">
      <w:pPr>
        <w:pStyle w:val="a3"/>
        <w:numPr>
          <w:ilvl w:val="0"/>
          <w:numId w:val="1"/>
        </w:numPr>
        <w:spacing w:line="360" w:lineRule="auto"/>
        <w:ind w:hanging="357"/>
        <w:jc w:val="both"/>
        <w:rPr>
          <w:sz w:val="24"/>
          <w:szCs w:val="24"/>
        </w:rPr>
      </w:pPr>
      <w:r>
        <w:rPr>
          <w:rFonts w:hint="cs"/>
          <w:sz w:val="24"/>
          <w:szCs w:val="24"/>
          <w:rtl/>
        </w:rPr>
        <w:t xml:space="preserve">היוזמה </w:t>
      </w:r>
      <w:r w:rsidR="00D96DD5">
        <w:rPr>
          <w:rFonts w:hint="cs"/>
          <w:sz w:val="24"/>
          <w:szCs w:val="24"/>
          <w:rtl/>
        </w:rPr>
        <w:t xml:space="preserve">נשוא הצעת החוק </w:t>
      </w:r>
      <w:r>
        <w:rPr>
          <w:rFonts w:hint="cs"/>
          <w:sz w:val="24"/>
          <w:szCs w:val="24"/>
          <w:rtl/>
        </w:rPr>
        <w:t>שלפנינו אינה מחייבת את השופטים לשנות את גישתם ש</w:t>
      </w:r>
      <w:r w:rsidR="00225BD4">
        <w:rPr>
          <w:rFonts w:hint="cs"/>
          <w:sz w:val="24"/>
          <w:szCs w:val="24"/>
          <w:rtl/>
        </w:rPr>
        <w:t>הותירה</w:t>
      </w:r>
      <w:r>
        <w:rPr>
          <w:rFonts w:hint="cs"/>
          <w:sz w:val="24"/>
          <w:szCs w:val="24"/>
          <w:rtl/>
        </w:rPr>
        <w:t xml:space="preserve"> את ההזדקקות לעקרונות מורשת ישראל </w:t>
      </w:r>
      <w:r w:rsidR="00225BD4">
        <w:rPr>
          <w:rFonts w:hint="cs"/>
          <w:sz w:val="24"/>
          <w:szCs w:val="24"/>
          <w:rtl/>
        </w:rPr>
        <w:t>כאמירה</w:t>
      </w:r>
      <w:r>
        <w:rPr>
          <w:rFonts w:hint="cs"/>
          <w:sz w:val="24"/>
          <w:szCs w:val="24"/>
          <w:rtl/>
        </w:rPr>
        <w:t xml:space="preserve"> ריקה </w:t>
      </w:r>
      <w:r w:rsidR="00225BD4">
        <w:rPr>
          <w:rFonts w:hint="cs"/>
          <w:sz w:val="24"/>
          <w:szCs w:val="24"/>
          <w:rtl/>
        </w:rPr>
        <w:t>ובלתי</w:t>
      </w:r>
      <w:r>
        <w:rPr>
          <w:rFonts w:hint="cs"/>
          <w:sz w:val="24"/>
          <w:szCs w:val="24"/>
          <w:rtl/>
        </w:rPr>
        <w:t xml:space="preserve"> מחייבת. </w:t>
      </w:r>
    </w:p>
    <w:p w:rsidR="00710130" w:rsidRPr="0064068B" w:rsidRDefault="00DD55DD" w:rsidP="006639CD">
      <w:pPr>
        <w:pStyle w:val="a3"/>
        <w:numPr>
          <w:ilvl w:val="0"/>
          <w:numId w:val="1"/>
        </w:numPr>
        <w:spacing w:line="360" w:lineRule="auto"/>
        <w:ind w:hanging="357"/>
        <w:jc w:val="both"/>
        <w:rPr>
          <w:sz w:val="24"/>
          <w:szCs w:val="24"/>
        </w:rPr>
      </w:pPr>
      <w:r w:rsidRPr="0064068B">
        <w:rPr>
          <w:rFonts w:hint="cs"/>
          <w:sz w:val="24"/>
          <w:szCs w:val="24"/>
          <w:rtl/>
        </w:rPr>
        <w:t xml:space="preserve">במקום המצב עד היום </w:t>
      </w:r>
      <w:r w:rsidRPr="0064068B">
        <w:rPr>
          <w:sz w:val="24"/>
          <w:szCs w:val="24"/>
          <w:rtl/>
        </w:rPr>
        <w:t>–</w:t>
      </w:r>
      <w:r w:rsidRPr="0064068B">
        <w:rPr>
          <w:rFonts w:hint="cs"/>
          <w:sz w:val="24"/>
          <w:szCs w:val="24"/>
          <w:rtl/>
        </w:rPr>
        <w:t xml:space="preserve"> של התעלמות מהוראות החוק </w:t>
      </w:r>
      <w:r w:rsidR="00D96DD5" w:rsidRPr="0064068B">
        <w:rPr>
          <w:rFonts w:hint="cs"/>
          <w:sz w:val="24"/>
          <w:szCs w:val="24"/>
          <w:rtl/>
        </w:rPr>
        <w:t>לעניין</w:t>
      </w:r>
      <w:r w:rsidRPr="0064068B">
        <w:rPr>
          <w:rFonts w:hint="cs"/>
          <w:sz w:val="24"/>
          <w:szCs w:val="24"/>
          <w:rtl/>
        </w:rPr>
        <w:t xml:space="preserve"> מורשת ישראל, בוודאי תבוא התעלמות מהוראות "המשפט העברי"</w:t>
      </w:r>
      <w:r w:rsidR="00710130" w:rsidRPr="0064068B">
        <w:rPr>
          <w:rFonts w:hint="cs"/>
          <w:sz w:val="24"/>
          <w:szCs w:val="24"/>
          <w:rtl/>
        </w:rPr>
        <w:t>, אשר אין חובה להזדקק להם</w:t>
      </w:r>
      <w:r w:rsidR="00225BD4" w:rsidRPr="0064068B">
        <w:rPr>
          <w:rFonts w:hint="cs"/>
          <w:sz w:val="24"/>
          <w:szCs w:val="24"/>
          <w:rtl/>
        </w:rPr>
        <w:t>, לפי מילות הצעת החוק</w:t>
      </w:r>
      <w:r w:rsidR="00710130" w:rsidRPr="0064068B">
        <w:rPr>
          <w:rFonts w:hint="cs"/>
          <w:sz w:val="24"/>
          <w:szCs w:val="24"/>
          <w:rtl/>
        </w:rPr>
        <w:t>.</w:t>
      </w:r>
      <w:r w:rsidRPr="0064068B">
        <w:rPr>
          <w:rFonts w:hint="cs"/>
          <w:sz w:val="24"/>
          <w:szCs w:val="24"/>
          <w:rtl/>
        </w:rPr>
        <w:t xml:space="preserve"> אם לגבי "עקרונות מורשת ישראל" </w:t>
      </w:r>
      <w:r w:rsidR="00D96DD5" w:rsidRPr="0064068B">
        <w:rPr>
          <w:rFonts w:hint="cs"/>
          <w:sz w:val="24"/>
          <w:szCs w:val="24"/>
          <w:rtl/>
        </w:rPr>
        <w:t xml:space="preserve">נקבע בחוק הקיים </w:t>
      </w:r>
      <w:r w:rsidRPr="0064068B">
        <w:rPr>
          <w:rFonts w:hint="cs"/>
          <w:sz w:val="24"/>
          <w:szCs w:val="24"/>
          <w:rtl/>
        </w:rPr>
        <w:t>נ</w:t>
      </w:r>
      <w:r w:rsidR="00D96DD5" w:rsidRPr="0064068B">
        <w:rPr>
          <w:rFonts w:hint="cs"/>
          <w:sz w:val="24"/>
          <w:szCs w:val="24"/>
          <w:rtl/>
        </w:rPr>
        <w:t>קבע חיוב</w:t>
      </w:r>
      <w:r w:rsidRPr="0064068B">
        <w:rPr>
          <w:rFonts w:hint="cs"/>
          <w:sz w:val="24"/>
          <w:szCs w:val="24"/>
          <w:rtl/>
        </w:rPr>
        <w:t xml:space="preserve"> ("</w:t>
      </w:r>
      <w:r w:rsidRPr="0064068B">
        <w:rPr>
          <w:rFonts w:hint="cs"/>
          <w:b/>
          <w:bCs/>
          <w:sz w:val="24"/>
          <w:szCs w:val="24"/>
          <w:rtl/>
        </w:rPr>
        <w:t xml:space="preserve">יכריע </w:t>
      </w:r>
      <w:r w:rsidRPr="0064068B">
        <w:rPr>
          <w:rFonts w:hint="cs"/>
          <w:sz w:val="24"/>
          <w:szCs w:val="24"/>
          <w:rtl/>
        </w:rPr>
        <w:t>... לאור עקרונות ...</w:t>
      </w:r>
      <w:r w:rsidR="00710130" w:rsidRPr="0064068B">
        <w:rPr>
          <w:rFonts w:hint="cs"/>
          <w:sz w:val="24"/>
          <w:szCs w:val="24"/>
          <w:rtl/>
        </w:rPr>
        <w:t xml:space="preserve"> מורשת ישראל).</w:t>
      </w:r>
      <w:r w:rsidR="00D96DD5" w:rsidRPr="0064068B">
        <w:rPr>
          <w:rFonts w:hint="cs"/>
          <w:sz w:val="24"/>
          <w:szCs w:val="24"/>
          <w:rtl/>
        </w:rPr>
        <w:t xml:space="preserve">- עתה </w:t>
      </w:r>
      <w:r w:rsidR="00D96DD5" w:rsidRPr="0064068B">
        <w:rPr>
          <w:sz w:val="24"/>
          <w:szCs w:val="24"/>
          <w:rtl/>
        </w:rPr>
        <w:t>–</w:t>
      </w:r>
      <w:r w:rsidR="00D96DD5" w:rsidRPr="0064068B">
        <w:rPr>
          <w:rFonts w:hint="cs"/>
          <w:sz w:val="24"/>
          <w:szCs w:val="24"/>
          <w:rtl/>
        </w:rPr>
        <w:t xml:space="preserve"> </w:t>
      </w:r>
      <w:r w:rsidR="00710130" w:rsidRPr="0064068B">
        <w:rPr>
          <w:rFonts w:hint="cs"/>
          <w:sz w:val="24"/>
          <w:szCs w:val="24"/>
          <w:rtl/>
        </w:rPr>
        <w:t>כפי התיקון המוצע על דבר הקמת מכון למשפט עברי</w:t>
      </w:r>
      <w:r w:rsidR="00B82FE9" w:rsidRPr="0064068B">
        <w:rPr>
          <w:rFonts w:hint="cs"/>
          <w:sz w:val="24"/>
          <w:szCs w:val="24"/>
          <w:rtl/>
        </w:rPr>
        <w:t xml:space="preserve"> </w:t>
      </w:r>
      <w:r w:rsidR="00D96DD5" w:rsidRPr="0064068B">
        <w:rPr>
          <w:rFonts w:hint="cs"/>
          <w:sz w:val="24"/>
          <w:szCs w:val="24"/>
          <w:rtl/>
        </w:rPr>
        <w:t>לא נקבעה חובה לפנות למכון זה</w:t>
      </w:r>
      <w:r w:rsidR="00710130" w:rsidRPr="0064068B">
        <w:rPr>
          <w:rFonts w:hint="cs"/>
          <w:sz w:val="24"/>
          <w:szCs w:val="24"/>
          <w:rtl/>
        </w:rPr>
        <w:t xml:space="preserve">. עד היום התקיימה הוראת חוק </w:t>
      </w:r>
      <w:r w:rsidR="00710130" w:rsidRPr="0064068B">
        <w:rPr>
          <w:rFonts w:hint="cs"/>
          <w:b/>
          <w:bCs/>
          <w:sz w:val="24"/>
          <w:szCs w:val="24"/>
          <w:rtl/>
        </w:rPr>
        <w:t>המחייבת לעשות דבר</w:t>
      </w:r>
      <w:r w:rsidR="00710130" w:rsidRPr="0064068B">
        <w:rPr>
          <w:rFonts w:hint="cs"/>
          <w:sz w:val="24"/>
          <w:szCs w:val="24"/>
          <w:rtl/>
        </w:rPr>
        <w:t xml:space="preserve"> </w:t>
      </w:r>
      <w:r w:rsidR="00710130" w:rsidRPr="0064068B">
        <w:rPr>
          <w:sz w:val="24"/>
          <w:szCs w:val="24"/>
          <w:rtl/>
        </w:rPr>
        <w:t>–</w:t>
      </w:r>
      <w:r w:rsidR="00710130" w:rsidRPr="0064068B">
        <w:rPr>
          <w:rFonts w:hint="cs"/>
          <w:sz w:val="24"/>
          <w:szCs w:val="24"/>
          <w:rtl/>
        </w:rPr>
        <w:t xml:space="preserve"> והשופטים מתעלמים ממנה. עתה </w:t>
      </w:r>
      <w:r w:rsidR="00710130" w:rsidRPr="0064068B">
        <w:rPr>
          <w:sz w:val="24"/>
          <w:szCs w:val="24"/>
          <w:rtl/>
        </w:rPr>
        <w:t>–</w:t>
      </w:r>
      <w:r w:rsidR="00710130" w:rsidRPr="0064068B">
        <w:rPr>
          <w:rFonts w:hint="cs"/>
          <w:sz w:val="24"/>
          <w:szCs w:val="24"/>
          <w:rtl/>
        </w:rPr>
        <w:t xml:space="preserve"> </w:t>
      </w:r>
      <w:r w:rsidR="00225BD4" w:rsidRPr="0064068B">
        <w:rPr>
          <w:rFonts w:hint="cs"/>
          <w:sz w:val="24"/>
          <w:szCs w:val="24"/>
          <w:rtl/>
        </w:rPr>
        <w:t xml:space="preserve">שאין בהקמת המכון למשפט עברי </w:t>
      </w:r>
      <w:r w:rsidR="00225BD4" w:rsidRPr="0064068B">
        <w:rPr>
          <w:rFonts w:hint="cs"/>
          <w:b/>
          <w:bCs/>
          <w:sz w:val="24"/>
          <w:szCs w:val="24"/>
          <w:rtl/>
        </w:rPr>
        <w:t xml:space="preserve">חובה </w:t>
      </w:r>
      <w:r w:rsidR="00225BD4" w:rsidRPr="0064068B">
        <w:rPr>
          <w:rFonts w:hint="cs"/>
          <w:sz w:val="24"/>
          <w:szCs w:val="24"/>
          <w:rtl/>
        </w:rPr>
        <w:t>לשופטים לה</w:t>
      </w:r>
      <w:r w:rsidR="006628C6" w:rsidRPr="0064068B">
        <w:rPr>
          <w:rFonts w:hint="cs"/>
          <w:sz w:val="24"/>
          <w:szCs w:val="24"/>
          <w:rtl/>
        </w:rPr>
        <w:t>י</w:t>
      </w:r>
      <w:r w:rsidR="00225BD4" w:rsidRPr="0064068B">
        <w:rPr>
          <w:rFonts w:hint="cs"/>
          <w:sz w:val="24"/>
          <w:szCs w:val="24"/>
          <w:rtl/>
        </w:rPr>
        <w:t xml:space="preserve">זקק למכון זה </w:t>
      </w:r>
      <w:r w:rsidR="00225BD4" w:rsidRPr="0064068B">
        <w:rPr>
          <w:sz w:val="24"/>
          <w:szCs w:val="24"/>
          <w:rtl/>
        </w:rPr>
        <w:t>–</w:t>
      </w:r>
      <w:r w:rsidR="00225BD4" w:rsidRPr="0064068B">
        <w:rPr>
          <w:rFonts w:hint="cs"/>
          <w:sz w:val="24"/>
          <w:szCs w:val="24"/>
          <w:rtl/>
        </w:rPr>
        <w:t xml:space="preserve"> </w:t>
      </w:r>
      <w:r w:rsidR="00C107D9" w:rsidRPr="0064068B">
        <w:rPr>
          <w:rFonts w:hint="cs"/>
          <w:sz w:val="24"/>
          <w:szCs w:val="24"/>
          <w:rtl/>
        </w:rPr>
        <w:t>האפשרות שיתעלמו מהחוק המתוקן גדולה יותר</w:t>
      </w:r>
      <w:r w:rsidR="00172C31" w:rsidRPr="0064068B">
        <w:rPr>
          <w:rFonts w:hint="cs"/>
          <w:sz w:val="24"/>
          <w:szCs w:val="24"/>
          <w:rtl/>
        </w:rPr>
        <w:t>.</w:t>
      </w:r>
    </w:p>
    <w:p w:rsidR="006B14FD" w:rsidRDefault="006628C6" w:rsidP="0064068B">
      <w:pPr>
        <w:pStyle w:val="a3"/>
        <w:numPr>
          <w:ilvl w:val="0"/>
          <w:numId w:val="1"/>
        </w:numPr>
        <w:spacing w:line="360" w:lineRule="auto"/>
        <w:ind w:hanging="357"/>
        <w:jc w:val="both"/>
        <w:rPr>
          <w:sz w:val="24"/>
          <w:szCs w:val="24"/>
        </w:rPr>
      </w:pPr>
      <w:r w:rsidRPr="006B14FD">
        <w:rPr>
          <w:rFonts w:hint="cs"/>
          <w:sz w:val="24"/>
          <w:szCs w:val="24"/>
          <w:rtl/>
        </w:rPr>
        <w:t>האיזכור של שלושה פסקי דין ש</w:t>
      </w:r>
      <w:r w:rsidR="0064068B">
        <w:rPr>
          <w:rFonts w:hint="cs"/>
          <w:sz w:val="24"/>
          <w:szCs w:val="24"/>
          <w:rtl/>
        </w:rPr>
        <w:t xml:space="preserve">צמצמו את הפנייה למורשת ישראל לכדי מקרים נדירים </w:t>
      </w:r>
      <w:r w:rsidR="0064068B">
        <w:rPr>
          <w:sz w:val="24"/>
          <w:szCs w:val="24"/>
          <w:rtl/>
        </w:rPr>
        <w:t>–</w:t>
      </w:r>
      <w:r w:rsidR="0064068B">
        <w:rPr>
          <w:rFonts w:hint="cs"/>
          <w:sz w:val="24"/>
          <w:szCs w:val="24"/>
          <w:rtl/>
        </w:rPr>
        <w:t xml:space="preserve"> הוא טעות. איזכור זה יוצר</w:t>
      </w:r>
      <w:r w:rsidRPr="006B14FD">
        <w:rPr>
          <w:rFonts w:hint="cs"/>
          <w:sz w:val="24"/>
          <w:szCs w:val="24"/>
          <w:rtl/>
        </w:rPr>
        <w:t xml:space="preserve"> בלבול </w:t>
      </w:r>
      <w:r w:rsidRPr="006B14FD">
        <w:rPr>
          <w:sz w:val="24"/>
          <w:szCs w:val="24"/>
          <w:rtl/>
        </w:rPr>
        <w:t>–</w:t>
      </w:r>
      <w:r w:rsidRPr="006B14FD">
        <w:rPr>
          <w:rFonts w:hint="cs"/>
          <w:sz w:val="24"/>
          <w:szCs w:val="24"/>
          <w:rtl/>
        </w:rPr>
        <w:t xml:space="preserve"> הואיל והכנסת כאורגן פוליטי אינ</w:t>
      </w:r>
      <w:r w:rsidR="0064068B">
        <w:rPr>
          <w:rFonts w:hint="cs"/>
          <w:sz w:val="24"/>
          <w:szCs w:val="24"/>
          <w:rtl/>
        </w:rPr>
        <w:t>ה</w:t>
      </w:r>
      <w:r w:rsidRPr="006B14FD">
        <w:rPr>
          <w:rFonts w:hint="cs"/>
          <w:sz w:val="24"/>
          <w:szCs w:val="24"/>
          <w:rtl/>
        </w:rPr>
        <w:t xml:space="preserve"> צרי</w:t>
      </w:r>
      <w:r w:rsidR="0064068B">
        <w:rPr>
          <w:rFonts w:hint="cs"/>
          <w:sz w:val="24"/>
          <w:szCs w:val="24"/>
          <w:rtl/>
        </w:rPr>
        <w:t>כה</w:t>
      </w:r>
      <w:r w:rsidRPr="006B14FD">
        <w:rPr>
          <w:rFonts w:hint="cs"/>
          <w:sz w:val="24"/>
          <w:szCs w:val="24"/>
          <w:rtl/>
        </w:rPr>
        <w:t xml:space="preserve"> לכבול עצמ</w:t>
      </w:r>
      <w:r w:rsidR="0064068B">
        <w:rPr>
          <w:rFonts w:hint="cs"/>
          <w:sz w:val="24"/>
          <w:szCs w:val="24"/>
          <w:rtl/>
        </w:rPr>
        <w:t>ה</w:t>
      </w:r>
      <w:r w:rsidRPr="006B14FD">
        <w:rPr>
          <w:rFonts w:hint="cs"/>
          <w:sz w:val="24"/>
          <w:szCs w:val="24"/>
          <w:rtl/>
        </w:rPr>
        <w:t xml:space="preserve"> לפסיקות של בית משפט</w:t>
      </w:r>
      <w:r w:rsidR="0064068B">
        <w:rPr>
          <w:rFonts w:hint="cs"/>
          <w:sz w:val="24"/>
          <w:szCs w:val="24"/>
          <w:rtl/>
        </w:rPr>
        <w:t xml:space="preserve">. בתי משפט אמורים </w:t>
      </w:r>
      <w:r w:rsidRPr="006B14FD">
        <w:rPr>
          <w:rFonts w:hint="cs"/>
          <w:sz w:val="24"/>
          <w:szCs w:val="24"/>
          <w:rtl/>
        </w:rPr>
        <w:t>להתרחק מן הפוליטיקה</w:t>
      </w:r>
      <w:r w:rsidR="0064068B">
        <w:rPr>
          <w:rFonts w:hint="cs"/>
          <w:sz w:val="24"/>
          <w:szCs w:val="24"/>
          <w:rtl/>
        </w:rPr>
        <w:t xml:space="preserve">, ובכל מקרה אינם יכולים לצמצם את האפשרות לחוקק חוקים ותיקוני חוקים. </w:t>
      </w:r>
      <w:r w:rsidRPr="006B14FD">
        <w:rPr>
          <w:rFonts w:hint="cs"/>
          <w:sz w:val="24"/>
          <w:szCs w:val="24"/>
          <w:rtl/>
        </w:rPr>
        <w:t>הצרת תחולת הדין העברי בידי שופטים אינה צריכה לעלות בדיונים הפוליטיים של חקיקה</w:t>
      </w:r>
      <w:r w:rsidR="0064068B">
        <w:rPr>
          <w:rFonts w:hint="cs"/>
          <w:sz w:val="24"/>
          <w:szCs w:val="24"/>
          <w:rtl/>
        </w:rPr>
        <w:t xml:space="preserve"> ואינה רלוונטית לדיונים כאלה. </w:t>
      </w:r>
      <w:r w:rsidRPr="006B14FD">
        <w:rPr>
          <w:rFonts w:hint="cs"/>
          <w:sz w:val="24"/>
          <w:szCs w:val="24"/>
          <w:rtl/>
        </w:rPr>
        <w:t xml:space="preserve"> הכנסת אמורה להורות את הדרך לפי שיקולים פוליטיים וחברתיים</w:t>
      </w:r>
      <w:r w:rsidR="0064068B">
        <w:rPr>
          <w:rFonts w:hint="cs"/>
          <w:sz w:val="24"/>
          <w:szCs w:val="24"/>
          <w:rtl/>
        </w:rPr>
        <w:t>.</w:t>
      </w:r>
      <w:r w:rsidRPr="006B14FD">
        <w:rPr>
          <w:rFonts w:hint="cs"/>
          <w:sz w:val="24"/>
          <w:szCs w:val="24"/>
          <w:rtl/>
        </w:rPr>
        <w:t xml:space="preserve"> לא שייך לעניין שבית משפט </w:t>
      </w:r>
      <w:r w:rsidR="0064068B">
        <w:rPr>
          <w:rFonts w:hint="cs"/>
          <w:sz w:val="24"/>
          <w:szCs w:val="24"/>
          <w:rtl/>
        </w:rPr>
        <w:t xml:space="preserve">כלשהו בתיק מסויים </w:t>
      </w:r>
      <w:r w:rsidRPr="006B14FD">
        <w:rPr>
          <w:rFonts w:hint="cs"/>
          <w:sz w:val="24"/>
          <w:szCs w:val="24"/>
          <w:rtl/>
        </w:rPr>
        <w:t xml:space="preserve">העדיף שלא להיזקק לדין העברי. אם הכנסת סבורה שיש להגדיל השפעת מורשת ישראל במדינה היהודית </w:t>
      </w:r>
      <w:r w:rsidRPr="006B14FD">
        <w:rPr>
          <w:sz w:val="24"/>
          <w:szCs w:val="24"/>
          <w:rtl/>
        </w:rPr>
        <w:t>–</w:t>
      </w:r>
      <w:r w:rsidRPr="006B14FD">
        <w:rPr>
          <w:rFonts w:hint="cs"/>
          <w:sz w:val="24"/>
          <w:szCs w:val="24"/>
          <w:rtl/>
        </w:rPr>
        <w:t xml:space="preserve"> עליה לעשות כן ול</w:t>
      </w:r>
      <w:r w:rsidR="0064068B">
        <w:rPr>
          <w:rFonts w:hint="cs"/>
          <w:sz w:val="24"/>
          <w:szCs w:val="24"/>
          <w:rtl/>
        </w:rPr>
        <w:t xml:space="preserve">א להירתע מכך בגלל </w:t>
      </w:r>
      <w:r w:rsidRPr="006B14FD">
        <w:rPr>
          <w:rFonts w:hint="cs"/>
          <w:sz w:val="24"/>
          <w:szCs w:val="24"/>
          <w:rtl/>
        </w:rPr>
        <w:t xml:space="preserve">פסקי הדין </w:t>
      </w:r>
      <w:r w:rsidR="0064068B">
        <w:rPr>
          <w:rFonts w:hint="cs"/>
          <w:sz w:val="24"/>
          <w:szCs w:val="24"/>
          <w:rtl/>
        </w:rPr>
        <w:t>המפרשים חוק מסוים. המחוק</w:t>
      </w:r>
      <w:r w:rsidRPr="006B14FD">
        <w:rPr>
          <w:rFonts w:hint="cs"/>
          <w:sz w:val="24"/>
          <w:szCs w:val="24"/>
          <w:rtl/>
        </w:rPr>
        <w:t xml:space="preserve">ק אינו צריך להגביל עצמו בנושאים פוליטיים וחברתיים אך ורק הואיל ובית המשפט צמצם תחולת </w:t>
      </w:r>
      <w:r w:rsidR="0064068B">
        <w:rPr>
          <w:rFonts w:hint="cs"/>
          <w:sz w:val="24"/>
          <w:szCs w:val="24"/>
          <w:rtl/>
        </w:rPr>
        <w:t>חוק כלשהו</w:t>
      </w:r>
      <w:r w:rsidR="00B1162D" w:rsidRPr="006B14FD">
        <w:rPr>
          <w:rFonts w:hint="cs"/>
          <w:sz w:val="24"/>
          <w:szCs w:val="24"/>
          <w:rtl/>
        </w:rPr>
        <w:t>.</w:t>
      </w:r>
    </w:p>
    <w:p w:rsidR="00B2515A" w:rsidRDefault="00B1162D" w:rsidP="00C81ADD">
      <w:pPr>
        <w:pStyle w:val="a3"/>
        <w:numPr>
          <w:ilvl w:val="0"/>
          <w:numId w:val="1"/>
        </w:numPr>
        <w:spacing w:line="360" w:lineRule="auto"/>
        <w:ind w:hanging="357"/>
        <w:jc w:val="both"/>
        <w:rPr>
          <w:sz w:val="24"/>
          <w:szCs w:val="24"/>
        </w:rPr>
      </w:pPr>
      <w:r w:rsidRPr="006B14FD">
        <w:rPr>
          <w:rFonts w:hint="cs"/>
          <w:sz w:val="24"/>
          <w:szCs w:val="24"/>
          <w:rtl/>
        </w:rPr>
        <w:t>ד"נ 13/80 אליעזר הנדלס נ' בנק קופת עם וד"נ 40/80 קניג נ' כהן הם שני פסקי דין שדנו באירועים שהתקיימו לפני קבלת חוק יסודות המשפט דנים באירועים ועובדות שאירעו לפני שנת 1980</w:t>
      </w:r>
      <w:r w:rsidR="00C81ADD">
        <w:rPr>
          <w:rFonts w:hint="cs"/>
          <w:sz w:val="24"/>
          <w:szCs w:val="24"/>
          <w:rtl/>
        </w:rPr>
        <w:t>.</w:t>
      </w:r>
      <w:r w:rsidRPr="006B14FD">
        <w:rPr>
          <w:rFonts w:hint="cs"/>
          <w:sz w:val="24"/>
          <w:szCs w:val="24"/>
          <w:rtl/>
        </w:rPr>
        <w:t xml:space="preserve"> טעות היא להזכירם בדיון הנוכחי. הפסק השלישי הנזכר בדברי ההסבר להצעת החוק </w:t>
      </w:r>
      <w:r w:rsidRPr="006B14FD">
        <w:rPr>
          <w:sz w:val="24"/>
          <w:szCs w:val="24"/>
          <w:rtl/>
        </w:rPr>
        <w:t>–</w:t>
      </w:r>
      <w:r w:rsidRPr="006B14FD">
        <w:rPr>
          <w:rFonts w:hint="cs"/>
          <w:sz w:val="24"/>
          <w:szCs w:val="24"/>
          <w:rtl/>
        </w:rPr>
        <w:t xml:space="preserve"> בג"צ 1635/90 ז'רז'בסקי נ' ראש ממשלת ישראל</w:t>
      </w:r>
      <w:r w:rsidR="00C81ADD">
        <w:rPr>
          <w:rFonts w:hint="cs"/>
          <w:sz w:val="24"/>
          <w:szCs w:val="24"/>
          <w:rtl/>
        </w:rPr>
        <w:t xml:space="preserve"> </w:t>
      </w:r>
      <w:r w:rsidR="00C81ADD">
        <w:rPr>
          <w:sz w:val="24"/>
          <w:szCs w:val="24"/>
          <w:rtl/>
        </w:rPr>
        <w:t>–</w:t>
      </w:r>
      <w:r w:rsidR="00C81ADD">
        <w:rPr>
          <w:rFonts w:hint="cs"/>
          <w:sz w:val="24"/>
          <w:szCs w:val="24"/>
          <w:rtl/>
        </w:rPr>
        <w:t xml:space="preserve"> </w:t>
      </w:r>
      <w:r w:rsidRPr="006B14FD">
        <w:rPr>
          <w:rFonts w:hint="cs"/>
          <w:sz w:val="24"/>
          <w:szCs w:val="24"/>
          <w:rtl/>
        </w:rPr>
        <w:t>עוסק בהסכם פוליטי הכרוך בטובות הנאה כספיות ואחרות לפי הסכם לאחר 1980, ועוסק ב</w:t>
      </w:r>
      <w:r w:rsidR="00C81ADD">
        <w:rPr>
          <w:rFonts w:hint="cs"/>
          <w:sz w:val="24"/>
          <w:szCs w:val="24"/>
          <w:rtl/>
        </w:rPr>
        <w:t xml:space="preserve">מקרה של </w:t>
      </w:r>
      <w:r w:rsidRPr="006B14FD">
        <w:rPr>
          <w:rFonts w:hint="cs"/>
          <w:sz w:val="24"/>
          <w:szCs w:val="24"/>
          <w:rtl/>
        </w:rPr>
        <w:t>שחיתות פוליטית</w:t>
      </w:r>
      <w:r w:rsidR="00C81ADD">
        <w:rPr>
          <w:rFonts w:hint="cs"/>
          <w:sz w:val="24"/>
          <w:szCs w:val="24"/>
          <w:rtl/>
        </w:rPr>
        <w:t xml:space="preserve">. השאלה שעסק בו בג"צ ז'רז'בסקי היא שאלה פוליטית </w:t>
      </w:r>
      <w:r w:rsidR="00C81ADD">
        <w:rPr>
          <w:sz w:val="24"/>
          <w:szCs w:val="24"/>
          <w:rtl/>
        </w:rPr>
        <w:t>–</w:t>
      </w:r>
      <w:r w:rsidR="00C81ADD">
        <w:rPr>
          <w:rFonts w:hint="cs"/>
          <w:sz w:val="24"/>
          <w:szCs w:val="24"/>
          <w:rtl/>
        </w:rPr>
        <w:t xml:space="preserve"> אין זו </w:t>
      </w:r>
      <w:r w:rsidRPr="006B14FD">
        <w:rPr>
          <w:rFonts w:hint="cs"/>
          <w:sz w:val="24"/>
          <w:szCs w:val="24"/>
          <w:rtl/>
        </w:rPr>
        <w:t>"שאלה משפטית" וחבל שבית המשפט נכנס לעובי הקורה באותו עניין</w:t>
      </w:r>
      <w:r w:rsidR="00C81ADD">
        <w:rPr>
          <w:rFonts w:hint="cs"/>
          <w:sz w:val="24"/>
          <w:szCs w:val="24"/>
          <w:rtl/>
        </w:rPr>
        <w:t>.</w:t>
      </w:r>
      <w:r w:rsidRPr="006B14FD">
        <w:rPr>
          <w:rFonts w:hint="cs"/>
          <w:sz w:val="24"/>
          <w:szCs w:val="24"/>
          <w:rtl/>
        </w:rPr>
        <w:t xml:space="preserve"> נחלקו שם הדעות בין </w:t>
      </w:r>
      <w:r w:rsidR="00DD5C32" w:rsidRPr="006B14FD">
        <w:rPr>
          <w:rFonts w:hint="cs"/>
          <w:sz w:val="24"/>
          <w:szCs w:val="24"/>
          <w:rtl/>
        </w:rPr>
        <w:t xml:space="preserve">מ"מ נשיא ביהמ"ש מנחם אלון שביקש להגביר את כוחו של המשפט העברי בעניינים ציבוריים-פוליטיים לבין אהרן ברק ושופטים נוספים </w:t>
      </w:r>
      <w:r w:rsidR="00C81ADD">
        <w:rPr>
          <w:rFonts w:hint="cs"/>
          <w:sz w:val="24"/>
          <w:szCs w:val="24"/>
          <w:rtl/>
        </w:rPr>
        <w:t xml:space="preserve">שאינם נטועים בתרבות היהודית כפי שמ"מ הנשיא אלון נטוע בה, והם מעדיפים את תרבות המערב על פני התרבות היהודית. שופטים אלה </w:t>
      </w:r>
      <w:r w:rsidR="00DD5C32" w:rsidRPr="006B14FD">
        <w:rPr>
          <w:rFonts w:hint="cs"/>
          <w:sz w:val="24"/>
          <w:szCs w:val="24"/>
          <w:rtl/>
        </w:rPr>
        <w:t>ביקשו לה</w:t>
      </w:r>
      <w:r w:rsidR="00C81ADD">
        <w:rPr>
          <w:rFonts w:hint="cs"/>
          <w:sz w:val="24"/>
          <w:szCs w:val="24"/>
          <w:rtl/>
        </w:rPr>
        <w:t>תרחק מ</w:t>
      </w:r>
      <w:r w:rsidR="00DD5C32" w:rsidRPr="006B14FD">
        <w:rPr>
          <w:rFonts w:hint="cs"/>
          <w:sz w:val="24"/>
          <w:szCs w:val="24"/>
          <w:rtl/>
        </w:rPr>
        <w:t>כללי הנהלת ענייני הציבור כפי המשתקף בספרות התורנית והמורשת היהודית</w:t>
      </w:r>
      <w:r w:rsidR="00C81ADD">
        <w:rPr>
          <w:rFonts w:hint="cs"/>
          <w:sz w:val="24"/>
          <w:szCs w:val="24"/>
          <w:rtl/>
        </w:rPr>
        <w:t xml:space="preserve">. מי שצריך לקבוע בעניינים כגון </w:t>
      </w:r>
      <w:r w:rsidR="00DD5C32" w:rsidRPr="006B14FD">
        <w:rPr>
          <w:rFonts w:hint="cs"/>
          <w:sz w:val="24"/>
          <w:szCs w:val="24"/>
          <w:rtl/>
        </w:rPr>
        <w:t xml:space="preserve"> </w:t>
      </w:r>
      <w:r w:rsidR="00C81ADD">
        <w:rPr>
          <w:rFonts w:hint="cs"/>
          <w:sz w:val="24"/>
          <w:szCs w:val="24"/>
          <w:rtl/>
        </w:rPr>
        <w:t>אלה הוא הכנסת ולא בית המשפט. ל</w:t>
      </w:r>
      <w:r w:rsidR="00DD5C32" w:rsidRPr="006B14FD">
        <w:rPr>
          <w:rFonts w:hint="cs"/>
          <w:sz w:val="24"/>
          <w:szCs w:val="24"/>
          <w:rtl/>
        </w:rPr>
        <w:t>כנסת צריכה להיות עמדה לגבי</w:t>
      </w:r>
      <w:r w:rsidR="00C81ADD">
        <w:rPr>
          <w:rFonts w:hint="cs"/>
          <w:sz w:val="24"/>
          <w:szCs w:val="24"/>
          <w:rtl/>
        </w:rPr>
        <w:t xml:space="preserve"> נושאים כאלה. עניינים אלה אינם שיפוטיים אלא פוליטיים</w:t>
      </w:r>
      <w:r w:rsidR="00DD5C32" w:rsidRPr="006B14FD">
        <w:rPr>
          <w:rFonts w:hint="cs"/>
          <w:sz w:val="24"/>
          <w:szCs w:val="24"/>
          <w:rtl/>
        </w:rPr>
        <w:t xml:space="preserve">. העובדה שמנחם אלון היה בעמדת המיעוט באותו עניין רק  מחזקת את הביקורת על כך </w:t>
      </w:r>
      <w:r w:rsidR="00DD5C32" w:rsidRPr="006B14FD">
        <w:rPr>
          <w:rFonts w:hint="cs"/>
          <w:sz w:val="24"/>
          <w:szCs w:val="24"/>
          <w:rtl/>
        </w:rPr>
        <w:lastRenderedPageBreak/>
        <w:t xml:space="preserve">שבית המשפט נכנס לנושאים </w:t>
      </w:r>
      <w:r w:rsidR="00C81ADD">
        <w:rPr>
          <w:rFonts w:hint="cs"/>
          <w:sz w:val="24"/>
          <w:szCs w:val="24"/>
          <w:rtl/>
        </w:rPr>
        <w:t>כגון אלה.</w:t>
      </w:r>
      <w:r w:rsidR="006B14FD" w:rsidRPr="006B14FD">
        <w:rPr>
          <w:sz w:val="24"/>
          <w:szCs w:val="24"/>
          <w:rtl/>
        </w:rPr>
        <w:t xml:space="preserve"> בג"צ ז'רז'בסקי מדגים מה קורה כאשר שופטים נכנסים לשדה הפוליטי. הן מ"מ הנשיא אלון – שהשקפת עולמו נטועה בלב התרבות היהודית – והן השופט ברק והשופטים שהזדהו עם השקפת עולמו בהיותם נטועים בתרבות המערב – הציעו – כל צד – לינוק מתרבותו שלו – אף כי שתי התרבויות – המערבית והיהודית – ראו את הנושא באופן דומה, וצריך משקפת גדולה כדי להבחין בין העמדות של שתי התרבויות. </w:t>
      </w:r>
    </w:p>
    <w:p w:rsidR="00B2515A" w:rsidRDefault="006B14FD" w:rsidP="00B2515A">
      <w:pPr>
        <w:pStyle w:val="a3"/>
        <w:numPr>
          <w:ilvl w:val="0"/>
          <w:numId w:val="1"/>
        </w:numPr>
        <w:spacing w:line="360" w:lineRule="auto"/>
        <w:ind w:hanging="357"/>
        <w:jc w:val="both"/>
        <w:rPr>
          <w:sz w:val="24"/>
          <w:szCs w:val="24"/>
        </w:rPr>
      </w:pPr>
      <w:r w:rsidRPr="006B14FD">
        <w:rPr>
          <w:sz w:val="24"/>
          <w:szCs w:val="24"/>
          <w:rtl/>
        </w:rPr>
        <w:t>הוויכוח בין השופטים בעניין זה בסופו של דבר לא היה ענייני אלא יותר עניין של שייכותו של ה</w:t>
      </w:r>
      <w:r w:rsidR="00B2515A">
        <w:rPr>
          <w:rFonts w:hint="cs"/>
          <w:sz w:val="24"/>
          <w:szCs w:val="24"/>
          <w:rtl/>
        </w:rPr>
        <w:t>שופט</w:t>
      </w:r>
      <w:r w:rsidRPr="006B14FD">
        <w:rPr>
          <w:sz w:val="24"/>
          <w:szCs w:val="24"/>
          <w:rtl/>
        </w:rPr>
        <w:t xml:space="preserve"> – לאיזה מקור השופט יפנה.</w:t>
      </w:r>
      <w:r>
        <w:rPr>
          <w:rStyle w:val="ac"/>
          <w:sz w:val="24"/>
          <w:szCs w:val="24"/>
          <w:rtl/>
        </w:rPr>
        <w:footnoteReference w:id="1"/>
      </w:r>
      <w:r w:rsidRPr="006B14FD">
        <w:rPr>
          <w:sz w:val="24"/>
          <w:szCs w:val="24"/>
          <w:rtl/>
        </w:rPr>
        <w:t xml:space="preserve"> מ"מ הנשיא אלון החזיק בתרבות היהודית כמקור ושאר השופטים החזיקו בתרבות המערב כמקור. ואמנם, הוויכוח – יותר משהוא מביא את ההחלטה למחוז א' או ב' – לתרבות היהודית כבאר ממנה שואבים מים או לתרבות המערב כמקור</w:t>
      </w:r>
      <w:r w:rsidR="00B2515A">
        <w:rPr>
          <w:rFonts w:hint="cs"/>
          <w:sz w:val="24"/>
          <w:szCs w:val="24"/>
          <w:rtl/>
        </w:rPr>
        <w:t xml:space="preserve"> ייחודי</w:t>
      </w:r>
      <w:r w:rsidRPr="006B14FD">
        <w:rPr>
          <w:sz w:val="24"/>
          <w:szCs w:val="24"/>
          <w:rtl/>
        </w:rPr>
        <w:t xml:space="preserve">. </w:t>
      </w:r>
    </w:p>
    <w:p w:rsidR="006B14FD" w:rsidRPr="006B14FD" w:rsidRDefault="006B14FD" w:rsidP="00EA014F">
      <w:pPr>
        <w:pStyle w:val="a3"/>
        <w:numPr>
          <w:ilvl w:val="0"/>
          <w:numId w:val="1"/>
        </w:numPr>
        <w:spacing w:line="360" w:lineRule="auto"/>
        <w:ind w:hanging="357"/>
        <w:jc w:val="both"/>
        <w:rPr>
          <w:sz w:val="24"/>
          <w:szCs w:val="24"/>
        </w:rPr>
      </w:pPr>
      <w:r w:rsidRPr="006B14FD">
        <w:rPr>
          <w:sz w:val="24"/>
          <w:szCs w:val="24"/>
          <w:rtl/>
        </w:rPr>
        <w:t xml:space="preserve">העובדה </w:t>
      </w:r>
      <w:r w:rsidR="00B2515A">
        <w:rPr>
          <w:rFonts w:hint="cs"/>
          <w:sz w:val="24"/>
          <w:szCs w:val="24"/>
          <w:rtl/>
        </w:rPr>
        <w:t xml:space="preserve">היא </w:t>
      </w:r>
      <w:r w:rsidRPr="006B14FD">
        <w:rPr>
          <w:sz w:val="24"/>
          <w:szCs w:val="24"/>
          <w:rtl/>
        </w:rPr>
        <w:t xml:space="preserve">שרוב השופטים של בית המשפט העליון שלנו לדורותיהם מקושרים לתרבות המערב, ומיעוטם – לתרבות היהודית. העובדה שהפסיקה בבג"צ ז'רז'בסקי נטתה לעבר תרבות המערב ודחקה לפינה את התרבות היהודית אינה צריכה לחסום את הכנסת </w:t>
      </w:r>
      <w:r w:rsidR="00B2515A">
        <w:rPr>
          <w:sz w:val="24"/>
          <w:szCs w:val="24"/>
          <w:rtl/>
        </w:rPr>
        <w:t>–</w:t>
      </w:r>
      <w:r w:rsidR="00B2515A">
        <w:rPr>
          <w:rFonts w:hint="cs"/>
          <w:sz w:val="24"/>
          <w:szCs w:val="24"/>
          <w:rtl/>
        </w:rPr>
        <w:t xml:space="preserve"> כבית המחוקקים </w:t>
      </w:r>
      <w:r w:rsidRPr="006B14FD">
        <w:rPr>
          <w:sz w:val="24"/>
          <w:szCs w:val="24"/>
          <w:rtl/>
        </w:rPr>
        <w:t>של המדינה היהודית</w:t>
      </w:r>
      <w:r w:rsidR="00B2515A">
        <w:rPr>
          <w:rFonts w:hint="cs"/>
          <w:sz w:val="24"/>
          <w:szCs w:val="24"/>
          <w:rtl/>
        </w:rPr>
        <w:t xml:space="preserve"> </w:t>
      </w:r>
      <w:r w:rsidRPr="006B14FD">
        <w:rPr>
          <w:sz w:val="24"/>
          <w:szCs w:val="24"/>
          <w:rtl/>
        </w:rPr>
        <w:t>מלדחוק לפינה את התרבות היהודית</w:t>
      </w:r>
      <w:r w:rsidR="00B2515A">
        <w:rPr>
          <w:rFonts w:hint="cs"/>
          <w:sz w:val="24"/>
          <w:szCs w:val="24"/>
          <w:rtl/>
        </w:rPr>
        <w:t xml:space="preserve"> </w:t>
      </w:r>
      <w:r w:rsidR="00B2515A">
        <w:rPr>
          <w:sz w:val="24"/>
          <w:szCs w:val="24"/>
          <w:rtl/>
        </w:rPr>
        <w:t>–</w:t>
      </w:r>
      <w:r w:rsidR="00B2515A">
        <w:rPr>
          <w:rFonts w:hint="cs"/>
          <w:sz w:val="24"/>
          <w:szCs w:val="24"/>
          <w:rtl/>
        </w:rPr>
        <w:t xml:space="preserve"> </w:t>
      </w:r>
      <w:r w:rsidRPr="006B14FD">
        <w:rPr>
          <w:sz w:val="24"/>
          <w:szCs w:val="24"/>
          <w:rtl/>
        </w:rPr>
        <w:t xml:space="preserve">אינה מחייבת את הכנסת כגוף פוליטי לאמץ גישה זו. לכן, ההסתמכות על בג"צ ז'רז'בסקי בדיוני הוועדה – </w:t>
      </w:r>
      <w:r w:rsidR="00B2515A">
        <w:rPr>
          <w:rFonts w:hint="cs"/>
          <w:sz w:val="24"/>
          <w:szCs w:val="24"/>
          <w:rtl/>
        </w:rPr>
        <w:t xml:space="preserve">שהיא </w:t>
      </w:r>
      <w:r w:rsidRPr="006B14FD">
        <w:rPr>
          <w:sz w:val="24"/>
          <w:szCs w:val="24"/>
          <w:rtl/>
        </w:rPr>
        <w:t>אורגן של הכנסת – מ</w:t>
      </w:r>
      <w:r w:rsidR="00EA014F">
        <w:rPr>
          <w:rFonts w:hint="cs"/>
          <w:sz w:val="24"/>
          <w:szCs w:val="24"/>
          <w:rtl/>
        </w:rPr>
        <w:t xml:space="preserve">חזקת את </w:t>
      </w:r>
      <w:r w:rsidRPr="006B14FD">
        <w:rPr>
          <w:sz w:val="24"/>
          <w:szCs w:val="24"/>
          <w:rtl/>
        </w:rPr>
        <w:t>הגישה הדוחקת לפינה את תרבותו של העם היהודי ו</w:t>
      </w:r>
      <w:r w:rsidR="00EA014F">
        <w:rPr>
          <w:rFonts w:hint="cs"/>
          <w:sz w:val="24"/>
          <w:szCs w:val="24"/>
          <w:rtl/>
        </w:rPr>
        <w:t xml:space="preserve">המאמצת </w:t>
      </w:r>
      <w:r w:rsidRPr="006B14FD">
        <w:rPr>
          <w:sz w:val="24"/>
          <w:szCs w:val="24"/>
          <w:rtl/>
        </w:rPr>
        <w:t>את תרבות המערב</w:t>
      </w:r>
      <w:r w:rsidR="00B2515A">
        <w:rPr>
          <w:rFonts w:hint="cs"/>
          <w:sz w:val="24"/>
          <w:szCs w:val="24"/>
          <w:rtl/>
        </w:rPr>
        <w:t xml:space="preserve">. אין השייכות התרבותית של רוב מי שמונו לשפוט בבית המשפט העליון בישראל </w:t>
      </w:r>
      <w:r w:rsidRPr="006B14FD">
        <w:rPr>
          <w:sz w:val="24"/>
          <w:szCs w:val="24"/>
          <w:rtl/>
        </w:rPr>
        <w:t xml:space="preserve">צריכה לשכנע את </w:t>
      </w:r>
      <w:r w:rsidR="00B2515A">
        <w:rPr>
          <w:rFonts w:hint="cs"/>
          <w:sz w:val="24"/>
          <w:szCs w:val="24"/>
          <w:rtl/>
        </w:rPr>
        <w:t>ה</w:t>
      </w:r>
      <w:r w:rsidRPr="006B14FD">
        <w:rPr>
          <w:sz w:val="24"/>
          <w:szCs w:val="24"/>
          <w:rtl/>
        </w:rPr>
        <w:t xml:space="preserve">כנסת והוועדה לדחוק לפינה את התרבות והמורשת </w:t>
      </w:r>
      <w:r w:rsidR="00B2515A">
        <w:rPr>
          <w:rFonts w:hint="cs"/>
          <w:sz w:val="24"/>
          <w:szCs w:val="24"/>
          <w:rtl/>
        </w:rPr>
        <w:t>של העם היהודי</w:t>
      </w:r>
      <w:r w:rsidRPr="006B14FD">
        <w:rPr>
          <w:sz w:val="24"/>
          <w:szCs w:val="24"/>
          <w:rtl/>
        </w:rPr>
        <w:t xml:space="preserve">.    </w:t>
      </w:r>
    </w:p>
    <w:p w:rsidR="00172C31" w:rsidRDefault="00D02FF3" w:rsidP="00B82FE9">
      <w:pPr>
        <w:pStyle w:val="a3"/>
        <w:numPr>
          <w:ilvl w:val="0"/>
          <w:numId w:val="1"/>
        </w:numPr>
        <w:spacing w:line="360" w:lineRule="auto"/>
        <w:ind w:hanging="357"/>
        <w:jc w:val="both"/>
        <w:rPr>
          <w:sz w:val="24"/>
          <w:szCs w:val="24"/>
        </w:rPr>
      </w:pPr>
      <w:r>
        <w:rPr>
          <w:rFonts w:hint="cs"/>
          <w:sz w:val="24"/>
          <w:szCs w:val="24"/>
          <w:rtl/>
        </w:rPr>
        <w:t xml:space="preserve">על כן </w:t>
      </w:r>
      <w:r>
        <w:rPr>
          <w:sz w:val="24"/>
          <w:szCs w:val="24"/>
          <w:rtl/>
        </w:rPr>
        <w:t>–</w:t>
      </w:r>
      <w:r>
        <w:rPr>
          <w:rFonts w:hint="cs"/>
          <w:sz w:val="24"/>
          <w:szCs w:val="24"/>
          <w:rtl/>
        </w:rPr>
        <w:t xml:space="preserve"> </w:t>
      </w:r>
      <w:r w:rsidR="00172C31">
        <w:rPr>
          <w:rFonts w:hint="cs"/>
          <w:sz w:val="24"/>
          <w:szCs w:val="24"/>
          <w:rtl/>
        </w:rPr>
        <w:t>הדרך המוצעת היא משולשת:</w:t>
      </w:r>
    </w:p>
    <w:p w:rsidR="00172C31" w:rsidRDefault="00172C31" w:rsidP="00225BD4">
      <w:pPr>
        <w:pStyle w:val="a3"/>
        <w:numPr>
          <w:ilvl w:val="0"/>
          <w:numId w:val="3"/>
        </w:numPr>
        <w:spacing w:line="360" w:lineRule="auto"/>
        <w:ind w:hanging="357"/>
        <w:jc w:val="both"/>
        <w:rPr>
          <w:sz w:val="24"/>
          <w:szCs w:val="24"/>
        </w:rPr>
      </w:pPr>
      <w:r>
        <w:rPr>
          <w:rFonts w:hint="cs"/>
          <w:sz w:val="24"/>
          <w:szCs w:val="24"/>
          <w:rtl/>
        </w:rPr>
        <w:t>להפוך את החוק לחוק יסוד</w:t>
      </w:r>
      <w:r w:rsidR="00DF2458">
        <w:rPr>
          <w:rFonts w:hint="cs"/>
          <w:sz w:val="24"/>
          <w:szCs w:val="24"/>
          <w:rtl/>
        </w:rPr>
        <w:t xml:space="preserve"> ו</w:t>
      </w:r>
      <w:r w:rsidR="00225BD4">
        <w:rPr>
          <w:rFonts w:hint="cs"/>
          <w:sz w:val="24"/>
          <w:szCs w:val="24"/>
          <w:rtl/>
        </w:rPr>
        <w:t xml:space="preserve">אף </w:t>
      </w:r>
      <w:r w:rsidR="00DF2458">
        <w:rPr>
          <w:rFonts w:hint="cs"/>
          <w:sz w:val="24"/>
          <w:szCs w:val="24"/>
          <w:rtl/>
        </w:rPr>
        <w:t xml:space="preserve">לקבוע שחוק יסוד זה יחול אף </w:t>
      </w:r>
      <w:r w:rsidR="00225BD4">
        <w:rPr>
          <w:rFonts w:hint="cs"/>
          <w:sz w:val="24"/>
          <w:szCs w:val="24"/>
          <w:rtl/>
        </w:rPr>
        <w:t xml:space="preserve">אם הוראותיו סותרות </w:t>
      </w:r>
      <w:r w:rsidR="00DF2458">
        <w:rPr>
          <w:rFonts w:hint="cs"/>
          <w:sz w:val="24"/>
          <w:szCs w:val="24"/>
          <w:rtl/>
        </w:rPr>
        <w:t>חוק יסוד קודם כלשהו.</w:t>
      </w:r>
    </w:p>
    <w:p w:rsidR="00172C31" w:rsidRDefault="00172C31" w:rsidP="002E0901">
      <w:pPr>
        <w:pStyle w:val="a3"/>
        <w:numPr>
          <w:ilvl w:val="0"/>
          <w:numId w:val="3"/>
        </w:numPr>
        <w:spacing w:line="360" w:lineRule="auto"/>
        <w:ind w:hanging="357"/>
        <w:jc w:val="both"/>
        <w:rPr>
          <w:sz w:val="24"/>
          <w:szCs w:val="24"/>
        </w:rPr>
      </w:pPr>
      <w:r>
        <w:rPr>
          <w:rFonts w:hint="cs"/>
          <w:sz w:val="24"/>
          <w:szCs w:val="24"/>
          <w:rtl/>
        </w:rPr>
        <w:t>לחייב פנייה למכון למשפט עברי</w:t>
      </w:r>
      <w:r w:rsidR="002E0901">
        <w:rPr>
          <w:rFonts w:hint="cs"/>
          <w:sz w:val="24"/>
          <w:szCs w:val="24"/>
          <w:rtl/>
        </w:rPr>
        <w:t xml:space="preserve"> </w:t>
      </w:r>
      <w:r>
        <w:rPr>
          <w:rFonts w:hint="cs"/>
          <w:sz w:val="24"/>
          <w:szCs w:val="24"/>
          <w:rtl/>
        </w:rPr>
        <w:t xml:space="preserve">אם לא מצא השופט תשובה לשאלה משפטית </w:t>
      </w:r>
      <w:r w:rsidR="002E0901">
        <w:rPr>
          <w:rFonts w:hint="cs"/>
          <w:sz w:val="24"/>
          <w:szCs w:val="24"/>
          <w:rtl/>
        </w:rPr>
        <w:t xml:space="preserve">כפי </w:t>
      </w:r>
      <w:r>
        <w:rPr>
          <w:rFonts w:hint="cs"/>
          <w:sz w:val="24"/>
          <w:szCs w:val="24"/>
          <w:rtl/>
        </w:rPr>
        <w:t>הוראות החוק כפי נוסחו כפי שהיה בטרם התקבל התיקון.</w:t>
      </w:r>
    </w:p>
    <w:p w:rsidR="002E0901" w:rsidRDefault="00172C31" w:rsidP="002E0901">
      <w:pPr>
        <w:pStyle w:val="a3"/>
        <w:numPr>
          <w:ilvl w:val="0"/>
          <w:numId w:val="3"/>
        </w:numPr>
        <w:spacing w:line="360" w:lineRule="auto"/>
        <w:ind w:hanging="357"/>
        <w:jc w:val="both"/>
        <w:rPr>
          <w:sz w:val="24"/>
          <w:szCs w:val="24"/>
        </w:rPr>
      </w:pPr>
      <w:r>
        <w:rPr>
          <w:rFonts w:hint="cs"/>
          <w:sz w:val="24"/>
          <w:szCs w:val="24"/>
          <w:rtl/>
        </w:rPr>
        <w:t xml:space="preserve">במקרה נשוא ס"ק (ב) </w:t>
      </w:r>
      <w:r>
        <w:rPr>
          <w:sz w:val="24"/>
          <w:szCs w:val="24"/>
          <w:rtl/>
        </w:rPr>
        <w:t>–</w:t>
      </w:r>
      <w:r>
        <w:rPr>
          <w:rFonts w:hint="cs"/>
          <w:sz w:val="24"/>
          <w:szCs w:val="24"/>
          <w:rtl/>
        </w:rPr>
        <w:t xml:space="preserve"> יפסוק השופט כפי התשובה שהציע המכון אלא אם כן מצא </w:t>
      </w:r>
      <w:r w:rsidR="00DF2458">
        <w:rPr>
          <w:rFonts w:hint="cs"/>
          <w:sz w:val="24"/>
          <w:szCs w:val="24"/>
          <w:rtl/>
        </w:rPr>
        <w:t xml:space="preserve">השופט </w:t>
      </w:r>
      <w:r>
        <w:rPr>
          <w:rFonts w:hint="cs"/>
          <w:sz w:val="24"/>
          <w:szCs w:val="24"/>
          <w:rtl/>
        </w:rPr>
        <w:t xml:space="preserve">נימוק </w:t>
      </w:r>
      <w:r w:rsidR="002E0901">
        <w:rPr>
          <w:rFonts w:hint="cs"/>
          <w:sz w:val="24"/>
          <w:szCs w:val="24"/>
          <w:rtl/>
        </w:rPr>
        <w:t>שלא לעשות כן ונימק את הדבר בגוף הפסיקה.</w:t>
      </w:r>
    </w:p>
    <w:p w:rsidR="003F4874" w:rsidRPr="002E0901" w:rsidRDefault="002E0901" w:rsidP="002E0901">
      <w:pPr>
        <w:spacing w:line="360" w:lineRule="auto"/>
        <w:jc w:val="both"/>
        <w:rPr>
          <w:sz w:val="24"/>
          <w:szCs w:val="24"/>
        </w:rPr>
      </w:pPr>
      <w:r w:rsidRPr="002E0901">
        <w:rPr>
          <w:rFonts w:hint="cs"/>
          <w:sz w:val="24"/>
          <w:szCs w:val="24"/>
          <w:rtl/>
        </w:rPr>
        <w:t xml:space="preserve"> </w:t>
      </w:r>
      <w:r w:rsidR="003F4874" w:rsidRPr="002E0901">
        <w:rPr>
          <w:rFonts w:hint="cs"/>
          <w:sz w:val="24"/>
          <w:szCs w:val="24"/>
          <w:rtl/>
        </w:rPr>
        <w:t>לתשומת לב חברי הוועדה</w:t>
      </w:r>
      <w:r>
        <w:rPr>
          <w:rFonts w:hint="cs"/>
          <w:sz w:val="24"/>
          <w:szCs w:val="24"/>
          <w:rtl/>
        </w:rPr>
        <w:t>,</w:t>
      </w:r>
      <w:r w:rsidR="00F00B56" w:rsidRPr="002E0901">
        <w:rPr>
          <w:rFonts w:hint="cs"/>
          <w:sz w:val="24"/>
          <w:szCs w:val="24"/>
          <w:rtl/>
        </w:rPr>
        <w:t xml:space="preserve"> הספר שלי מצוי בספריית הכנסת, אך</w:t>
      </w:r>
      <w:r w:rsidR="003F4874" w:rsidRPr="002E0901">
        <w:rPr>
          <w:rFonts w:hint="cs"/>
          <w:sz w:val="24"/>
          <w:szCs w:val="24"/>
          <w:rtl/>
        </w:rPr>
        <w:t xml:space="preserve"> </w:t>
      </w:r>
      <w:r w:rsidR="003F4874" w:rsidRPr="002E0901">
        <w:rPr>
          <w:sz w:val="24"/>
          <w:szCs w:val="24"/>
          <w:rtl/>
        </w:rPr>
        <w:t>–</w:t>
      </w:r>
      <w:r w:rsidR="003F4874" w:rsidRPr="002E0901">
        <w:rPr>
          <w:rFonts w:hint="cs"/>
          <w:sz w:val="24"/>
          <w:szCs w:val="24"/>
          <w:rtl/>
        </w:rPr>
        <w:t xml:space="preserve"> חבר כנסת שיבקש לעיין בספר</w:t>
      </w:r>
      <w:r w:rsidR="00D94A9A" w:rsidRPr="002E0901">
        <w:rPr>
          <w:rFonts w:hint="cs"/>
          <w:sz w:val="24"/>
          <w:szCs w:val="24"/>
          <w:rtl/>
        </w:rPr>
        <w:t xml:space="preserve"> </w:t>
      </w:r>
      <w:r>
        <w:rPr>
          <w:rFonts w:hint="cs"/>
          <w:sz w:val="24"/>
          <w:szCs w:val="24"/>
          <w:rtl/>
        </w:rPr>
        <w:t>אעביר לו באמצעות מזכירות הוועדה לעיונו לזמן ללא הגבלה.</w:t>
      </w:r>
    </w:p>
    <w:p w:rsidR="00DA360A" w:rsidRDefault="00DA360A" w:rsidP="00B2515A">
      <w:pPr>
        <w:jc w:val="both"/>
        <w:rPr>
          <w:sz w:val="24"/>
          <w:szCs w:val="24"/>
          <w:rtl/>
        </w:rPr>
      </w:pPr>
      <w:r>
        <w:rPr>
          <w:rFonts w:hint="cs"/>
          <w:sz w:val="24"/>
          <w:szCs w:val="24"/>
          <w:rtl/>
        </w:rPr>
        <w:lastRenderedPageBreak/>
        <w:t>14.6.2017</w:t>
      </w:r>
      <w:r>
        <w:rPr>
          <w:sz w:val="24"/>
          <w:szCs w:val="24"/>
          <w:rtl/>
        </w:rPr>
        <w:tab/>
      </w:r>
      <w:r>
        <w:rPr>
          <w:sz w:val="24"/>
          <w:szCs w:val="24"/>
          <w:rtl/>
        </w:rPr>
        <w:tab/>
      </w:r>
      <w:r>
        <w:rPr>
          <w:sz w:val="24"/>
          <w:szCs w:val="24"/>
          <w:rtl/>
        </w:rPr>
        <w:tab/>
      </w:r>
      <w:r>
        <w:rPr>
          <w:sz w:val="24"/>
          <w:szCs w:val="24"/>
          <w:rtl/>
        </w:rPr>
        <w:tab/>
      </w:r>
      <w:r w:rsidR="00B2515A">
        <w:rPr>
          <w:rFonts w:hint="cs"/>
          <w:sz w:val="24"/>
          <w:szCs w:val="24"/>
          <w:rtl/>
        </w:rPr>
        <w:t xml:space="preserve"> </w:t>
      </w:r>
      <w:r>
        <w:rPr>
          <w:rFonts w:hint="cs"/>
          <w:sz w:val="24"/>
          <w:szCs w:val="24"/>
          <w:rtl/>
        </w:rPr>
        <w:t xml:space="preserve">  </w:t>
      </w:r>
      <w:r w:rsidR="00B2515A">
        <w:rPr>
          <w:rFonts w:hint="cs"/>
          <w:sz w:val="24"/>
          <w:szCs w:val="24"/>
          <w:rtl/>
        </w:rPr>
        <w:t xml:space="preserve">   </w:t>
      </w:r>
      <w:r>
        <w:rPr>
          <w:rFonts w:hint="cs"/>
          <w:sz w:val="24"/>
          <w:szCs w:val="24"/>
          <w:rtl/>
        </w:rPr>
        <w:t>ד"ר יהודה כהן, עו"ד</w:t>
      </w:r>
    </w:p>
    <w:p w:rsidR="00DA360A" w:rsidRDefault="00DA360A" w:rsidP="00B82FE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sidR="00B2515A">
        <w:rPr>
          <w:rFonts w:hint="cs"/>
          <w:sz w:val="24"/>
          <w:szCs w:val="24"/>
          <w:rtl/>
        </w:rPr>
        <w:t xml:space="preserve">  </w:t>
      </w:r>
      <w:r>
        <w:rPr>
          <w:rFonts w:hint="cs"/>
          <w:sz w:val="24"/>
          <w:szCs w:val="24"/>
          <w:rtl/>
        </w:rPr>
        <w:t>רחוב בן יהודה 3 ירושלים</w:t>
      </w:r>
    </w:p>
    <w:p w:rsidR="00DA360A" w:rsidRDefault="00DA360A" w:rsidP="00B82FE9">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rFonts w:hint="cs"/>
          <w:sz w:val="24"/>
          <w:szCs w:val="24"/>
          <w:rtl/>
        </w:rPr>
        <w:t xml:space="preserve">טל. 02-6231029 052-7500336 </w:t>
      </w:r>
    </w:p>
    <w:p w:rsidR="00DA360A" w:rsidRPr="00DA360A" w:rsidRDefault="00DA360A" w:rsidP="006B14F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Pr>
        <w:t>Yehuda.cohen1@mail.huji.ac.il</w:t>
      </w:r>
    </w:p>
    <w:sectPr w:rsidR="00DA360A" w:rsidRPr="00DA360A" w:rsidSect="00B82FE9">
      <w:footerReference w:type="default" r:id="rId7"/>
      <w:pgSz w:w="11905" w:h="16837" w:code="9"/>
      <w:pgMar w:top="720" w:right="1982" w:bottom="720" w:left="1560" w:header="720" w:footer="720"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8C2" w:rsidRDefault="00C628C2" w:rsidP="00B82FE9">
      <w:pPr>
        <w:spacing w:after="0" w:line="240" w:lineRule="auto"/>
      </w:pPr>
      <w:r>
        <w:separator/>
      </w:r>
    </w:p>
  </w:endnote>
  <w:endnote w:type="continuationSeparator" w:id="0">
    <w:p w:rsidR="00C628C2" w:rsidRDefault="00C628C2" w:rsidP="00B8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SimSun">
    <w:altName w:val="宋体"/>
    <w:panose1 w:val="02010600030101010101"/>
    <w:charset w:val="86"/>
    <w:family w:val="auto"/>
    <w:notTrueType/>
    <w:pitch w:val="variable"/>
    <w:sig w:usb0="00000001" w:usb1="080E0000" w:usb2="00000010" w:usb3="00000000" w:csb0="0004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39353015"/>
      <w:docPartObj>
        <w:docPartGallery w:val="Page Numbers (Bottom of Page)"/>
        <w:docPartUnique/>
      </w:docPartObj>
    </w:sdtPr>
    <w:sdtEndPr>
      <w:rPr>
        <w:cs/>
      </w:rPr>
    </w:sdtEndPr>
    <w:sdtContent>
      <w:p w:rsidR="00B82FE9" w:rsidRDefault="00B82FE9">
        <w:pPr>
          <w:pStyle w:val="a6"/>
          <w:jc w:val="center"/>
          <w:rPr>
            <w:rtl/>
            <w:cs/>
          </w:rPr>
        </w:pPr>
        <w:r>
          <w:fldChar w:fldCharType="begin"/>
        </w:r>
        <w:r>
          <w:rPr>
            <w:rtl/>
            <w:cs/>
          </w:rPr>
          <w:instrText>PAGE   \* MERGEFORMAT</w:instrText>
        </w:r>
        <w:r>
          <w:fldChar w:fldCharType="separate"/>
        </w:r>
        <w:r w:rsidR="002101F7" w:rsidRPr="002101F7">
          <w:rPr>
            <w:noProof/>
            <w:rtl/>
            <w:lang w:val="he-IL"/>
          </w:rPr>
          <w:t>1</w:t>
        </w:r>
        <w:r>
          <w:fldChar w:fldCharType="end"/>
        </w:r>
      </w:p>
    </w:sdtContent>
  </w:sdt>
  <w:p w:rsidR="00B82FE9" w:rsidRDefault="00B82FE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8C2" w:rsidRDefault="00C628C2" w:rsidP="00B82FE9">
      <w:pPr>
        <w:spacing w:after="0" w:line="240" w:lineRule="auto"/>
      </w:pPr>
      <w:r>
        <w:separator/>
      </w:r>
    </w:p>
  </w:footnote>
  <w:footnote w:type="continuationSeparator" w:id="0">
    <w:p w:rsidR="00C628C2" w:rsidRDefault="00C628C2" w:rsidP="00B82FE9">
      <w:pPr>
        <w:spacing w:after="0" w:line="240" w:lineRule="auto"/>
      </w:pPr>
      <w:r>
        <w:continuationSeparator/>
      </w:r>
    </w:p>
  </w:footnote>
  <w:footnote w:id="1">
    <w:p w:rsidR="006B14FD" w:rsidRDefault="006B14FD" w:rsidP="00B2515A">
      <w:pPr>
        <w:pStyle w:val="aa"/>
        <w:jc w:val="both"/>
      </w:pPr>
      <w:r>
        <w:rPr>
          <w:rStyle w:val="ac"/>
        </w:rPr>
        <w:footnoteRef/>
      </w:r>
      <w:r>
        <w:rPr>
          <w:rtl/>
        </w:rPr>
        <w:t xml:space="preserve"> </w:t>
      </w:r>
      <w:r>
        <w:rPr>
          <w:rFonts w:hint="cs"/>
          <w:rtl/>
        </w:rPr>
        <w:t>ואמנם, כאמור בסיפא לפסק הדין בבג"צ ז'רז'בסק', שם בע' 867, המסקנה המשותפת לכל השופטים באותו בג"צ היא כי "ההנמקות בדברינו לעיל חלוקות ושונות הן, שופט שופט ונימוקיו עמו, אך כולן מובילות לאותה מסקנה בעתירה  שלפנינו, כאמור בפסק-דינו של המשנה לנשיא, וכך אנו מחליטים." על כן – לא רק שני פסקי הדין הראשונים שדברי ההסבר מסתמכים עליהם הם בגדר אמירות אגב</w:t>
      </w:r>
      <w:r>
        <w:rPr>
          <w:rFonts w:hint="cs"/>
          <w:i/>
          <w:iCs/>
          <w:rtl/>
        </w:rPr>
        <w:t xml:space="preserve"> </w:t>
      </w:r>
      <w:r>
        <w:rPr>
          <w:rFonts w:hint="cs"/>
          <w:rtl/>
        </w:rPr>
        <w:t xml:space="preserve"> </w:t>
      </w:r>
      <w:r>
        <w:rPr>
          <w:i/>
          <w:iCs/>
        </w:rPr>
        <w:t>obiter dictum</w:t>
      </w:r>
      <w:r>
        <w:rPr>
          <w:rtl/>
        </w:rPr>
        <w:t xml:space="preserve"> שאין להסתמך עליהם (בהבדל מ-</w:t>
      </w:r>
      <w:r>
        <w:rPr>
          <w:i/>
          <w:iCs/>
        </w:rPr>
        <w:t>racio decidendi</w:t>
      </w:r>
      <w:r>
        <w:rPr>
          <w:rtl/>
        </w:rPr>
        <w:t xml:space="preserve"> הנימוקים שבלעדיהם אין בסיס להחלטה השיפוטית) – גם פסק הדין השלישי (בג"צ ז'רז'בסקי) כולו הוא בגדר </w:t>
      </w:r>
      <w:r>
        <w:rPr>
          <w:i/>
          <w:iCs/>
        </w:rPr>
        <w:t>obiter dictum</w:t>
      </w:r>
      <w:r>
        <w:rPr>
          <w:rtl/>
        </w:rPr>
        <w:t xml:space="preserve"> ואין להסתמך עליו. מסתבר כי נימוקי השופטים בבג"צ ז'רז'בסקי  הם בגדר דיון שאין להסתמך עליו. למרות האמור לעיל, יש תועלת בציטוט פסקי הדין העקרים הללו (מצד הדיון בחוק יסודות  המשפט) בכך שנחשף הדבר ששופטים עליונים אצלנו פוסקים לעתים בנושאים פוליטיים, ועושים כן אפילו כאשר הדבר אינו נחוץ לתיק המשפטי שבפניהם.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B3B8A"/>
    <w:multiLevelType w:val="hybridMultilevel"/>
    <w:tmpl w:val="A750128E"/>
    <w:lvl w:ilvl="0" w:tplc="C9CC189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226EE4"/>
    <w:multiLevelType w:val="hybridMultilevel"/>
    <w:tmpl w:val="6EC4E8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11117DA"/>
    <w:multiLevelType w:val="hybridMultilevel"/>
    <w:tmpl w:val="58425D68"/>
    <w:lvl w:ilvl="0" w:tplc="3B50B5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AF1"/>
    <w:rsid w:val="000111A6"/>
    <w:rsid w:val="000566AF"/>
    <w:rsid w:val="00172C31"/>
    <w:rsid w:val="002101F7"/>
    <w:rsid w:val="00225BD4"/>
    <w:rsid w:val="002808EE"/>
    <w:rsid w:val="002D6AEF"/>
    <w:rsid w:val="002E0901"/>
    <w:rsid w:val="002F385B"/>
    <w:rsid w:val="003D212D"/>
    <w:rsid w:val="003F4874"/>
    <w:rsid w:val="004E3EE8"/>
    <w:rsid w:val="005672E2"/>
    <w:rsid w:val="0062230F"/>
    <w:rsid w:val="0064068B"/>
    <w:rsid w:val="00656AF1"/>
    <w:rsid w:val="006628C6"/>
    <w:rsid w:val="006B14FD"/>
    <w:rsid w:val="006C6161"/>
    <w:rsid w:val="00710130"/>
    <w:rsid w:val="008E63FB"/>
    <w:rsid w:val="00A16FF5"/>
    <w:rsid w:val="00A45D12"/>
    <w:rsid w:val="00A51FA6"/>
    <w:rsid w:val="00AE3E43"/>
    <w:rsid w:val="00B1162D"/>
    <w:rsid w:val="00B2515A"/>
    <w:rsid w:val="00B70F48"/>
    <w:rsid w:val="00B82FE9"/>
    <w:rsid w:val="00C107D9"/>
    <w:rsid w:val="00C628C2"/>
    <w:rsid w:val="00C81ADD"/>
    <w:rsid w:val="00D02FF3"/>
    <w:rsid w:val="00D94A9A"/>
    <w:rsid w:val="00D96DD5"/>
    <w:rsid w:val="00DA360A"/>
    <w:rsid w:val="00DD55DD"/>
    <w:rsid w:val="00DD5C32"/>
    <w:rsid w:val="00DF2458"/>
    <w:rsid w:val="00EA014F"/>
    <w:rsid w:val="00EA0E09"/>
    <w:rsid w:val="00EA20C1"/>
    <w:rsid w:val="00F00B56"/>
    <w:rsid w:val="00F64426"/>
    <w:rsid w:val="00FA78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5A84D8-1383-4797-9411-172886B8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FF3"/>
    <w:pPr>
      <w:ind w:left="720"/>
      <w:contextualSpacing/>
    </w:pPr>
  </w:style>
  <w:style w:type="paragraph" w:styleId="a4">
    <w:name w:val="header"/>
    <w:basedOn w:val="a"/>
    <w:link w:val="a5"/>
    <w:uiPriority w:val="99"/>
    <w:unhideWhenUsed/>
    <w:rsid w:val="00B82FE9"/>
    <w:pPr>
      <w:tabs>
        <w:tab w:val="center" w:pos="4153"/>
        <w:tab w:val="right" w:pos="8306"/>
      </w:tabs>
      <w:spacing w:after="0" w:line="240" w:lineRule="auto"/>
    </w:pPr>
  </w:style>
  <w:style w:type="character" w:customStyle="1" w:styleId="a5">
    <w:name w:val="כותרת עליונה תו"/>
    <w:basedOn w:val="a0"/>
    <w:link w:val="a4"/>
    <w:uiPriority w:val="99"/>
    <w:rsid w:val="00B82FE9"/>
  </w:style>
  <w:style w:type="paragraph" w:styleId="a6">
    <w:name w:val="footer"/>
    <w:basedOn w:val="a"/>
    <w:link w:val="a7"/>
    <w:uiPriority w:val="99"/>
    <w:unhideWhenUsed/>
    <w:rsid w:val="00B82FE9"/>
    <w:pPr>
      <w:tabs>
        <w:tab w:val="center" w:pos="4153"/>
        <w:tab w:val="right" w:pos="8306"/>
      </w:tabs>
      <w:spacing w:after="0" w:line="240" w:lineRule="auto"/>
    </w:pPr>
  </w:style>
  <w:style w:type="character" w:customStyle="1" w:styleId="a7">
    <w:name w:val="כותרת תחתונה תו"/>
    <w:basedOn w:val="a0"/>
    <w:link w:val="a6"/>
    <w:uiPriority w:val="99"/>
    <w:rsid w:val="00B82FE9"/>
  </w:style>
  <w:style w:type="paragraph" w:styleId="a8">
    <w:name w:val="Balloon Text"/>
    <w:basedOn w:val="a"/>
    <w:link w:val="a9"/>
    <w:uiPriority w:val="99"/>
    <w:semiHidden/>
    <w:unhideWhenUsed/>
    <w:rsid w:val="008E63FB"/>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8E63FB"/>
    <w:rPr>
      <w:rFonts w:ascii="Tahoma" w:hAnsi="Tahoma" w:cs="Tahoma"/>
      <w:sz w:val="18"/>
      <w:szCs w:val="18"/>
    </w:rPr>
  </w:style>
  <w:style w:type="paragraph" w:styleId="aa">
    <w:name w:val="footnote text"/>
    <w:basedOn w:val="a"/>
    <w:link w:val="ab"/>
    <w:uiPriority w:val="99"/>
    <w:semiHidden/>
    <w:unhideWhenUsed/>
    <w:rsid w:val="006B14FD"/>
    <w:pPr>
      <w:spacing w:after="0" w:line="240" w:lineRule="auto"/>
    </w:pPr>
    <w:rPr>
      <w:rFonts w:ascii="Arial" w:eastAsia="SimSun" w:hAnsi="Arial" w:cs="David"/>
      <w:sz w:val="20"/>
      <w:szCs w:val="20"/>
    </w:rPr>
  </w:style>
  <w:style w:type="character" w:customStyle="1" w:styleId="ab">
    <w:name w:val="טקסט הערת שוליים תו"/>
    <w:basedOn w:val="a0"/>
    <w:link w:val="aa"/>
    <w:uiPriority w:val="99"/>
    <w:semiHidden/>
    <w:rsid w:val="006B14FD"/>
    <w:rPr>
      <w:rFonts w:ascii="Arial" w:eastAsia="SimSun" w:hAnsi="Arial" w:cs="David"/>
      <w:sz w:val="20"/>
      <w:szCs w:val="20"/>
    </w:rPr>
  </w:style>
  <w:style w:type="character" w:styleId="ac">
    <w:name w:val="footnote reference"/>
    <w:basedOn w:val="a0"/>
    <w:uiPriority w:val="99"/>
    <w:semiHidden/>
    <w:unhideWhenUsed/>
    <w:rsid w:val="006B14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24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28D8C6-A61D-4CB6-8001-550F75BD947F}"/>
</file>

<file path=customXml/itemProps2.xml><?xml version="1.0" encoding="utf-8"?>
<ds:datastoreItem xmlns:ds="http://schemas.openxmlformats.org/officeDocument/2006/customXml" ds:itemID="{B10FAC09-DC78-43DE-8113-851F660B5A1D}"/>
</file>

<file path=customXml/itemProps3.xml><?xml version="1.0" encoding="utf-8"?>
<ds:datastoreItem xmlns:ds="http://schemas.openxmlformats.org/officeDocument/2006/customXml" ds:itemID="{7562D614-CEBE-4CCF-B245-C25024A3E068}"/>
</file>

<file path=docProps/app.xml><?xml version="1.0" encoding="utf-8"?>
<Properties xmlns="http://schemas.openxmlformats.org/officeDocument/2006/extended-properties" xmlns:vt="http://schemas.openxmlformats.org/officeDocument/2006/docPropsVTypes">
  <Template>Normal</Template>
  <TotalTime>1</TotalTime>
  <Pages>4</Pages>
  <Words>1088</Words>
  <Characters>5440</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Yehuda</dc:creator>
  <cp:keywords/>
  <dc:description/>
  <cp:lastModifiedBy>נוגה יוסף</cp:lastModifiedBy>
  <cp:revision>2</cp:revision>
  <cp:lastPrinted>2017-06-20T12:47:00Z</cp:lastPrinted>
  <dcterms:created xsi:type="dcterms:W3CDTF">2017-06-20T13:29:00Z</dcterms:created>
  <dcterms:modified xsi:type="dcterms:W3CDTF">2017-06-20T13:29:00Z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2018185</vt:r8>
  </property>
</Properties>
</file>