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2017102</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משה גפני</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רחל עזריה</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מרב מיכאלי</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פ/4278/20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33E63EFE" w:rsidR="00E13C27" w:rsidRPr="00F67051" w:rsidRDefault="00A443CF" w:rsidP="001A30F4">
      <w:pPr>
        <w:pStyle w:val="HeadHatzaotHok"/>
        <w:rPr>
          <w:rtl/>
        </w:rPr>
      </w:pPr>
      <w:bookmarkStart w:id="7" w:name="LGS_Subject"/>
      <w:r>
        <w:rPr>
          <w:rFonts w:hint="cs"/>
          <w:rtl/>
        </w:rPr>
        <w:t xml:space="preserve">הצעת חוק גיל פרישה (תיקון </w:t>
      </w:r>
      <w:r w:rsidR="001A30F4">
        <w:rPr>
          <w:rFonts w:hint="eastAsia"/>
          <w:rtl/>
        </w:rPr>
        <w:t>–</w:t>
      </w:r>
      <w:r>
        <w:rPr>
          <w:rFonts w:hint="cs"/>
          <w:rtl/>
        </w:rPr>
        <w:t xml:space="preserve"> הצמדת גיל הפרישה שבחוק הביטוח הלאומי לגיל הפרישה שבחוק גיל פרישה), התשע"ז</w:t>
      </w:r>
      <w:r w:rsidR="001A30F4">
        <w:rPr>
          <w:rFonts w:hint="eastAsia"/>
          <w:rtl/>
        </w:rPr>
        <w:t>–</w:t>
      </w:r>
      <w:bookmarkStart w:id="8" w:name="_GoBack"/>
      <w:bookmarkEnd w:id="8"/>
      <w:r>
        <w:rPr>
          <w:rFonts w:hint="cs"/>
          <w:rtl/>
        </w:rPr>
        <w:t>2017</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203A33" w14:paraId="09B68A83" w14:textId="77777777" w:rsidTr="00CD20C5">
        <w:trPr>
          <w:cantSplit/>
          <w:trHeight w:val="60"/>
        </w:trPr>
        <w:tc>
          <w:tcPr>
            <w:tcW w:w="1871" w:type="dxa"/>
          </w:tcPr>
          <w:p w14:paraId="4FAF9C8F" w14:textId="77777777" w:rsidR="00203A33" w:rsidRDefault="00203A33" w:rsidP="00CD20C5">
            <w:pPr>
              <w:pStyle w:val="TableSideHeading"/>
              <w:ind w:right="0"/>
            </w:pPr>
            <w:r>
              <w:rPr>
                <w:rFonts w:hint="cs"/>
                <w:rtl/>
              </w:rPr>
              <w:t>תיקון סעיף 9</w:t>
            </w:r>
          </w:p>
        </w:tc>
        <w:tc>
          <w:tcPr>
            <w:tcW w:w="624" w:type="dxa"/>
          </w:tcPr>
          <w:p w14:paraId="1F15F524" w14:textId="77777777" w:rsidR="00203A33" w:rsidRDefault="00203A33" w:rsidP="00CD20C5">
            <w:pPr>
              <w:pStyle w:val="TableText"/>
              <w:ind w:right="0"/>
              <w:jc w:val="both"/>
            </w:pPr>
            <w:r>
              <w:rPr>
                <w:rFonts w:hint="cs"/>
                <w:rtl/>
              </w:rPr>
              <w:t>1.</w:t>
            </w:r>
          </w:p>
        </w:tc>
        <w:tc>
          <w:tcPr>
            <w:tcW w:w="7146" w:type="dxa"/>
            <w:gridSpan w:val="3"/>
          </w:tcPr>
          <w:p w14:paraId="286A1BBB" w14:textId="77777777" w:rsidR="00203A33" w:rsidRPr="009754CA" w:rsidRDefault="00203A33" w:rsidP="00CD20C5">
            <w:pPr>
              <w:pStyle w:val="TableBlock"/>
            </w:pPr>
            <w:r>
              <w:rPr>
                <w:rFonts w:hint="cs"/>
                <w:rtl/>
              </w:rPr>
              <w:t>בחוק גיל פרישה, התשס"ד</w:t>
            </w:r>
            <w:r>
              <w:rPr>
                <w:rFonts w:hint="eastAsia"/>
                <w:rtl/>
              </w:rPr>
              <w:t>–</w:t>
            </w:r>
            <w:r>
              <w:rPr>
                <w:rFonts w:hint="cs"/>
                <w:rtl/>
              </w:rPr>
              <w:t>2004</w:t>
            </w:r>
            <w:r w:rsidRPr="00EC20D8">
              <w:rPr>
                <w:szCs w:val="20"/>
                <w:rtl/>
              </w:rPr>
              <w:footnoteReference w:id="2"/>
            </w:r>
            <w:r>
              <w:rPr>
                <w:rFonts w:hint="cs"/>
                <w:rtl/>
              </w:rPr>
              <w:t xml:space="preserve">, בסעיף 9 </w:t>
            </w:r>
            <w:r>
              <w:rPr>
                <w:rFonts w:hint="eastAsia"/>
                <w:rtl/>
              </w:rPr>
              <w:t>–</w:t>
            </w:r>
            <w:r>
              <w:rPr>
                <w:rFonts w:hint="cs"/>
                <w:rtl/>
              </w:rPr>
              <w:t xml:space="preserve"> </w:t>
            </w:r>
          </w:p>
        </w:tc>
      </w:tr>
      <w:tr w:rsidR="00203A33" w14:paraId="527379C0" w14:textId="77777777" w:rsidTr="00CD20C5">
        <w:trPr>
          <w:cantSplit/>
          <w:trHeight w:val="60"/>
        </w:trPr>
        <w:tc>
          <w:tcPr>
            <w:tcW w:w="1871" w:type="dxa"/>
          </w:tcPr>
          <w:p w14:paraId="3AEC7232" w14:textId="77777777" w:rsidR="00203A33" w:rsidRDefault="00203A33" w:rsidP="00CD20C5">
            <w:pPr>
              <w:pStyle w:val="TableSideHeading"/>
              <w:ind w:right="0"/>
              <w:rPr>
                <w:rtl/>
              </w:rPr>
            </w:pPr>
          </w:p>
        </w:tc>
        <w:tc>
          <w:tcPr>
            <w:tcW w:w="624" w:type="dxa"/>
          </w:tcPr>
          <w:p w14:paraId="1BE5C142" w14:textId="77777777" w:rsidR="00203A33" w:rsidRDefault="00203A33" w:rsidP="00CD20C5">
            <w:pPr>
              <w:pStyle w:val="TableText"/>
              <w:rPr>
                <w:rtl/>
              </w:rPr>
            </w:pPr>
          </w:p>
        </w:tc>
        <w:tc>
          <w:tcPr>
            <w:tcW w:w="7146" w:type="dxa"/>
            <w:gridSpan w:val="3"/>
          </w:tcPr>
          <w:p w14:paraId="5833B354" w14:textId="77777777" w:rsidR="00203A33" w:rsidRDefault="00203A33" w:rsidP="00CD20C5">
            <w:pPr>
              <w:pStyle w:val="TableBlock"/>
              <w:rPr>
                <w:rtl/>
              </w:rPr>
            </w:pPr>
            <w:r>
              <w:rPr>
                <w:rFonts w:hint="cs"/>
                <w:rtl/>
              </w:rPr>
              <w:t>(1)</w:t>
            </w:r>
            <w:r>
              <w:rPr>
                <w:rtl/>
              </w:rPr>
              <w:tab/>
            </w:r>
            <w:r>
              <w:rPr>
                <w:rFonts w:hint="cs"/>
                <w:rtl/>
              </w:rPr>
              <w:t>בסעיף קטן (ד), המילים "ואת חלק א' בלוח א'1 בחוק הביטוח הלאומי [נוסח משולב], התשנ"ה</w:t>
            </w:r>
            <w:r>
              <w:rPr>
                <w:rFonts w:hint="eastAsia"/>
                <w:rtl/>
              </w:rPr>
              <w:t>–</w:t>
            </w:r>
            <w:r>
              <w:rPr>
                <w:rFonts w:hint="cs"/>
                <w:rtl/>
              </w:rPr>
              <w:t xml:space="preserve">1995," </w:t>
            </w:r>
            <w:r>
              <w:rPr>
                <w:rtl/>
              </w:rPr>
              <w:t>–</w:t>
            </w:r>
            <w:r>
              <w:rPr>
                <w:rFonts w:hint="cs"/>
                <w:rtl/>
              </w:rPr>
              <w:t xml:space="preserve"> יימחקו;</w:t>
            </w:r>
          </w:p>
        </w:tc>
      </w:tr>
      <w:tr w:rsidR="00203A33" w14:paraId="5A9948CC" w14:textId="77777777" w:rsidTr="00CD20C5">
        <w:trPr>
          <w:cantSplit/>
          <w:trHeight w:val="60"/>
        </w:trPr>
        <w:tc>
          <w:tcPr>
            <w:tcW w:w="1871" w:type="dxa"/>
          </w:tcPr>
          <w:p w14:paraId="3312AB98" w14:textId="77777777" w:rsidR="00203A33" w:rsidRDefault="00203A33" w:rsidP="00CD20C5">
            <w:pPr>
              <w:pStyle w:val="TableSideHeading"/>
              <w:ind w:right="0"/>
              <w:rPr>
                <w:rtl/>
              </w:rPr>
            </w:pPr>
          </w:p>
        </w:tc>
        <w:tc>
          <w:tcPr>
            <w:tcW w:w="624" w:type="dxa"/>
          </w:tcPr>
          <w:p w14:paraId="6E4DAED2" w14:textId="77777777" w:rsidR="00203A33" w:rsidRDefault="00203A33" w:rsidP="00CD20C5">
            <w:pPr>
              <w:pStyle w:val="TableText"/>
              <w:rPr>
                <w:rtl/>
              </w:rPr>
            </w:pPr>
          </w:p>
        </w:tc>
        <w:tc>
          <w:tcPr>
            <w:tcW w:w="7146" w:type="dxa"/>
            <w:gridSpan w:val="3"/>
          </w:tcPr>
          <w:p w14:paraId="3538AEDE" w14:textId="77777777" w:rsidR="00203A33" w:rsidRDefault="00203A33" w:rsidP="00CD20C5">
            <w:pPr>
              <w:pStyle w:val="TableBlock"/>
              <w:rPr>
                <w:rtl/>
              </w:rPr>
            </w:pPr>
            <w:r>
              <w:rPr>
                <w:rFonts w:hint="cs"/>
                <w:rtl/>
              </w:rPr>
              <w:t>(2)</w:t>
            </w:r>
            <w:r>
              <w:rPr>
                <w:rtl/>
              </w:rPr>
              <w:tab/>
            </w:r>
            <w:r>
              <w:rPr>
                <w:rFonts w:hint="cs"/>
                <w:rtl/>
              </w:rPr>
              <w:t>בסעיף קטן (ה), במקום "לא החליטה" יבוא "הביא השר לאישור ועדת הכספים של הכנסת את המלצותיו כאמור בסעיף קטן (ב) ולא החליטה".</w:t>
            </w:r>
          </w:p>
        </w:tc>
      </w:tr>
      <w:tr w:rsidR="00203A33" w14:paraId="449D562F" w14:textId="77777777" w:rsidTr="00CD20C5">
        <w:trPr>
          <w:cantSplit/>
          <w:trHeight w:val="60"/>
        </w:trPr>
        <w:tc>
          <w:tcPr>
            <w:tcW w:w="1871" w:type="dxa"/>
          </w:tcPr>
          <w:p w14:paraId="458AA542" w14:textId="77777777" w:rsidR="00203A33" w:rsidRDefault="00203A33" w:rsidP="00CD20C5">
            <w:pPr>
              <w:pStyle w:val="TableSideHeading"/>
              <w:keepLines w:val="0"/>
              <w:rPr>
                <w:rtl/>
              </w:rPr>
            </w:pPr>
            <w:r>
              <w:rPr>
                <w:rFonts w:hint="cs"/>
                <w:rtl/>
              </w:rPr>
              <w:t>תיקון חוק הביטוח הלאומי</w:t>
            </w:r>
          </w:p>
        </w:tc>
        <w:tc>
          <w:tcPr>
            <w:tcW w:w="624" w:type="dxa"/>
          </w:tcPr>
          <w:p w14:paraId="72F2A512" w14:textId="77777777" w:rsidR="00203A33" w:rsidRDefault="00203A33" w:rsidP="00CD20C5">
            <w:pPr>
              <w:pStyle w:val="TableText"/>
              <w:rPr>
                <w:rtl/>
              </w:rPr>
            </w:pPr>
            <w:r>
              <w:rPr>
                <w:rFonts w:hint="cs"/>
                <w:rtl/>
              </w:rPr>
              <w:t>2.</w:t>
            </w:r>
          </w:p>
        </w:tc>
        <w:tc>
          <w:tcPr>
            <w:tcW w:w="7146" w:type="dxa"/>
            <w:gridSpan w:val="3"/>
          </w:tcPr>
          <w:p w14:paraId="61B3AA69" w14:textId="77777777" w:rsidR="00203A33" w:rsidRDefault="00203A33" w:rsidP="00CD20C5">
            <w:pPr>
              <w:pStyle w:val="TableBlock"/>
              <w:keepLines w:val="0"/>
              <w:rPr>
                <w:rtl/>
              </w:rPr>
            </w:pPr>
            <w:r>
              <w:rPr>
                <w:rFonts w:hint="cs"/>
                <w:rtl/>
              </w:rPr>
              <w:t>בחוק הביטוח הלאומי [נוסח משולב], התשנ"ה</w:t>
            </w:r>
            <w:r>
              <w:rPr>
                <w:rFonts w:hint="eastAsia"/>
                <w:rtl/>
              </w:rPr>
              <w:t>–</w:t>
            </w:r>
            <w:r>
              <w:rPr>
                <w:rFonts w:hint="cs"/>
                <w:rtl/>
              </w:rPr>
              <w:t>1995</w:t>
            </w:r>
            <w:r>
              <w:rPr>
                <w:rStyle w:val="a6"/>
                <w:rtl/>
              </w:rPr>
              <w:footnoteReference w:id="3"/>
            </w:r>
            <w:r>
              <w:rPr>
                <w:rFonts w:hint="cs"/>
                <w:rtl/>
              </w:rPr>
              <w:t xml:space="preserve"> </w:t>
            </w:r>
            <w:r>
              <w:rPr>
                <w:rFonts w:hint="eastAsia"/>
                <w:rtl/>
              </w:rPr>
              <w:t>–</w:t>
            </w:r>
          </w:p>
        </w:tc>
      </w:tr>
      <w:tr w:rsidR="00203A33" w14:paraId="719B5693" w14:textId="77777777" w:rsidTr="00CD20C5">
        <w:trPr>
          <w:cantSplit/>
          <w:trHeight w:val="60"/>
        </w:trPr>
        <w:tc>
          <w:tcPr>
            <w:tcW w:w="1871" w:type="dxa"/>
          </w:tcPr>
          <w:p w14:paraId="63003352" w14:textId="77777777" w:rsidR="00203A33" w:rsidRDefault="00203A33" w:rsidP="00CD20C5">
            <w:pPr>
              <w:pStyle w:val="TableSideHeading"/>
              <w:keepLines w:val="0"/>
              <w:rPr>
                <w:rtl/>
              </w:rPr>
            </w:pPr>
          </w:p>
        </w:tc>
        <w:tc>
          <w:tcPr>
            <w:tcW w:w="624" w:type="dxa"/>
          </w:tcPr>
          <w:p w14:paraId="19BDC05C" w14:textId="77777777" w:rsidR="00203A33" w:rsidRDefault="00203A33" w:rsidP="00CD20C5">
            <w:pPr>
              <w:pStyle w:val="TableText"/>
              <w:rPr>
                <w:rtl/>
              </w:rPr>
            </w:pPr>
          </w:p>
        </w:tc>
        <w:tc>
          <w:tcPr>
            <w:tcW w:w="7146" w:type="dxa"/>
            <w:gridSpan w:val="3"/>
          </w:tcPr>
          <w:p w14:paraId="1F894EA8" w14:textId="70C3947B" w:rsidR="00203A33" w:rsidRDefault="00203A33" w:rsidP="00CD20C5">
            <w:pPr>
              <w:pStyle w:val="TableBlock"/>
              <w:keepLines w:val="0"/>
              <w:rPr>
                <w:rtl/>
              </w:rPr>
            </w:pPr>
            <w:r>
              <w:rPr>
                <w:rFonts w:hint="cs"/>
                <w:rtl/>
              </w:rPr>
              <w:t>(1)</w:t>
            </w:r>
            <w:r>
              <w:rPr>
                <w:rtl/>
              </w:rPr>
              <w:tab/>
            </w:r>
            <w:r>
              <w:rPr>
                <w:rFonts w:hint="cs"/>
                <w:rtl/>
              </w:rPr>
              <w:t>בסעיף</w:t>
            </w:r>
            <w:r w:rsidR="007E48AE">
              <w:rPr>
                <w:rFonts w:hint="cs"/>
                <w:rtl/>
              </w:rPr>
              <w:t xml:space="preserve"> 1, במקום ההגדרה ""גיל הפרישה""</w:t>
            </w:r>
            <w:r>
              <w:rPr>
                <w:rFonts w:hint="cs"/>
                <w:rtl/>
              </w:rPr>
              <w:t xml:space="preserve"> יבוא: </w:t>
            </w:r>
          </w:p>
        </w:tc>
      </w:tr>
      <w:tr w:rsidR="007E48AE" w14:paraId="0A330543" w14:textId="77777777">
        <w:trPr>
          <w:cantSplit/>
          <w:trHeight w:val="60"/>
        </w:trPr>
        <w:tc>
          <w:tcPr>
            <w:tcW w:w="1871" w:type="dxa"/>
          </w:tcPr>
          <w:p w14:paraId="5AE3EA08" w14:textId="77777777" w:rsidR="007E48AE" w:rsidRDefault="007E48AE">
            <w:pPr>
              <w:pStyle w:val="TableSideHeading"/>
            </w:pPr>
          </w:p>
        </w:tc>
        <w:tc>
          <w:tcPr>
            <w:tcW w:w="624" w:type="dxa"/>
          </w:tcPr>
          <w:p w14:paraId="7496296B" w14:textId="77777777" w:rsidR="007E48AE" w:rsidRDefault="007E48AE">
            <w:pPr>
              <w:pStyle w:val="TableText"/>
            </w:pPr>
          </w:p>
        </w:tc>
        <w:tc>
          <w:tcPr>
            <w:tcW w:w="624" w:type="dxa"/>
          </w:tcPr>
          <w:p w14:paraId="3FBFD905" w14:textId="77777777" w:rsidR="007E48AE" w:rsidRDefault="007E48AE">
            <w:pPr>
              <w:pStyle w:val="TableText"/>
            </w:pPr>
          </w:p>
        </w:tc>
        <w:tc>
          <w:tcPr>
            <w:tcW w:w="6522" w:type="dxa"/>
            <w:gridSpan w:val="2"/>
          </w:tcPr>
          <w:p w14:paraId="3DF56511" w14:textId="1531633A" w:rsidR="007E48AE" w:rsidRDefault="007E48AE">
            <w:pPr>
              <w:pStyle w:val="TableBlock"/>
            </w:pPr>
            <w:r>
              <w:rPr>
                <w:rFonts w:hint="cs"/>
                <w:rtl/>
              </w:rPr>
              <w:t xml:space="preserve">""גיל הפרישה" </w:t>
            </w:r>
            <w:r>
              <w:rPr>
                <w:rFonts w:hint="eastAsia"/>
                <w:rtl/>
              </w:rPr>
              <w:t>–</w:t>
            </w:r>
          </w:p>
        </w:tc>
      </w:tr>
      <w:tr w:rsidR="007E48AE" w14:paraId="7A4AB2A8" w14:textId="77777777">
        <w:trPr>
          <w:cantSplit/>
          <w:trHeight w:val="60"/>
        </w:trPr>
        <w:tc>
          <w:tcPr>
            <w:tcW w:w="1871" w:type="dxa"/>
          </w:tcPr>
          <w:p w14:paraId="2205680C" w14:textId="0DD616A9" w:rsidR="007E48AE" w:rsidRDefault="007E48AE" w:rsidP="007E48AE">
            <w:pPr>
              <w:pStyle w:val="TableSideHeading"/>
            </w:pPr>
          </w:p>
        </w:tc>
        <w:tc>
          <w:tcPr>
            <w:tcW w:w="624" w:type="dxa"/>
          </w:tcPr>
          <w:p w14:paraId="44756894" w14:textId="77777777" w:rsidR="007E48AE" w:rsidRDefault="007E48AE" w:rsidP="007E48AE">
            <w:pPr>
              <w:pStyle w:val="TableText"/>
            </w:pPr>
          </w:p>
        </w:tc>
        <w:tc>
          <w:tcPr>
            <w:tcW w:w="624" w:type="dxa"/>
          </w:tcPr>
          <w:p w14:paraId="6739D5E6" w14:textId="77777777" w:rsidR="007E48AE" w:rsidRDefault="007E48AE" w:rsidP="007E48AE">
            <w:pPr>
              <w:pStyle w:val="TableText"/>
            </w:pPr>
          </w:p>
        </w:tc>
        <w:tc>
          <w:tcPr>
            <w:tcW w:w="624" w:type="dxa"/>
          </w:tcPr>
          <w:p w14:paraId="30CFB41E" w14:textId="77777777" w:rsidR="007E48AE" w:rsidRDefault="007E48AE" w:rsidP="007E48AE">
            <w:pPr>
              <w:pStyle w:val="TableText"/>
            </w:pPr>
          </w:p>
        </w:tc>
        <w:tc>
          <w:tcPr>
            <w:tcW w:w="5898" w:type="dxa"/>
          </w:tcPr>
          <w:p w14:paraId="2B3DBB64" w14:textId="6A41A71B" w:rsidR="007E48AE" w:rsidRDefault="007E48AE" w:rsidP="007E48AE">
            <w:pPr>
              <w:pStyle w:val="TableBlock"/>
            </w:pPr>
            <w:r>
              <w:rPr>
                <w:rFonts w:hint="cs"/>
                <w:rtl/>
              </w:rPr>
              <w:t>(1)</w:t>
            </w:r>
            <w:r>
              <w:rPr>
                <w:rtl/>
              </w:rPr>
              <w:tab/>
            </w:r>
            <w:r>
              <w:rPr>
                <w:rFonts w:hint="cs"/>
                <w:rtl/>
              </w:rPr>
              <w:t xml:space="preserve">לגבי גבר </w:t>
            </w:r>
            <w:r>
              <w:rPr>
                <w:rFonts w:hint="eastAsia"/>
                <w:rtl/>
              </w:rPr>
              <w:t>–</w:t>
            </w:r>
            <w:r>
              <w:rPr>
                <w:rFonts w:hint="cs"/>
                <w:rtl/>
              </w:rPr>
              <w:t xml:space="preserve"> הגיל הקבוע לו בהתאם לחודש לידתו בחלק א' בלוח א'1;</w:t>
            </w:r>
          </w:p>
        </w:tc>
      </w:tr>
      <w:tr w:rsidR="007E48AE" w14:paraId="00CA81BD" w14:textId="77777777">
        <w:trPr>
          <w:cantSplit/>
          <w:trHeight w:val="60"/>
        </w:trPr>
        <w:tc>
          <w:tcPr>
            <w:tcW w:w="1871" w:type="dxa"/>
          </w:tcPr>
          <w:p w14:paraId="2B1F64C3" w14:textId="55D4E887" w:rsidR="007E48AE" w:rsidRDefault="007E48AE" w:rsidP="007E48AE">
            <w:pPr>
              <w:pStyle w:val="TableSideHeading"/>
              <w:rPr>
                <w:rtl/>
              </w:rPr>
            </w:pPr>
          </w:p>
        </w:tc>
        <w:tc>
          <w:tcPr>
            <w:tcW w:w="624" w:type="dxa"/>
          </w:tcPr>
          <w:p w14:paraId="6E695D89" w14:textId="77777777" w:rsidR="007E48AE" w:rsidRDefault="007E48AE" w:rsidP="007E48AE">
            <w:pPr>
              <w:pStyle w:val="TableText"/>
            </w:pPr>
          </w:p>
        </w:tc>
        <w:tc>
          <w:tcPr>
            <w:tcW w:w="624" w:type="dxa"/>
          </w:tcPr>
          <w:p w14:paraId="5B3642A9" w14:textId="77777777" w:rsidR="007E48AE" w:rsidRDefault="007E48AE" w:rsidP="007E48AE">
            <w:pPr>
              <w:pStyle w:val="TableText"/>
            </w:pPr>
          </w:p>
        </w:tc>
        <w:tc>
          <w:tcPr>
            <w:tcW w:w="624" w:type="dxa"/>
          </w:tcPr>
          <w:p w14:paraId="4BA82AD4" w14:textId="77777777" w:rsidR="007E48AE" w:rsidRDefault="007E48AE" w:rsidP="007E48AE">
            <w:pPr>
              <w:pStyle w:val="TableText"/>
            </w:pPr>
          </w:p>
        </w:tc>
        <w:tc>
          <w:tcPr>
            <w:tcW w:w="5898" w:type="dxa"/>
          </w:tcPr>
          <w:p w14:paraId="0D7FF444" w14:textId="63B0ACF6" w:rsidR="007E48AE" w:rsidRDefault="007E48AE" w:rsidP="007E48AE">
            <w:pPr>
              <w:pStyle w:val="TableBlock"/>
              <w:rPr>
                <w:rtl/>
              </w:rPr>
            </w:pPr>
            <w:r>
              <w:rPr>
                <w:rFonts w:hint="cs"/>
                <w:rtl/>
              </w:rPr>
              <w:t>(2)</w:t>
            </w:r>
            <w:r>
              <w:rPr>
                <w:rtl/>
              </w:rPr>
              <w:tab/>
            </w:r>
            <w:r>
              <w:rPr>
                <w:rFonts w:hint="cs"/>
                <w:rtl/>
              </w:rPr>
              <w:t xml:space="preserve">לגבי אישה </w:t>
            </w:r>
            <w:r>
              <w:rPr>
                <w:rFonts w:hint="eastAsia"/>
                <w:rtl/>
              </w:rPr>
              <w:t>–</w:t>
            </w:r>
            <w:r>
              <w:rPr>
                <w:rFonts w:hint="cs"/>
                <w:rtl/>
              </w:rPr>
              <w:t xml:space="preserve"> הגיל הקבוע לה בהתאם לחודש לידתה לפי חלק א' בלוח א'1, ואם היא נולדה בשנת 1955 ואילך </w:t>
            </w:r>
            <w:r>
              <w:rPr>
                <w:rtl/>
              </w:rPr>
              <w:t>–</w:t>
            </w:r>
            <w:r>
              <w:rPr>
                <w:rFonts w:hint="cs"/>
                <w:rtl/>
              </w:rPr>
              <w:t xml:space="preserve"> הגיל הקבוע לה בהתאם לחוק גיל פרישה, התשס"ד</w:t>
            </w:r>
            <w:r>
              <w:rPr>
                <w:rFonts w:hint="eastAsia"/>
                <w:rtl/>
              </w:rPr>
              <w:t>–</w:t>
            </w:r>
            <w:r>
              <w:rPr>
                <w:rFonts w:hint="cs"/>
                <w:rtl/>
              </w:rPr>
              <w:t>2004</w:t>
            </w:r>
            <w:r>
              <w:rPr>
                <w:rStyle w:val="a6"/>
                <w:rtl/>
              </w:rPr>
              <w:footnoteReference w:id="4"/>
            </w:r>
            <w:r>
              <w:rPr>
                <w:rFonts w:hint="cs"/>
                <w:rtl/>
              </w:rPr>
              <w:t>;";</w:t>
            </w:r>
          </w:p>
        </w:tc>
      </w:tr>
      <w:tr w:rsidR="007E48AE" w14:paraId="4DDF1E07" w14:textId="77777777" w:rsidTr="00CD20C5">
        <w:trPr>
          <w:cantSplit/>
          <w:trHeight w:val="60"/>
        </w:trPr>
        <w:tc>
          <w:tcPr>
            <w:tcW w:w="1871" w:type="dxa"/>
          </w:tcPr>
          <w:p w14:paraId="33D2B2F3" w14:textId="77777777" w:rsidR="007E48AE" w:rsidRDefault="007E48AE" w:rsidP="007E48AE">
            <w:pPr>
              <w:pStyle w:val="TableSideHeading"/>
              <w:keepLines w:val="0"/>
              <w:rPr>
                <w:rtl/>
              </w:rPr>
            </w:pPr>
          </w:p>
        </w:tc>
        <w:tc>
          <w:tcPr>
            <w:tcW w:w="624" w:type="dxa"/>
          </w:tcPr>
          <w:p w14:paraId="3527D877" w14:textId="77777777" w:rsidR="007E48AE" w:rsidRDefault="007E48AE" w:rsidP="007E48AE">
            <w:pPr>
              <w:pStyle w:val="TableText"/>
              <w:rPr>
                <w:rtl/>
              </w:rPr>
            </w:pPr>
          </w:p>
        </w:tc>
        <w:tc>
          <w:tcPr>
            <w:tcW w:w="7146" w:type="dxa"/>
            <w:gridSpan w:val="3"/>
          </w:tcPr>
          <w:p w14:paraId="54A80BF2" w14:textId="0BE836CE" w:rsidR="007E48AE" w:rsidRDefault="007E48AE" w:rsidP="007E48AE">
            <w:pPr>
              <w:pStyle w:val="TableBlock"/>
              <w:keepLines w:val="0"/>
              <w:rPr>
                <w:rtl/>
              </w:rPr>
            </w:pPr>
            <w:r>
              <w:rPr>
                <w:rFonts w:hint="cs"/>
                <w:rtl/>
              </w:rPr>
              <w:t>(2)</w:t>
            </w:r>
            <w:r>
              <w:rPr>
                <w:rtl/>
              </w:rPr>
              <w:tab/>
            </w:r>
            <w:r>
              <w:rPr>
                <w:rFonts w:hint="cs"/>
                <w:rtl/>
              </w:rPr>
              <w:t xml:space="preserve">בסעיף 406(1), המילים "בהתאם לחודש לידתה, בחלק א' בלוח א'1" </w:t>
            </w:r>
            <w:r>
              <w:rPr>
                <w:rtl/>
              </w:rPr>
              <w:t>–</w:t>
            </w:r>
            <w:r>
              <w:rPr>
                <w:rFonts w:hint="cs"/>
                <w:rtl/>
              </w:rPr>
              <w:t xml:space="preserve"> יימחקו;</w:t>
            </w:r>
          </w:p>
        </w:tc>
      </w:tr>
      <w:tr w:rsidR="007E48AE" w14:paraId="795ABC89" w14:textId="77777777" w:rsidTr="00CD20C5">
        <w:trPr>
          <w:cantSplit/>
          <w:trHeight w:val="60"/>
        </w:trPr>
        <w:tc>
          <w:tcPr>
            <w:tcW w:w="1871" w:type="dxa"/>
          </w:tcPr>
          <w:p w14:paraId="038FC797" w14:textId="77777777" w:rsidR="007E48AE" w:rsidRDefault="007E48AE" w:rsidP="007E48AE">
            <w:pPr>
              <w:pStyle w:val="TableSideHeading"/>
              <w:keepLines w:val="0"/>
              <w:rPr>
                <w:rtl/>
              </w:rPr>
            </w:pPr>
          </w:p>
        </w:tc>
        <w:tc>
          <w:tcPr>
            <w:tcW w:w="624" w:type="dxa"/>
          </w:tcPr>
          <w:p w14:paraId="3DE8A58D" w14:textId="77777777" w:rsidR="007E48AE" w:rsidRDefault="007E48AE" w:rsidP="007E48AE">
            <w:pPr>
              <w:pStyle w:val="TableText"/>
              <w:rPr>
                <w:rtl/>
              </w:rPr>
            </w:pPr>
          </w:p>
        </w:tc>
        <w:tc>
          <w:tcPr>
            <w:tcW w:w="7146" w:type="dxa"/>
            <w:gridSpan w:val="3"/>
          </w:tcPr>
          <w:p w14:paraId="2123E6D2" w14:textId="77777777" w:rsidR="007E48AE" w:rsidRDefault="007E48AE" w:rsidP="007E48AE">
            <w:pPr>
              <w:pStyle w:val="TableBlock"/>
              <w:keepLines w:val="0"/>
              <w:rPr>
                <w:rtl/>
              </w:rPr>
            </w:pPr>
            <w:r>
              <w:rPr>
                <w:rFonts w:hint="cs"/>
                <w:rtl/>
              </w:rPr>
              <w:t>(3)</w:t>
            </w:r>
            <w:r>
              <w:rPr>
                <w:rtl/>
              </w:rPr>
              <w:tab/>
            </w:r>
            <w:r>
              <w:rPr>
                <w:rFonts w:hint="cs"/>
                <w:rtl/>
              </w:rPr>
              <w:t xml:space="preserve">בלוח א'1 </w:t>
            </w:r>
            <w:r>
              <w:rPr>
                <w:rFonts w:hint="eastAsia"/>
                <w:rtl/>
              </w:rPr>
              <w:t>–</w:t>
            </w:r>
            <w:r>
              <w:rPr>
                <w:rFonts w:hint="cs"/>
                <w:rtl/>
              </w:rPr>
              <w:t xml:space="preserve"> </w:t>
            </w:r>
          </w:p>
        </w:tc>
      </w:tr>
      <w:tr w:rsidR="007E48AE" w14:paraId="58179AF0" w14:textId="77777777" w:rsidTr="00CD20C5">
        <w:trPr>
          <w:cantSplit/>
          <w:trHeight w:val="60"/>
        </w:trPr>
        <w:tc>
          <w:tcPr>
            <w:tcW w:w="1871" w:type="dxa"/>
          </w:tcPr>
          <w:p w14:paraId="28FFC117" w14:textId="77777777" w:rsidR="007E48AE" w:rsidRDefault="007E48AE" w:rsidP="007E48AE">
            <w:pPr>
              <w:pStyle w:val="TableSideHeading"/>
            </w:pPr>
          </w:p>
        </w:tc>
        <w:tc>
          <w:tcPr>
            <w:tcW w:w="624" w:type="dxa"/>
          </w:tcPr>
          <w:p w14:paraId="769F69CA" w14:textId="77777777" w:rsidR="007E48AE" w:rsidRDefault="007E48AE" w:rsidP="007E48AE">
            <w:pPr>
              <w:pStyle w:val="TableText"/>
            </w:pPr>
          </w:p>
        </w:tc>
        <w:tc>
          <w:tcPr>
            <w:tcW w:w="624" w:type="dxa"/>
          </w:tcPr>
          <w:p w14:paraId="5CAA73CD" w14:textId="77777777" w:rsidR="007E48AE" w:rsidRDefault="007E48AE" w:rsidP="007E48AE">
            <w:pPr>
              <w:pStyle w:val="TableText"/>
            </w:pPr>
          </w:p>
        </w:tc>
        <w:tc>
          <w:tcPr>
            <w:tcW w:w="6522" w:type="dxa"/>
            <w:gridSpan w:val="2"/>
          </w:tcPr>
          <w:p w14:paraId="12295E69" w14:textId="4FE51CB1" w:rsidR="007E48AE" w:rsidRDefault="007E48AE" w:rsidP="007E48AE">
            <w:pPr>
              <w:pStyle w:val="TableBlock"/>
            </w:pPr>
            <w:r>
              <w:rPr>
                <w:rFonts w:hint="cs"/>
                <w:rtl/>
              </w:rPr>
              <w:t>(א)</w:t>
            </w:r>
            <w:r>
              <w:rPr>
                <w:rtl/>
              </w:rPr>
              <w:tab/>
            </w:r>
            <w:r>
              <w:rPr>
                <w:rFonts w:hint="cs"/>
                <w:rtl/>
              </w:rPr>
              <w:t>בחלק א', אחרי הכותרת "לאישה", במקום הקטע החל במילים:</w:t>
            </w:r>
          </w:p>
        </w:tc>
      </w:tr>
      <w:tr w:rsidR="007E48AE" w14:paraId="020E1FBE" w14:textId="77777777" w:rsidTr="00CD20C5">
        <w:trPr>
          <w:cantSplit/>
          <w:trHeight w:val="60"/>
        </w:trPr>
        <w:tc>
          <w:tcPr>
            <w:tcW w:w="1871" w:type="dxa"/>
          </w:tcPr>
          <w:p w14:paraId="1C9FDD41" w14:textId="77777777" w:rsidR="007E48AE" w:rsidRDefault="007E48AE" w:rsidP="007E48AE">
            <w:pPr>
              <w:pStyle w:val="TableSideHeading"/>
              <w:ind w:right="0"/>
            </w:pPr>
          </w:p>
        </w:tc>
        <w:tc>
          <w:tcPr>
            <w:tcW w:w="624" w:type="dxa"/>
          </w:tcPr>
          <w:p w14:paraId="3BF7C7F4" w14:textId="77777777" w:rsidR="007E48AE" w:rsidRDefault="007E48AE" w:rsidP="007E48AE">
            <w:pPr>
              <w:pStyle w:val="TableText"/>
              <w:ind w:right="0"/>
              <w:jc w:val="both"/>
            </w:pPr>
          </w:p>
        </w:tc>
        <w:tc>
          <w:tcPr>
            <w:tcW w:w="624" w:type="dxa"/>
          </w:tcPr>
          <w:p w14:paraId="2BBE9E1B" w14:textId="77777777" w:rsidR="007E48AE" w:rsidRDefault="007E48AE" w:rsidP="007E48AE">
            <w:pPr>
              <w:pStyle w:val="TableText"/>
              <w:ind w:right="0"/>
              <w:jc w:val="both"/>
            </w:pPr>
          </w:p>
        </w:tc>
        <w:tc>
          <w:tcPr>
            <w:tcW w:w="624" w:type="dxa"/>
          </w:tcPr>
          <w:p w14:paraId="4AC429B4" w14:textId="77777777" w:rsidR="007E48AE" w:rsidRPr="009754CA" w:rsidRDefault="007E48AE" w:rsidP="007E48AE">
            <w:pPr>
              <w:pStyle w:val="TableText"/>
              <w:ind w:right="0"/>
              <w:jc w:val="both"/>
              <w:rPr>
                <w:rtl/>
              </w:rPr>
            </w:pPr>
          </w:p>
        </w:tc>
        <w:tc>
          <w:tcPr>
            <w:tcW w:w="5898" w:type="dxa"/>
          </w:tcPr>
          <w:p w14:paraId="6280CB8F" w14:textId="77777777" w:rsidR="007E48AE" w:rsidRPr="009754CA" w:rsidRDefault="007E48AE" w:rsidP="007E48AE">
            <w:pPr>
              <w:pStyle w:val="TableBlock"/>
              <w:rPr>
                <w:rtl/>
              </w:rPr>
            </w:pPr>
            <w:r>
              <w:rPr>
                <w:rFonts w:hint="cs"/>
                <w:rtl/>
              </w:rPr>
              <w:t>"מאי 1947 עד יולי 1955                    62"</w:t>
            </w:r>
          </w:p>
        </w:tc>
      </w:tr>
      <w:tr w:rsidR="007E48AE" w14:paraId="557643DB" w14:textId="77777777" w:rsidTr="00CD20C5">
        <w:trPr>
          <w:cantSplit/>
          <w:trHeight w:val="60"/>
        </w:trPr>
        <w:tc>
          <w:tcPr>
            <w:tcW w:w="1871" w:type="dxa"/>
          </w:tcPr>
          <w:p w14:paraId="72E479FD" w14:textId="77777777" w:rsidR="007E48AE" w:rsidRDefault="007E48AE" w:rsidP="007E48AE">
            <w:pPr>
              <w:pStyle w:val="TableSideHeading"/>
              <w:ind w:right="0"/>
            </w:pPr>
          </w:p>
        </w:tc>
        <w:tc>
          <w:tcPr>
            <w:tcW w:w="624" w:type="dxa"/>
          </w:tcPr>
          <w:p w14:paraId="4228C112" w14:textId="77777777" w:rsidR="007E48AE" w:rsidRDefault="007E48AE" w:rsidP="007E48AE">
            <w:pPr>
              <w:pStyle w:val="TableText"/>
            </w:pPr>
          </w:p>
        </w:tc>
        <w:tc>
          <w:tcPr>
            <w:tcW w:w="624" w:type="dxa"/>
          </w:tcPr>
          <w:p w14:paraId="30839825" w14:textId="77777777" w:rsidR="007E48AE" w:rsidRDefault="007E48AE" w:rsidP="007E48AE">
            <w:pPr>
              <w:pStyle w:val="TableText"/>
              <w:ind w:right="0"/>
              <w:jc w:val="both"/>
            </w:pPr>
          </w:p>
        </w:tc>
        <w:tc>
          <w:tcPr>
            <w:tcW w:w="624" w:type="dxa"/>
          </w:tcPr>
          <w:p w14:paraId="43709DA8" w14:textId="77777777" w:rsidR="007E48AE" w:rsidRPr="009754CA" w:rsidRDefault="007E48AE" w:rsidP="007E48AE">
            <w:pPr>
              <w:pStyle w:val="TableText"/>
              <w:ind w:right="0"/>
              <w:jc w:val="both"/>
              <w:rPr>
                <w:rtl/>
              </w:rPr>
            </w:pPr>
          </w:p>
        </w:tc>
        <w:tc>
          <w:tcPr>
            <w:tcW w:w="5898" w:type="dxa"/>
          </w:tcPr>
          <w:p w14:paraId="525D042E" w14:textId="77777777" w:rsidR="007E48AE" w:rsidRDefault="007E48AE" w:rsidP="007E48AE">
            <w:pPr>
              <w:pStyle w:val="TableBlock"/>
              <w:rPr>
                <w:rtl/>
              </w:rPr>
            </w:pPr>
            <w:r>
              <w:rPr>
                <w:rFonts w:hint="cs"/>
                <w:rtl/>
              </w:rPr>
              <w:t>ועד המילים:</w:t>
            </w:r>
          </w:p>
        </w:tc>
      </w:tr>
      <w:tr w:rsidR="007E48AE" w14:paraId="3C6AEBB2" w14:textId="77777777" w:rsidTr="00CD20C5">
        <w:trPr>
          <w:cantSplit/>
          <w:trHeight w:val="60"/>
        </w:trPr>
        <w:tc>
          <w:tcPr>
            <w:tcW w:w="1871" w:type="dxa"/>
          </w:tcPr>
          <w:p w14:paraId="35161F05" w14:textId="77777777" w:rsidR="007E48AE" w:rsidRDefault="007E48AE" w:rsidP="007E48AE">
            <w:pPr>
              <w:pStyle w:val="TableSideHeading"/>
              <w:ind w:right="0"/>
            </w:pPr>
          </w:p>
        </w:tc>
        <w:tc>
          <w:tcPr>
            <w:tcW w:w="624" w:type="dxa"/>
          </w:tcPr>
          <w:p w14:paraId="2CB0E353" w14:textId="77777777" w:rsidR="007E48AE" w:rsidRDefault="007E48AE" w:rsidP="007E48AE">
            <w:pPr>
              <w:pStyle w:val="TableText"/>
            </w:pPr>
          </w:p>
        </w:tc>
        <w:tc>
          <w:tcPr>
            <w:tcW w:w="624" w:type="dxa"/>
          </w:tcPr>
          <w:p w14:paraId="190DBF32" w14:textId="77777777" w:rsidR="007E48AE" w:rsidRDefault="007E48AE" w:rsidP="007E48AE">
            <w:pPr>
              <w:pStyle w:val="TableText"/>
              <w:ind w:right="0"/>
              <w:jc w:val="both"/>
            </w:pPr>
          </w:p>
        </w:tc>
        <w:tc>
          <w:tcPr>
            <w:tcW w:w="624" w:type="dxa"/>
          </w:tcPr>
          <w:p w14:paraId="3F6CA50D" w14:textId="77777777" w:rsidR="007E48AE" w:rsidRPr="009754CA" w:rsidRDefault="007E48AE" w:rsidP="007E48AE">
            <w:pPr>
              <w:pStyle w:val="TableText"/>
              <w:ind w:right="0"/>
              <w:jc w:val="both"/>
              <w:rPr>
                <w:rtl/>
              </w:rPr>
            </w:pPr>
          </w:p>
        </w:tc>
        <w:tc>
          <w:tcPr>
            <w:tcW w:w="5898" w:type="dxa"/>
          </w:tcPr>
          <w:p w14:paraId="4604ACED" w14:textId="77777777" w:rsidR="007E48AE" w:rsidRDefault="007E48AE" w:rsidP="007E48AE">
            <w:pPr>
              <w:pStyle w:val="TableBlock"/>
              <w:rPr>
                <w:rtl/>
              </w:rPr>
            </w:pPr>
            <w:r>
              <w:rPr>
                <w:rFonts w:hint="cs"/>
                <w:rtl/>
              </w:rPr>
              <w:t>"דצמבר 1958 ואילך                          64"</w:t>
            </w:r>
          </w:p>
        </w:tc>
      </w:tr>
      <w:tr w:rsidR="007E48AE" w14:paraId="55D9956F" w14:textId="77777777" w:rsidTr="00CD20C5">
        <w:trPr>
          <w:cantSplit/>
          <w:trHeight w:val="60"/>
        </w:trPr>
        <w:tc>
          <w:tcPr>
            <w:tcW w:w="1871" w:type="dxa"/>
          </w:tcPr>
          <w:p w14:paraId="6CE0DF35" w14:textId="77777777" w:rsidR="007E48AE" w:rsidRDefault="007E48AE" w:rsidP="007E48AE">
            <w:pPr>
              <w:pStyle w:val="TableSideHeading"/>
              <w:ind w:right="0"/>
            </w:pPr>
          </w:p>
        </w:tc>
        <w:tc>
          <w:tcPr>
            <w:tcW w:w="624" w:type="dxa"/>
          </w:tcPr>
          <w:p w14:paraId="09DFE267" w14:textId="77777777" w:rsidR="007E48AE" w:rsidRDefault="007E48AE" w:rsidP="007E48AE">
            <w:pPr>
              <w:pStyle w:val="TableText"/>
            </w:pPr>
          </w:p>
        </w:tc>
        <w:tc>
          <w:tcPr>
            <w:tcW w:w="624" w:type="dxa"/>
          </w:tcPr>
          <w:p w14:paraId="6CFD3D7E" w14:textId="77777777" w:rsidR="007E48AE" w:rsidRDefault="007E48AE" w:rsidP="007E48AE">
            <w:pPr>
              <w:pStyle w:val="TableText"/>
              <w:ind w:right="0"/>
              <w:jc w:val="both"/>
            </w:pPr>
          </w:p>
        </w:tc>
        <w:tc>
          <w:tcPr>
            <w:tcW w:w="624" w:type="dxa"/>
          </w:tcPr>
          <w:p w14:paraId="4A2CEDD4" w14:textId="77777777" w:rsidR="007E48AE" w:rsidRPr="009754CA" w:rsidRDefault="007E48AE" w:rsidP="007E48AE">
            <w:pPr>
              <w:pStyle w:val="TableText"/>
              <w:ind w:right="0"/>
              <w:jc w:val="both"/>
              <w:rPr>
                <w:rtl/>
              </w:rPr>
            </w:pPr>
          </w:p>
        </w:tc>
        <w:tc>
          <w:tcPr>
            <w:tcW w:w="5898" w:type="dxa"/>
          </w:tcPr>
          <w:p w14:paraId="38ACBCF3" w14:textId="77777777" w:rsidR="007E48AE" w:rsidRDefault="007E48AE" w:rsidP="007E48AE">
            <w:pPr>
              <w:pStyle w:val="TableBlock"/>
              <w:rPr>
                <w:rtl/>
              </w:rPr>
            </w:pPr>
            <w:r>
              <w:rPr>
                <w:rFonts w:hint="cs"/>
                <w:rtl/>
              </w:rPr>
              <w:t>יבוא:</w:t>
            </w:r>
          </w:p>
        </w:tc>
      </w:tr>
      <w:tr w:rsidR="007E48AE" w14:paraId="3D81C638" w14:textId="77777777" w:rsidTr="00CD20C5">
        <w:trPr>
          <w:cantSplit/>
          <w:trHeight w:val="60"/>
        </w:trPr>
        <w:tc>
          <w:tcPr>
            <w:tcW w:w="1871" w:type="dxa"/>
          </w:tcPr>
          <w:p w14:paraId="1746B764" w14:textId="77777777" w:rsidR="007E48AE" w:rsidRDefault="007E48AE" w:rsidP="007E48AE">
            <w:pPr>
              <w:pStyle w:val="TableSideHeading"/>
              <w:ind w:right="0"/>
            </w:pPr>
          </w:p>
        </w:tc>
        <w:tc>
          <w:tcPr>
            <w:tcW w:w="624" w:type="dxa"/>
          </w:tcPr>
          <w:p w14:paraId="0EF638AB" w14:textId="77777777" w:rsidR="007E48AE" w:rsidRDefault="007E48AE" w:rsidP="007E48AE">
            <w:pPr>
              <w:pStyle w:val="TableText"/>
            </w:pPr>
          </w:p>
        </w:tc>
        <w:tc>
          <w:tcPr>
            <w:tcW w:w="624" w:type="dxa"/>
          </w:tcPr>
          <w:p w14:paraId="16E8BA96" w14:textId="77777777" w:rsidR="007E48AE" w:rsidRDefault="007E48AE" w:rsidP="007E48AE">
            <w:pPr>
              <w:pStyle w:val="TableText"/>
              <w:ind w:right="0"/>
              <w:jc w:val="both"/>
            </w:pPr>
          </w:p>
        </w:tc>
        <w:tc>
          <w:tcPr>
            <w:tcW w:w="624" w:type="dxa"/>
          </w:tcPr>
          <w:p w14:paraId="794AC463" w14:textId="77777777" w:rsidR="007E48AE" w:rsidRPr="009754CA" w:rsidRDefault="007E48AE" w:rsidP="007E48AE">
            <w:pPr>
              <w:pStyle w:val="TableText"/>
              <w:ind w:right="0"/>
              <w:jc w:val="both"/>
              <w:rPr>
                <w:rtl/>
              </w:rPr>
            </w:pPr>
          </w:p>
        </w:tc>
        <w:tc>
          <w:tcPr>
            <w:tcW w:w="5898" w:type="dxa"/>
          </w:tcPr>
          <w:p w14:paraId="445CF723" w14:textId="77777777" w:rsidR="007E48AE" w:rsidRDefault="007E48AE" w:rsidP="007E48AE">
            <w:pPr>
              <w:pStyle w:val="TableBlock"/>
              <w:rPr>
                <w:rtl/>
              </w:rPr>
            </w:pPr>
            <w:r>
              <w:rPr>
                <w:rFonts w:hint="cs"/>
                <w:rtl/>
              </w:rPr>
              <w:t>"מאי 1947 עד דצמבר 1954              62";</w:t>
            </w:r>
          </w:p>
        </w:tc>
      </w:tr>
      <w:tr w:rsidR="007E48AE" w14:paraId="2752921F" w14:textId="77777777" w:rsidTr="00CD20C5">
        <w:trPr>
          <w:cantSplit/>
          <w:trHeight w:val="60"/>
        </w:trPr>
        <w:tc>
          <w:tcPr>
            <w:tcW w:w="1871" w:type="dxa"/>
          </w:tcPr>
          <w:p w14:paraId="369E1747" w14:textId="77777777" w:rsidR="007E48AE" w:rsidRDefault="007E48AE" w:rsidP="007E48AE">
            <w:pPr>
              <w:pStyle w:val="TableSideHeading"/>
            </w:pPr>
          </w:p>
        </w:tc>
        <w:tc>
          <w:tcPr>
            <w:tcW w:w="624" w:type="dxa"/>
          </w:tcPr>
          <w:p w14:paraId="69EFDCD3" w14:textId="77777777" w:rsidR="007E48AE" w:rsidRDefault="007E48AE" w:rsidP="007E48AE">
            <w:pPr>
              <w:pStyle w:val="TableText"/>
            </w:pPr>
          </w:p>
        </w:tc>
        <w:tc>
          <w:tcPr>
            <w:tcW w:w="624" w:type="dxa"/>
          </w:tcPr>
          <w:p w14:paraId="31F78948" w14:textId="77777777" w:rsidR="007E48AE" w:rsidRDefault="007E48AE" w:rsidP="007E48AE">
            <w:pPr>
              <w:pStyle w:val="TableText"/>
            </w:pPr>
          </w:p>
        </w:tc>
        <w:tc>
          <w:tcPr>
            <w:tcW w:w="6522" w:type="dxa"/>
            <w:gridSpan w:val="2"/>
          </w:tcPr>
          <w:p w14:paraId="005A67F3" w14:textId="77777777" w:rsidR="007E48AE" w:rsidRDefault="007E48AE" w:rsidP="007E48AE">
            <w:pPr>
              <w:pStyle w:val="TableBlock"/>
            </w:pPr>
            <w:r>
              <w:rPr>
                <w:rFonts w:hint="cs"/>
                <w:rtl/>
              </w:rPr>
              <w:t>(ב)</w:t>
            </w:r>
            <w:r>
              <w:rPr>
                <w:rtl/>
              </w:rPr>
              <w:tab/>
            </w:r>
            <w:r>
              <w:rPr>
                <w:rFonts w:hint="cs"/>
                <w:rtl/>
              </w:rPr>
              <w:t>בחלק ד', במקום הקטע החל במילים:</w:t>
            </w:r>
          </w:p>
        </w:tc>
      </w:tr>
      <w:tr w:rsidR="007E48AE" w14:paraId="7C078D52" w14:textId="77777777" w:rsidTr="00CD20C5">
        <w:trPr>
          <w:cantSplit/>
          <w:trHeight w:val="60"/>
        </w:trPr>
        <w:tc>
          <w:tcPr>
            <w:tcW w:w="1871" w:type="dxa"/>
          </w:tcPr>
          <w:p w14:paraId="25BC759F" w14:textId="77777777" w:rsidR="007E48AE" w:rsidRDefault="007E48AE" w:rsidP="007E48AE">
            <w:pPr>
              <w:pStyle w:val="TableSideHeading"/>
            </w:pPr>
          </w:p>
        </w:tc>
        <w:tc>
          <w:tcPr>
            <w:tcW w:w="624" w:type="dxa"/>
          </w:tcPr>
          <w:p w14:paraId="49F92C21" w14:textId="77777777" w:rsidR="007E48AE" w:rsidRDefault="007E48AE" w:rsidP="007E48AE">
            <w:pPr>
              <w:pStyle w:val="TableText"/>
            </w:pPr>
          </w:p>
        </w:tc>
        <w:tc>
          <w:tcPr>
            <w:tcW w:w="624" w:type="dxa"/>
          </w:tcPr>
          <w:p w14:paraId="771EBFE2" w14:textId="77777777" w:rsidR="007E48AE" w:rsidRDefault="007E48AE" w:rsidP="007E48AE">
            <w:pPr>
              <w:pStyle w:val="TableText"/>
            </w:pPr>
          </w:p>
        </w:tc>
        <w:tc>
          <w:tcPr>
            <w:tcW w:w="624" w:type="dxa"/>
          </w:tcPr>
          <w:p w14:paraId="71B42F65" w14:textId="77777777" w:rsidR="007E48AE" w:rsidRDefault="007E48AE" w:rsidP="007E48AE">
            <w:pPr>
              <w:pStyle w:val="TableText"/>
            </w:pPr>
          </w:p>
        </w:tc>
        <w:tc>
          <w:tcPr>
            <w:tcW w:w="5898" w:type="dxa"/>
          </w:tcPr>
          <w:p w14:paraId="288B1DEB" w14:textId="77777777" w:rsidR="007E48AE" w:rsidRDefault="007E48AE" w:rsidP="007E48AE">
            <w:pPr>
              <w:pStyle w:val="TableBlock"/>
              <w:tabs>
                <w:tab w:val="left" w:pos="3346"/>
              </w:tabs>
            </w:pPr>
            <w:r>
              <w:rPr>
                <w:rFonts w:hint="cs"/>
                <w:rtl/>
              </w:rPr>
              <w:t xml:space="preserve">"מאי עד דצמבר 1948                        69" </w:t>
            </w:r>
          </w:p>
        </w:tc>
      </w:tr>
      <w:tr w:rsidR="007E48AE" w14:paraId="773B8BB0" w14:textId="77777777" w:rsidTr="00CD20C5">
        <w:trPr>
          <w:cantSplit/>
          <w:trHeight w:val="60"/>
        </w:trPr>
        <w:tc>
          <w:tcPr>
            <w:tcW w:w="1871" w:type="dxa"/>
          </w:tcPr>
          <w:p w14:paraId="48C57188" w14:textId="77777777" w:rsidR="007E48AE" w:rsidRDefault="007E48AE" w:rsidP="007E48AE">
            <w:pPr>
              <w:pStyle w:val="TableSideHeading"/>
            </w:pPr>
          </w:p>
        </w:tc>
        <w:tc>
          <w:tcPr>
            <w:tcW w:w="624" w:type="dxa"/>
          </w:tcPr>
          <w:p w14:paraId="59A15A3A" w14:textId="77777777" w:rsidR="007E48AE" w:rsidRDefault="007E48AE" w:rsidP="007E48AE">
            <w:pPr>
              <w:pStyle w:val="TableText"/>
            </w:pPr>
          </w:p>
        </w:tc>
        <w:tc>
          <w:tcPr>
            <w:tcW w:w="624" w:type="dxa"/>
          </w:tcPr>
          <w:p w14:paraId="1E0F4B86" w14:textId="77777777" w:rsidR="007E48AE" w:rsidRDefault="007E48AE" w:rsidP="007E48AE">
            <w:pPr>
              <w:pStyle w:val="TableText"/>
            </w:pPr>
          </w:p>
        </w:tc>
        <w:tc>
          <w:tcPr>
            <w:tcW w:w="624" w:type="dxa"/>
          </w:tcPr>
          <w:p w14:paraId="4BD10F19" w14:textId="77777777" w:rsidR="007E48AE" w:rsidRDefault="007E48AE" w:rsidP="007E48AE">
            <w:pPr>
              <w:pStyle w:val="TableText"/>
            </w:pPr>
          </w:p>
        </w:tc>
        <w:tc>
          <w:tcPr>
            <w:tcW w:w="5898" w:type="dxa"/>
          </w:tcPr>
          <w:p w14:paraId="2E3D0D7F" w14:textId="77777777" w:rsidR="007E48AE" w:rsidRDefault="007E48AE" w:rsidP="007E48AE">
            <w:pPr>
              <w:pStyle w:val="TableBlock"/>
              <w:tabs>
                <w:tab w:val="left" w:pos="3346"/>
              </w:tabs>
              <w:rPr>
                <w:rtl/>
              </w:rPr>
            </w:pPr>
            <w:r>
              <w:rPr>
                <w:rFonts w:hint="cs"/>
                <w:rtl/>
              </w:rPr>
              <w:t>ועד המילים:</w:t>
            </w:r>
          </w:p>
        </w:tc>
      </w:tr>
      <w:tr w:rsidR="007E48AE" w14:paraId="732AD9E3" w14:textId="77777777" w:rsidTr="00CD20C5">
        <w:trPr>
          <w:cantSplit/>
          <w:trHeight w:val="60"/>
        </w:trPr>
        <w:tc>
          <w:tcPr>
            <w:tcW w:w="1871" w:type="dxa"/>
          </w:tcPr>
          <w:p w14:paraId="426AD4E0" w14:textId="77777777" w:rsidR="007E48AE" w:rsidRDefault="007E48AE" w:rsidP="007E48AE">
            <w:pPr>
              <w:pStyle w:val="TableSideHeading"/>
            </w:pPr>
          </w:p>
        </w:tc>
        <w:tc>
          <w:tcPr>
            <w:tcW w:w="624" w:type="dxa"/>
          </w:tcPr>
          <w:p w14:paraId="17756B9F" w14:textId="77777777" w:rsidR="007E48AE" w:rsidRDefault="007E48AE" w:rsidP="007E48AE">
            <w:pPr>
              <w:pStyle w:val="TableText"/>
            </w:pPr>
          </w:p>
        </w:tc>
        <w:tc>
          <w:tcPr>
            <w:tcW w:w="624" w:type="dxa"/>
          </w:tcPr>
          <w:p w14:paraId="0EAE68DD" w14:textId="77777777" w:rsidR="007E48AE" w:rsidRDefault="007E48AE" w:rsidP="007E48AE">
            <w:pPr>
              <w:pStyle w:val="TableText"/>
            </w:pPr>
          </w:p>
        </w:tc>
        <w:tc>
          <w:tcPr>
            <w:tcW w:w="624" w:type="dxa"/>
          </w:tcPr>
          <w:p w14:paraId="53F99F4E" w14:textId="77777777" w:rsidR="007E48AE" w:rsidRDefault="007E48AE" w:rsidP="007E48AE">
            <w:pPr>
              <w:pStyle w:val="TableText"/>
            </w:pPr>
          </w:p>
        </w:tc>
        <w:tc>
          <w:tcPr>
            <w:tcW w:w="5898" w:type="dxa"/>
          </w:tcPr>
          <w:p w14:paraId="2A6155F1" w14:textId="77777777" w:rsidR="007E48AE" w:rsidRDefault="007E48AE" w:rsidP="007E48AE">
            <w:pPr>
              <w:pStyle w:val="TableBlock"/>
              <w:tabs>
                <w:tab w:val="left" w:pos="3346"/>
              </w:tabs>
              <w:rPr>
                <w:rtl/>
              </w:rPr>
            </w:pPr>
            <w:r>
              <w:rPr>
                <w:rFonts w:hint="cs"/>
                <w:rtl/>
              </w:rPr>
              <w:t>מאי 1950 ואילך                                70"</w:t>
            </w:r>
          </w:p>
        </w:tc>
      </w:tr>
      <w:tr w:rsidR="007E48AE" w14:paraId="01A81BD8" w14:textId="77777777" w:rsidTr="00CD20C5">
        <w:trPr>
          <w:cantSplit/>
          <w:trHeight w:val="60"/>
        </w:trPr>
        <w:tc>
          <w:tcPr>
            <w:tcW w:w="1871" w:type="dxa"/>
          </w:tcPr>
          <w:p w14:paraId="4DF5C36A" w14:textId="77777777" w:rsidR="007E48AE" w:rsidRDefault="007E48AE" w:rsidP="007E48AE">
            <w:pPr>
              <w:pStyle w:val="TableSideHeading"/>
            </w:pPr>
          </w:p>
        </w:tc>
        <w:tc>
          <w:tcPr>
            <w:tcW w:w="624" w:type="dxa"/>
          </w:tcPr>
          <w:p w14:paraId="68568D5A" w14:textId="77777777" w:rsidR="007E48AE" w:rsidRDefault="007E48AE" w:rsidP="007E48AE">
            <w:pPr>
              <w:pStyle w:val="TableText"/>
            </w:pPr>
          </w:p>
        </w:tc>
        <w:tc>
          <w:tcPr>
            <w:tcW w:w="624" w:type="dxa"/>
          </w:tcPr>
          <w:p w14:paraId="5B799959" w14:textId="77777777" w:rsidR="007E48AE" w:rsidRDefault="007E48AE" w:rsidP="007E48AE">
            <w:pPr>
              <w:pStyle w:val="TableText"/>
            </w:pPr>
          </w:p>
        </w:tc>
        <w:tc>
          <w:tcPr>
            <w:tcW w:w="624" w:type="dxa"/>
          </w:tcPr>
          <w:p w14:paraId="62FCDB7F" w14:textId="77777777" w:rsidR="007E48AE" w:rsidRDefault="007E48AE" w:rsidP="007E48AE">
            <w:pPr>
              <w:pStyle w:val="TableText"/>
            </w:pPr>
          </w:p>
        </w:tc>
        <w:tc>
          <w:tcPr>
            <w:tcW w:w="5898" w:type="dxa"/>
          </w:tcPr>
          <w:p w14:paraId="197D941F" w14:textId="77777777" w:rsidR="007E48AE" w:rsidRDefault="007E48AE" w:rsidP="007E48AE">
            <w:pPr>
              <w:pStyle w:val="TableBlock"/>
              <w:tabs>
                <w:tab w:val="left" w:pos="3346"/>
              </w:tabs>
              <w:rPr>
                <w:rtl/>
              </w:rPr>
            </w:pPr>
            <w:r>
              <w:rPr>
                <w:rFonts w:hint="cs"/>
                <w:rtl/>
              </w:rPr>
              <w:t xml:space="preserve">יבוא: </w:t>
            </w:r>
          </w:p>
        </w:tc>
      </w:tr>
      <w:tr w:rsidR="007E48AE" w14:paraId="34EE471B" w14:textId="77777777" w:rsidTr="00CD20C5">
        <w:trPr>
          <w:cantSplit/>
          <w:trHeight w:val="60"/>
        </w:trPr>
        <w:tc>
          <w:tcPr>
            <w:tcW w:w="1871" w:type="dxa"/>
          </w:tcPr>
          <w:p w14:paraId="2940D1E3" w14:textId="77777777" w:rsidR="007E48AE" w:rsidRDefault="007E48AE" w:rsidP="007E48AE">
            <w:pPr>
              <w:pStyle w:val="TableSideHeading"/>
            </w:pPr>
          </w:p>
        </w:tc>
        <w:tc>
          <w:tcPr>
            <w:tcW w:w="624" w:type="dxa"/>
          </w:tcPr>
          <w:p w14:paraId="36C0AF95" w14:textId="77777777" w:rsidR="007E48AE" w:rsidRDefault="007E48AE" w:rsidP="007E48AE">
            <w:pPr>
              <w:pStyle w:val="TableText"/>
            </w:pPr>
          </w:p>
        </w:tc>
        <w:tc>
          <w:tcPr>
            <w:tcW w:w="624" w:type="dxa"/>
          </w:tcPr>
          <w:p w14:paraId="191CBC5D" w14:textId="77777777" w:rsidR="007E48AE" w:rsidRDefault="007E48AE" w:rsidP="007E48AE">
            <w:pPr>
              <w:pStyle w:val="TableText"/>
            </w:pPr>
          </w:p>
        </w:tc>
        <w:tc>
          <w:tcPr>
            <w:tcW w:w="624" w:type="dxa"/>
          </w:tcPr>
          <w:p w14:paraId="7E72F3AE" w14:textId="77777777" w:rsidR="007E48AE" w:rsidRDefault="007E48AE" w:rsidP="007E48AE">
            <w:pPr>
              <w:pStyle w:val="TableText"/>
            </w:pPr>
          </w:p>
        </w:tc>
        <w:tc>
          <w:tcPr>
            <w:tcW w:w="5898" w:type="dxa"/>
          </w:tcPr>
          <w:p w14:paraId="1AFB4762" w14:textId="77777777" w:rsidR="007E48AE" w:rsidRDefault="007E48AE" w:rsidP="007E48AE">
            <w:pPr>
              <w:pStyle w:val="TableBlock"/>
              <w:tabs>
                <w:tab w:val="left" w:pos="3346"/>
              </w:tabs>
              <w:rPr>
                <w:rtl/>
              </w:rPr>
            </w:pPr>
            <w:r>
              <w:rPr>
                <w:rFonts w:hint="cs"/>
                <w:rtl/>
              </w:rPr>
              <w:t>"מאי 1948 ואילך                               69".</w:t>
            </w:r>
          </w:p>
        </w:tc>
      </w:tr>
      <w:tr w:rsidR="007E48AE" w14:paraId="7DAAF644" w14:textId="77777777" w:rsidTr="00CD20C5">
        <w:trPr>
          <w:cantSplit/>
          <w:trHeight w:val="60"/>
        </w:trPr>
        <w:tc>
          <w:tcPr>
            <w:tcW w:w="1871" w:type="dxa"/>
          </w:tcPr>
          <w:p w14:paraId="342A9BBE" w14:textId="77777777" w:rsidR="007E48AE" w:rsidRDefault="007E48AE" w:rsidP="007E48AE">
            <w:pPr>
              <w:pStyle w:val="TableSideHeading"/>
              <w:keepLines w:val="0"/>
              <w:tabs>
                <w:tab w:val="clear" w:pos="624"/>
                <w:tab w:val="clear" w:pos="1247"/>
                <w:tab w:val="center" w:pos="907"/>
              </w:tabs>
              <w:rPr>
                <w:rtl/>
              </w:rPr>
            </w:pPr>
            <w:r>
              <w:rPr>
                <w:rFonts w:hint="cs"/>
                <w:rtl/>
              </w:rPr>
              <w:t>תחילה</w:t>
            </w:r>
          </w:p>
        </w:tc>
        <w:tc>
          <w:tcPr>
            <w:tcW w:w="624" w:type="dxa"/>
          </w:tcPr>
          <w:p w14:paraId="61A5A60F" w14:textId="77777777" w:rsidR="007E48AE" w:rsidRDefault="007E48AE" w:rsidP="007E48AE">
            <w:pPr>
              <w:pStyle w:val="TableText"/>
              <w:rPr>
                <w:rtl/>
              </w:rPr>
            </w:pPr>
            <w:r>
              <w:rPr>
                <w:rFonts w:hint="cs"/>
                <w:rtl/>
              </w:rPr>
              <w:t>3.</w:t>
            </w:r>
          </w:p>
        </w:tc>
        <w:tc>
          <w:tcPr>
            <w:tcW w:w="7146" w:type="dxa"/>
            <w:gridSpan w:val="3"/>
          </w:tcPr>
          <w:p w14:paraId="2AE065B7" w14:textId="77777777" w:rsidR="007E48AE" w:rsidRDefault="007E48AE" w:rsidP="007E48AE">
            <w:pPr>
              <w:pStyle w:val="TableBlock"/>
              <w:keepLines w:val="0"/>
              <w:rPr>
                <w:rtl/>
              </w:rPr>
            </w:pPr>
            <w:r>
              <w:rPr>
                <w:rFonts w:hint="cs"/>
                <w:rtl/>
              </w:rPr>
              <w:t>תחילתו של חוק זה ביום ז' בתמוז התשע"ז (1 ביולי 2017).</w:t>
            </w:r>
          </w:p>
        </w:tc>
      </w:tr>
    </w:tbl>
    <w:p w14:paraId="22B69846" w14:textId="77777777" w:rsidR="00203A33" w:rsidRDefault="00203A33" w:rsidP="00203A33">
      <w:pPr>
        <w:pStyle w:val="HeadDivreiHesber"/>
        <w:rPr>
          <w:rtl/>
        </w:rPr>
      </w:pPr>
      <w:r>
        <w:rPr>
          <w:rFonts w:hint="cs"/>
          <w:rtl/>
        </w:rPr>
        <w:t>דברי הסבר</w:t>
      </w:r>
    </w:p>
    <w:p w14:paraId="595E0B9E" w14:textId="0B8F8047" w:rsidR="009C1EC5" w:rsidRDefault="009C1EC5" w:rsidP="007E48AE">
      <w:pPr>
        <w:pStyle w:val="Hesber"/>
        <w:rPr>
          <w:rtl/>
        </w:rPr>
      </w:pPr>
      <w:r>
        <w:rPr>
          <w:rFonts w:hint="cs"/>
          <w:rtl/>
        </w:rPr>
        <w:t>חוק גיל פרישה, התשס"ד</w:t>
      </w:r>
      <w:r>
        <w:rPr>
          <w:rFonts w:hint="eastAsia"/>
          <w:rtl/>
        </w:rPr>
        <w:t>–</w:t>
      </w:r>
      <w:r>
        <w:rPr>
          <w:rFonts w:hint="cs"/>
          <w:rtl/>
        </w:rPr>
        <w:t xml:space="preserve">2004 </w:t>
      </w:r>
      <w:r w:rsidR="007E48AE">
        <w:rPr>
          <w:rFonts w:hint="cs"/>
          <w:rtl/>
        </w:rPr>
        <w:t xml:space="preserve">(להלן </w:t>
      </w:r>
      <w:r w:rsidR="007E48AE">
        <w:rPr>
          <w:rtl/>
        </w:rPr>
        <w:t>–</w:t>
      </w:r>
      <w:r w:rsidR="007E48AE">
        <w:rPr>
          <w:rFonts w:hint="cs"/>
          <w:rtl/>
        </w:rPr>
        <w:t xml:space="preserve"> חוק גיל פרישה), </w:t>
      </w:r>
      <w:r>
        <w:rPr>
          <w:rFonts w:hint="cs"/>
          <w:rtl/>
        </w:rPr>
        <w:t xml:space="preserve">קובע שהגיל </w:t>
      </w:r>
      <w:r w:rsidR="007E48AE">
        <w:rPr>
          <w:rFonts w:hint="cs"/>
          <w:rtl/>
        </w:rPr>
        <w:t>ש</w:t>
      </w:r>
      <w:r>
        <w:rPr>
          <w:rFonts w:hint="cs"/>
          <w:rtl/>
        </w:rPr>
        <w:t>בו אישה</w:t>
      </w:r>
      <w:r w:rsidR="00ED6ED2">
        <w:rPr>
          <w:rFonts w:hint="cs"/>
          <w:rtl/>
        </w:rPr>
        <w:t xml:space="preserve"> זכאית לפרוש מעבודתה הוא גיל 62</w:t>
      </w:r>
      <w:r>
        <w:rPr>
          <w:rFonts w:hint="cs"/>
          <w:rtl/>
        </w:rPr>
        <w:t xml:space="preserve"> </w:t>
      </w:r>
      <w:r w:rsidR="007E48AE">
        <w:rPr>
          <w:rFonts w:hint="cs"/>
          <w:rtl/>
        </w:rPr>
        <w:t>ו</w:t>
      </w:r>
      <w:r>
        <w:rPr>
          <w:rFonts w:hint="cs"/>
          <w:rtl/>
        </w:rPr>
        <w:t>חוק הביטוח הלאומי [נוסח משולב], התשנ"ה</w:t>
      </w:r>
      <w:r>
        <w:rPr>
          <w:rFonts w:hint="eastAsia"/>
          <w:rtl/>
        </w:rPr>
        <w:t>–</w:t>
      </w:r>
      <w:r>
        <w:rPr>
          <w:rFonts w:hint="cs"/>
          <w:rtl/>
        </w:rPr>
        <w:t xml:space="preserve">1995 </w:t>
      </w:r>
      <w:r w:rsidR="007E48AE">
        <w:rPr>
          <w:rFonts w:hint="cs"/>
          <w:rtl/>
        </w:rPr>
        <w:t xml:space="preserve">(להלן </w:t>
      </w:r>
      <w:r w:rsidR="007E48AE">
        <w:rPr>
          <w:rtl/>
        </w:rPr>
        <w:t>–</w:t>
      </w:r>
      <w:r w:rsidR="007E48AE">
        <w:rPr>
          <w:rFonts w:hint="cs"/>
          <w:rtl/>
        </w:rPr>
        <w:t xml:space="preserve"> חוק הביטוח הלאומי), </w:t>
      </w:r>
      <w:r>
        <w:rPr>
          <w:rFonts w:hint="cs"/>
          <w:rtl/>
        </w:rPr>
        <w:t>קובע את גיל הפרישה שבו אישה תהיה זכאית לקצבת זקנה, בכפוף למבחן הכנסות.</w:t>
      </w:r>
    </w:p>
    <w:p w14:paraId="07F09C1F" w14:textId="594AA6B6" w:rsidR="009C1EC5" w:rsidRDefault="009C1EC5" w:rsidP="009C1EC5">
      <w:pPr>
        <w:pStyle w:val="Hesber"/>
        <w:rPr>
          <w:rtl/>
        </w:rPr>
      </w:pPr>
      <w:r>
        <w:rPr>
          <w:rFonts w:hint="cs"/>
          <w:rtl/>
        </w:rPr>
        <w:t xml:space="preserve">סעיף 9 לחוק גיל פרישה מורה לשר האוצר להקים ועדה ציבורית שתבחן את גיל הפרישה לאישה (בעת </w:t>
      </w:r>
      <w:r>
        <w:rPr>
          <w:rFonts w:hint="cs"/>
          <w:rtl/>
        </w:rPr>
        <w:lastRenderedPageBreak/>
        <w:t xml:space="preserve">חקיקת החוק לגבי נשים שנולדו בשנת 1950 ואילך, וכיום לגבי נשים שנולדו בשנת  1955 ואילך) ותגיש את המלצותיה במועד שנקבע. לאחר קבלת המלצות הוועדה, על שר האוצר להביא לאישור ועדת הכספים של הכנסת (להלן </w:t>
      </w:r>
      <w:r>
        <w:rPr>
          <w:rFonts w:hint="eastAsia"/>
          <w:rtl/>
        </w:rPr>
        <w:t>–</w:t>
      </w:r>
      <w:r>
        <w:rPr>
          <w:rFonts w:hint="cs"/>
          <w:rtl/>
        </w:rPr>
        <w:t xml:space="preserve"> ועדת הכספים) את המלצותיו לעניין גיל הפרישה. ככל שוועדת הכספים לא תיתן החלטה </w:t>
      </w:r>
      <w:r w:rsidR="00570461">
        <w:rPr>
          <w:rFonts w:hint="cs"/>
          <w:rtl/>
        </w:rPr>
        <w:t xml:space="preserve">כלשהי </w:t>
      </w:r>
      <w:r>
        <w:rPr>
          <w:rFonts w:hint="cs"/>
          <w:rtl/>
        </w:rPr>
        <w:t xml:space="preserve">בעניין המלצות השר עד למועד הקבוע בחוק, יעלה גיל הפרישה של הנשים בהתאם לתוספת לחוק גיל פרישה. </w:t>
      </w:r>
    </w:p>
    <w:p w14:paraId="34A1FE12" w14:textId="5D5DC76D" w:rsidR="009C1EC5" w:rsidRDefault="009C1EC5" w:rsidP="007E48AE">
      <w:pPr>
        <w:pStyle w:val="Hesber"/>
        <w:rPr>
          <w:rtl/>
        </w:rPr>
      </w:pPr>
      <w:r>
        <w:rPr>
          <w:rFonts w:hint="cs"/>
          <w:rtl/>
        </w:rPr>
        <w:t xml:space="preserve">גיל הפרישה לנשים נדחה פעמיים כיוון שהמלצות השר לא הובאו לאישור ועדת הכספים. בפעם הראשונה נדחתה העלאת גיל הפרישה לתקופה של </w:t>
      </w:r>
      <w:r w:rsidR="007E48AE">
        <w:rPr>
          <w:rFonts w:hint="cs"/>
          <w:rtl/>
        </w:rPr>
        <w:t>חמש</w:t>
      </w:r>
      <w:r>
        <w:rPr>
          <w:rFonts w:hint="cs"/>
          <w:rtl/>
        </w:rPr>
        <w:t xml:space="preserve"> שנים, ולאחרונה נדחתה העלאת גיל הפרישה ב-7 חודשים במסגרת חוק ההסדרים, כיוון שהמלצות הוועדה </w:t>
      </w:r>
      <w:r w:rsidR="00570461">
        <w:rPr>
          <w:rFonts w:hint="cs"/>
          <w:rtl/>
        </w:rPr>
        <w:t>הציבורית הוגשו לשר האוצר</w:t>
      </w:r>
      <w:r>
        <w:rPr>
          <w:rFonts w:hint="cs"/>
          <w:rtl/>
        </w:rPr>
        <w:t xml:space="preserve"> באיחור של כ-3 חודשים ושר האוצר לא הביא את המלצותיו לאישור ועדת הכספים. ועדת הכספים היתה בדעה שיש לדחות את העלאת גיל הפרישה בשנה, אולם משרד האוצר התנגד לכך והסכים לדחייה של </w:t>
      </w:r>
      <w:r w:rsidR="007E48AE">
        <w:rPr>
          <w:rFonts w:hint="cs"/>
          <w:rtl/>
        </w:rPr>
        <w:t>שבעה</w:t>
      </w:r>
      <w:r>
        <w:rPr>
          <w:rFonts w:hint="cs"/>
          <w:rtl/>
        </w:rPr>
        <w:t xml:space="preserve"> חודשים בלבד. </w:t>
      </w:r>
    </w:p>
    <w:p w14:paraId="459CC3D8" w14:textId="08E65C91" w:rsidR="009C1EC5" w:rsidRDefault="009C1EC5" w:rsidP="00570461">
      <w:pPr>
        <w:pStyle w:val="Hesber"/>
        <w:rPr>
          <w:rtl/>
        </w:rPr>
      </w:pPr>
      <w:r>
        <w:rPr>
          <w:rFonts w:hint="cs"/>
          <w:rtl/>
        </w:rPr>
        <w:t xml:space="preserve">לאחר התיקון האחרון שנעשה במסגרת חוק ההסדרים, כאמור, היה על שר האוצר להביא את </w:t>
      </w:r>
      <w:r w:rsidR="007E48AE">
        <w:rPr>
          <w:rFonts w:hint="cs"/>
          <w:rtl/>
        </w:rPr>
        <w:t xml:space="preserve">המלצותיו לאישור ועדת הכספים עד </w:t>
      </w:r>
      <w:r>
        <w:rPr>
          <w:rFonts w:hint="cs"/>
          <w:rtl/>
        </w:rPr>
        <w:t xml:space="preserve">יום 30 באפריל 2017 ועל ועדת הכספים היה לתת את החלטתה בעניין עד יום 31 ביולי 2017. למרות הארכה שניתנה לשר האוצר, המלצותיו </w:t>
      </w:r>
      <w:r w:rsidR="00570461">
        <w:rPr>
          <w:rFonts w:hint="cs"/>
          <w:rtl/>
        </w:rPr>
        <w:t xml:space="preserve">לא הועברו עד כה </w:t>
      </w:r>
      <w:r>
        <w:rPr>
          <w:rFonts w:hint="cs"/>
          <w:rtl/>
        </w:rPr>
        <w:t>לאישור ועדת הכספים של הכנסת.</w:t>
      </w:r>
    </w:p>
    <w:p w14:paraId="2A11FE00" w14:textId="0879CA7F" w:rsidR="009C1EC5" w:rsidRDefault="009C1EC5" w:rsidP="00570461">
      <w:pPr>
        <w:pStyle w:val="Hesber"/>
        <w:rPr>
          <w:rtl/>
        </w:rPr>
      </w:pPr>
      <w:r>
        <w:rPr>
          <w:rFonts w:hint="cs"/>
          <w:rtl/>
        </w:rPr>
        <w:t>בעוד שגיל הפרישה בחוק גיל פרישה אינו יכול לעלות אלא בתיקון חוק או באישור המלצות שר האוצר בידי ועדת הכספים, גיל הפרישה בחוק הביטוח הלאומי יכול לעלות באופן עצמאי</w:t>
      </w:r>
      <w:r w:rsidR="00570461">
        <w:rPr>
          <w:rFonts w:hint="cs"/>
          <w:rtl/>
        </w:rPr>
        <w:t xml:space="preserve"> בשל התקדמות הלוחות בחוק הביטוח הלאומי. כתוצאה מכך עלול להיווצר מצב </w:t>
      </w:r>
      <w:r w:rsidR="007E48AE">
        <w:rPr>
          <w:rFonts w:hint="cs"/>
          <w:rtl/>
        </w:rPr>
        <w:t>ש</w:t>
      </w:r>
      <w:r w:rsidR="00570461">
        <w:rPr>
          <w:rFonts w:hint="cs"/>
          <w:rtl/>
        </w:rPr>
        <w:t xml:space="preserve">בו </w:t>
      </w:r>
      <w:r>
        <w:rPr>
          <w:rFonts w:hint="cs"/>
          <w:rtl/>
        </w:rPr>
        <w:t>גיל הפרישה של נשים</w:t>
      </w:r>
      <w:r w:rsidR="00570461">
        <w:rPr>
          <w:rFonts w:hint="cs"/>
          <w:rtl/>
        </w:rPr>
        <w:t xml:space="preserve"> יועלה לפי חוק הביטוח הלאומי בהדרגתיות, כך ש</w:t>
      </w:r>
      <w:r>
        <w:rPr>
          <w:rFonts w:hint="cs"/>
          <w:rtl/>
        </w:rPr>
        <w:t xml:space="preserve">אישה שנולדה באוגוסט 1955 ואילך </w:t>
      </w:r>
      <w:r w:rsidR="00570461">
        <w:rPr>
          <w:rFonts w:hint="cs"/>
          <w:rtl/>
        </w:rPr>
        <w:t>לא תהיה זכאית לקצבת זקנה בגיל 62, אלא רק מספר חודשים מאוחר יותר,</w:t>
      </w:r>
      <w:r>
        <w:rPr>
          <w:rFonts w:hint="cs"/>
          <w:rtl/>
        </w:rPr>
        <w:t xml:space="preserve"> בהתאם לחודש ולשנת לידתה. </w:t>
      </w:r>
    </w:p>
    <w:p w14:paraId="0F4A1940" w14:textId="5D918FA9" w:rsidR="009C1EC5" w:rsidRDefault="009C1EC5" w:rsidP="00570461">
      <w:pPr>
        <w:pStyle w:val="Hesber"/>
        <w:rPr>
          <w:rtl/>
        </w:rPr>
      </w:pPr>
      <w:r>
        <w:rPr>
          <w:rFonts w:hint="cs"/>
          <w:rtl/>
        </w:rPr>
        <w:t xml:space="preserve">תוצאה של פער בין גיל הפרישה מעבודה לבין גיל הזכאות לקצבת זקנה אינה התוצאה אליה כיוון המחוקק מלכתחילה, ולפיכך מוצע בהצעת חוק זו </w:t>
      </w:r>
      <w:r w:rsidR="00570461">
        <w:rPr>
          <w:rFonts w:hint="cs"/>
          <w:rtl/>
        </w:rPr>
        <w:t xml:space="preserve">להתאים את </w:t>
      </w:r>
      <w:r w:rsidR="007E48AE">
        <w:rPr>
          <w:rFonts w:hint="cs"/>
          <w:rtl/>
        </w:rPr>
        <w:t>ה</w:t>
      </w:r>
      <w:r w:rsidR="00570461">
        <w:rPr>
          <w:rFonts w:hint="cs"/>
          <w:rtl/>
        </w:rPr>
        <w:t xml:space="preserve">לוחות </w:t>
      </w:r>
      <w:r w:rsidR="007E48AE">
        <w:rPr>
          <w:rFonts w:hint="cs"/>
          <w:rtl/>
        </w:rPr>
        <w:t xml:space="preserve">בחוק </w:t>
      </w:r>
      <w:r w:rsidR="00570461">
        <w:rPr>
          <w:rFonts w:hint="cs"/>
          <w:rtl/>
        </w:rPr>
        <w:t xml:space="preserve">הביטוח הלאומי לתוספת שבחוק גיל פרישה הכפופה למנגנון שבסעיף 9, שפורט לעיל. לפי הצעה זו, </w:t>
      </w:r>
      <w:r>
        <w:rPr>
          <w:rFonts w:hint="cs"/>
          <w:rtl/>
        </w:rPr>
        <w:t xml:space="preserve">גיל הפרישה של אישה שנולדה בשנת 1955 ואילך </w:t>
      </w:r>
      <w:r w:rsidR="00570461">
        <w:rPr>
          <w:rFonts w:hint="cs"/>
          <w:rtl/>
        </w:rPr>
        <w:t>לעניין קצבת זקנה יהי</w:t>
      </w:r>
      <w:r>
        <w:rPr>
          <w:rFonts w:hint="cs"/>
          <w:rtl/>
        </w:rPr>
        <w:t xml:space="preserve">ה גיל הפרישה הקבוע לה בהתאם לחוק גיל פרישה וכך </w:t>
      </w:r>
      <w:r w:rsidR="00570461">
        <w:rPr>
          <w:rFonts w:hint="cs"/>
          <w:rtl/>
        </w:rPr>
        <w:t>תיווצר</w:t>
      </w:r>
      <w:r>
        <w:rPr>
          <w:rFonts w:hint="cs"/>
          <w:rtl/>
        </w:rPr>
        <w:t xml:space="preserve"> אחידות בין שני הגילאים, בין אם גיל הפרישה לאישה יעלה ובין אם לא. </w:t>
      </w:r>
    </w:p>
    <w:p w14:paraId="7F6961CB" w14:textId="34413EE1" w:rsidR="00E13C27" w:rsidRDefault="00570461" w:rsidP="00F456F1">
      <w:pPr>
        <w:pStyle w:val="Hesber"/>
        <w:rPr>
          <w:rtl/>
        </w:rPr>
      </w:pPr>
      <w:r>
        <w:rPr>
          <w:rFonts w:hint="cs"/>
          <w:rtl/>
        </w:rPr>
        <w:t xml:space="preserve">במסגרת הדיונים שקיימה ועדת הכספים, נטען על ידי משרד האוצר כי גיל הפרישה שבחוק יכול שיעלה אף בהיעדר המלצות שר האוצר. </w:t>
      </w:r>
      <w:r w:rsidR="00F456F1">
        <w:rPr>
          <w:rFonts w:hint="cs"/>
          <w:rtl/>
        </w:rPr>
        <w:t xml:space="preserve">עמדה זו לא מקובלת על ועדת הכספים ואינה מתיישבת לדעתה עם לשון החוק. אף על פי כן, על מנת להבהיר זאת מוצע בהצעת החוק </w:t>
      </w:r>
      <w:r w:rsidR="009C1EC5">
        <w:rPr>
          <w:rFonts w:hint="cs"/>
          <w:rtl/>
        </w:rPr>
        <w:t xml:space="preserve">לקבוע במפורש שרק אם ועדת הכספים לא נתנה את החלטתה בהמלצות השר לעניין העלאת גיל הפרישה שהוגשו לה, וזאת בתוך פרק הזמן שקבוע לוועדת הכספים בחוק </w:t>
      </w:r>
      <w:r w:rsidR="009C1EC5">
        <w:rPr>
          <w:rtl/>
        </w:rPr>
        <w:t>–</w:t>
      </w:r>
      <w:r w:rsidR="009C1EC5">
        <w:rPr>
          <w:rFonts w:hint="cs"/>
          <w:rtl/>
        </w:rPr>
        <w:t xml:space="preserve"> רק אז יעלה גיל הפרישה לנשים באופן אוטומטית, כקבוע בתוספת לחוק גיל פרישה</w:t>
      </w:r>
      <w:r w:rsidR="00F456F1">
        <w:rPr>
          <w:rFonts w:hint="cs"/>
          <w:rtl/>
        </w:rPr>
        <w:t xml:space="preserve">, ולא במצב </w:t>
      </w:r>
      <w:r w:rsidR="007E48AE">
        <w:rPr>
          <w:rFonts w:hint="cs"/>
          <w:rtl/>
        </w:rPr>
        <w:t>ש</w:t>
      </w:r>
      <w:r w:rsidR="00F456F1">
        <w:rPr>
          <w:rFonts w:hint="cs"/>
          <w:rtl/>
        </w:rPr>
        <w:t>בו אין בפני ועדת הכספים כלל המלצות</w:t>
      </w:r>
      <w:r w:rsidR="009C1EC5">
        <w:rPr>
          <w:rFonts w:hint="cs"/>
          <w:rtl/>
        </w:rPr>
        <w:t>.</w:t>
      </w:r>
    </w:p>
    <w:p w14:paraId="756EBB2B" w14:textId="1E5955B4" w:rsidR="007E48AE" w:rsidRDefault="007E48AE" w:rsidP="00F456F1">
      <w:pPr>
        <w:pStyle w:val="Hesber"/>
        <w:rPr>
          <w:rtl/>
        </w:rPr>
      </w:pPr>
    </w:p>
    <w:p w14:paraId="1725C7B4" w14:textId="77777777" w:rsidR="007E48AE" w:rsidRPr="00D73212" w:rsidRDefault="007E48AE" w:rsidP="007E48AE">
      <w:pPr>
        <w:pStyle w:val="Hesber"/>
        <w:rPr>
          <w:color w:val="auto"/>
          <w:rtl/>
          <w:lang w:eastAsia="en-US"/>
        </w:rPr>
      </w:pPr>
      <w:r w:rsidRPr="00D73212">
        <w:rPr>
          <w:color w:val="auto"/>
          <w:rtl/>
          <w:lang w:eastAsia="en-US"/>
        </w:rPr>
        <w:t>---------------------------------</w:t>
      </w:r>
    </w:p>
    <w:p w14:paraId="1F6B0EB9" w14:textId="77777777" w:rsidR="007E48AE" w:rsidRPr="00D73212" w:rsidRDefault="007E48AE" w:rsidP="007E48A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92089E0" w14:textId="77777777" w:rsidR="007E48AE" w:rsidRPr="00D73212" w:rsidRDefault="007E48AE" w:rsidP="007E48A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205638D5" w14:textId="77777777" w:rsidR="007E48AE" w:rsidRPr="00317312" w:rsidRDefault="007E48AE" w:rsidP="007E48AE">
      <w:pPr>
        <w:pStyle w:val="Hesber"/>
      </w:pPr>
      <w:r>
        <w:rPr>
          <w:rFonts w:hint="cs"/>
          <w:color w:val="auto"/>
          <w:rtl/>
          <w:lang w:eastAsia="en-US"/>
        </w:rPr>
        <w:t>ד' בסיוון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29.5</w:t>
      </w:r>
      <w:r w:rsidRPr="00D73212">
        <w:rPr>
          <w:color w:val="auto"/>
          <w:rtl/>
          <w:lang w:eastAsia="en-US"/>
        </w:rPr>
        <w:t>.</w:t>
      </w:r>
      <w:r>
        <w:rPr>
          <w:rFonts w:hint="cs"/>
          <w:color w:val="auto"/>
          <w:rtl/>
          <w:lang w:eastAsia="en-US"/>
        </w:rPr>
        <w:t>17</w:t>
      </w:r>
    </w:p>
    <w:p w14:paraId="48848118" w14:textId="77777777" w:rsidR="007E48AE" w:rsidRPr="00203A33" w:rsidRDefault="007E48AE" w:rsidP="00F456F1">
      <w:pPr>
        <w:pStyle w:val="Hesber"/>
        <w:rPr>
          <w:rtl/>
        </w:rPr>
      </w:pPr>
    </w:p>
    <w:sectPr w:rsidR="007E48AE" w:rsidRPr="00203A3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A30F4">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74EF4D17" w14:textId="77777777" w:rsidR="00203A33" w:rsidRDefault="00203A33" w:rsidP="00203A33">
      <w:pPr>
        <w:pStyle w:val="a4"/>
      </w:pPr>
      <w:r>
        <w:rPr>
          <w:rStyle w:val="a6"/>
        </w:rPr>
        <w:footnoteRef/>
      </w:r>
      <w:r>
        <w:rPr>
          <w:rtl/>
        </w:rPr>
        <w:t xml:space="preserve"> </w:t>
      </w:r>
      <w:r>
        <w:rPr>
          <w:rFonts w:hint="cs"/>
          <w:rtl/>
        </w:rPr>
        <w:t>ס"ח התשס"ד, עמ' 46.</w:t>
      </w:r>
    </w:p>
  </w:footnote>
  <w:footnote w:id="3">
    <w:p w14:paraId="1B6D5036" w14:textId="77777777" w:rsidR="00203A33" w:rsidRDefault="00203A33" w:rsidP="00203A33">
      <w:pPr>
        <w:pStyle w:val="a4"/>
        <w:rPr>
          <w:rtl/>
        </w:rPr>
      </w:pPr>
      <w:r>
        <w:rPr>
          <w:rStyle w:val="a6"/>
        </w:rPr>
        <w:footnoteRef/>
      </w:r>
      <w:r>
        <w:rPr>
          <w:rtl/>
        </w:rPr>
        <w:t xml:space="preserve"> </w:t>
      </w:r>
      <w:r>
        <w:rPr>
          <w:rFonts w:hint="cs"/>
          <w:rtl/>
        </w:rPr>
        <w:t>ס"ח התשנ"ה, עמ' 210.</w:t>
      </w:r>
    </w:p>
  </w:footnote>
  <w:footnote w:id="4">
    <w:p w14:paraId="458DA502" w14:textId="77777777" w:rsidR="007E48AE" w:rsidRDefault="007E48AE" w:rsidP="00203A33">
      <w:pPr>
        <w:pStyle w:val="a4"/>
        <w:rPr>
          <w:rtl/>
        </w:rPr>
      </w:pPr>
      <w:r>
        <w:rPr>
          <w:rStyle w:val="a6"/>
        </w:rPr>
        <w:footnoteRef/>
      </w:r>
      <w:r>
        <w:rPr>
          <w:rtl/>
        </w:rPr>
        <w:t xml:space="preserve"> </w:t>
      </w:r>
      <w:r>
        <w:rPr>
          <w:rFonts w:hint="cs"/>
          <w:rtl/>
        </w:rPr>
        <w:t>ס"ח התשס"ד, עמ' 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A30F4"/>
    <w:rsid w:val="001C23B0"/>
    <w:rsid w:val="001D7AAF"/>
    <w:rsid w:val="00203A33"/>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70461"/>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48AE"/>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C1EC5"/>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D6ED2"/>
    <w:rsid w:val="00EF3A3A"/>
    <w:rsid w:val="00F456F1"/>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203A3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infopath/2007/PartnerControls"/>
    <ds:schemaRef ds:uri="http://purl.org/dc/terms/"/>
    <ds:schemaRef ds:uri="http://schemas.microsoft.com/office/2006/documentManagement/types"/>
    <ds:schemaRef ds:uri="http://purl.org/dc/dcmitype/"/>
    <ds:schemaRef ds:uri="http://www.w3.org/XML/1998/namespace"/>
    <ds:schemaRef ds:uri="http://purl.org/dc/elements/1.1/"/>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95146077-0032-4012-B1CE-6F832A02051E}"/>
</file>

<file path=customXml/itemProps4.xml><?xml version="1.0" encoding="utf-8"?>
<ds:datastoreItem xmlns:ds="http://schemas.openxmlformats.org/officeDocument/2006/customXml" ds:itemID="{A38F6792-F0D0-4188-99B2-006522F2B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818</Words>
  <Characters>3870</Characters>
  <Application>Microsoft Office Word</Application>
  <DocSecurity>0</DocSecurity>
  <Lines>322</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8</cp:revision>
  <cp:lastPrinted>2017-05-28T11:52:00Z</cp:lastPrinted>
  <dcterms:created xsi:type="dcterms:W3CDTF">2015-04-20T09:58:00Z</dcterms:created>
  <dcterms:modified xsi:type="dcterms:W3CDTF">2017-05-28T11:52:00Z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2018822</vt:r8>
  </property>
</Properties>
</file>