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F6961A1" w14:textId="77777777" w:rsidR="002C2E29" w:rsidRPr="0000131B" w:rsidRDefault="004033D8" w:rsidP="00A443CF">
      <w:pPr>
        <w:pStyle w:val="HeadHatzaotHok"/>
        <w:jc w:val="right"/>
        <w:rPr>
          <w:b w:val="0"/>
          <w:bCs w:val="0"/>
          <w:szCs w:val="20"/>
        </w:rPr>
      </w:pPr>
      <w:r w:rsidRPr="0000131B">
        <w:rPr>
          <w:rFonts w:hint="cs"/>
          <w:b w:val="0"/>
          <w:bCs w:val="0"/>
          <w:szCs w:val="20"/>
          <w:rtl/>
        </w:rPr>
        <w:t xml:space="preserve">מספר פנימי: </w:t>
      </w:r>
      <w:bookmarkStart w:id="0" w:name="LGS_Internal_ID"/>
      <w:r>
        <w:rPr>
          <w:rFonts w:hint="cs"/>
          <w:b w:val="0"/>
          <w:bCs w:val="0"/>
          <w:szCs w:val="20"/>
          <w:rtl/>
        </w:rPr>
        <w:t>2008633</w:t>
      </w:r>
      <w:bookmarkEnd w:id="0"/>
    </w:p>
    <w:p w14:paraId="7F6961A2" w14:textId="53D639AE" w:rsidR="00E13C27" w:rsidRPr="00DB7060" w:rsidRDefault="00E13C27" w:rsidP="00A443CF">
      <w:pPr>
        <w:pStyle w:val="HeadHatzaotHok"/>
        <w:rPr>
          <w:sz w:val="28"/>
          <w:szCs w:val="28"/>
          <w:rtl/>
        </w:rPr>
      </w:pPr>
      <w:r w:rsidRPr="00DB7060">
        <w:rPr>
          <w:rFonts w:hint="cs"/>
          <w:sz w:val="28"/>
          <w:szCs w:val="28"/>
          <w:rtl/>
        </w:rPr>
        <w:t xml:space="preserve">הכנסת </w:t>
      </w:r>
      <w:bookmarkStart w:id="1" w:name="LGS_Knesset_Num"/>
      <w:r>
        <w:rPr>
          <w:rFonts w:hint="cs"/>
          <w:sz w:val="28"/>
          <w:szCs w:val="28"/>
          <w:rtl/>
        </w:rPr>
        <w:t>העשרים</w:t>
      </w:r>
      <w:bookmarkEnd w:id="1"/>
    </w:p>
    <w:p w14:paraId="7F6961A3" w14:textId="77777777" w:rsidR="00E13C27" w:rsidRPr="00F67051" w:rsidRDefault="00E13C27" w:rsidP="00E13C27">
      <w:pPr>
        <w:rPr>
          <w:rFonts w:cs="David"/>
          <w:b/>
          <w:bCs/>
          <w:sz w:val="26"/>
          <w:szCs w:val="26"/>
          <w:rtl/>
        </w:rPr>
      </w:pPr>
    </w:p>
    <w:p w14:paraId="7F6961AA" w14:textId="611056D5" w:rsidR="00E13C27" w:rsidRPr="00CF1AA2" w:rsidRDefault="008F6665" w:rsidP="00D44CDF">
      <w:pPr>
        <w:pStyle w:val="David"/>
        <w:spacing w:line="360" w:lineRule="auto"/>
        <w:ind w:left="3544"/>
        <w:rPr>
          <w:b/>
          <w:bCs/>
          <w:sz w:val="16"/>
          <w:szCs w:val="16"/>
          <w:rtl/>
        </w:rPr>
      </w:pPr>
      <w:bookmarkStart w:id="2" w:name="LGS_Initiators_List"/>
      <w:r>
        <w:rPr>
          <w:b/>
          <w:bCs/>
          <w:rtl/>
        </w:rPr>
        <w:t>יוזמות:      חברות הכנסת</w:t>
      </w:r>
      <w:bookmarkEnd w:id="2"/>
      <w:r w:rsidR="00B35784" w:rsidRPr="00F67051">
        <w:rPr>
          <w:b/>
          <w:bCs/>
        </w:rPr>
        <w:tab/>
      </w:r>
      <w:bookmarkStart w:id="3" w:name="LGS_PM_Names"/>
      <w:r>
        <w:rPr>
          <w:rFonts w:hint="cs"/>
          <w:b/>
          <w:bCs/>
          <w:rtl/>
        </w:rPr>
        <w:t>מרב מיכאלי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זהבה גלאון</w:t>
      </w:r>
      <w:bookmarkStart w:id="4" w:name="LGS_Join_List"/>
      <w:bookmarkEnd w:id="3"/>
      <w:r w:rsidR="007D585A">
        <w:rPr>
          <w:rtl/>
        </w:rPr>
        <w:t xml:space="preserve"> </w:t>
      </w:r>
      <w:bookmarkEnd w:id="4"/>
      <w:r w:rsidR="002200A1" w:rsidRPr="00CF1AA2">
        <w:rPr>
          <w:rFonts w:hint="cs"/>
          <w:rtl/>
        </w:rPr>
        <w:tab/>
      </w:r>
      <w:bookmarkStart w:id="5" w:name="LGS_PM_NamesJoin"/>
      <w:r w:rsidR="007D585A">
        <w:rPr>
          <w:rFonts w:hint="cs"/>
          <w:rtl/>
        </w:rPr>
        <w:t xml:space="preserve"> </w:t>
      </w:r>
      <w:bookmarkEnd w:id="5"/>
    </w:p>
    <w:p w14:paraId="34DB4103" w14:textId="77777777" w:rsidR="00904591" w:rsidRPr="00904591" w:rsidRDefault="00266D86" w:rsidP="0036422C">
      <w:pPr>
        <w:pStyle w:val="David"/>
        <w:spacing w:before="0" w:line="360" w:lineRule="auto"/>
        <w:ind w:left="3544"/>
        <w:rPr>
          <w:sz w:val="4"/>
          <w:szCs w:val="4"/>
          <w:rtl/>
        </w:rPr>
      </w:pPr>
      <w:r>
        <w:t>____</w:t>
      </w:r>
      <w:r w:rsidR="00E374F2">
        <w:t>__</w:t>
      </w:r>
      <w:r>
        <w:t>________________________________________</w:t>
      </w:r>
      <w:r w:rsidR="00E06736" w:rsidRPr="00E06736">
        <w:tab/>
      </w:r>
      <w:r w:rsidR="00E13C27" w:rsidRPr="00E06736">
        <w:rPr>
          <w:rFonts w:hint="cs"/>
          <w:rtl/>
        </w:rPr>
        <w:tab/>
      </w:r>
      <w:r w:rsidR="00E13C27" w:rsidRPr="00E06736">
        <w:rPr>
          <w:rFonts w:hint="cs"/>
          <w:rtl/>
        </w:rPr>
        <w:tab/>
      </w:r>
      <w:r w:rsidR="00E13C27" w:rsidRPr="00E06736">
        <w:rPr>
          <w:rFonts w:hint="cs"/>
          <w:rtl/>
        </w:rPr>
        <w:tab/>
      </w:r>
      <w:r w:rsidR="00904591">
        <w:t xml:space="preserve">           </w:t>
      </w:r>
    </w:p>
    <w:p w14:paraId="7F6961AB" w14:textId="256138AA" w:rsidR="00E13C27" w:rsidRPr="00E06736" w:rsidRDefault="00904591" w:rsidP="00904591">
      <w:pPr>
        <w:pStyle w:val="David"/>
        <w:spacing w:before="0" w:line="240" w:lineRule="auto"/>
        <w:ind w:left="3544"/>
        <w:rPr>
          <w:rtl/>
        </w:rPr>
      </w:pPr>
      <w:r>
        <w:t xml:space="preserve">                                            </w:t>
      </w:r>
      <w:r w:rsidR="008F1308">
        <w:t xml:space="preserve"> </w:t>
      </w:r>
      <w:bookmarkStart w:id="6" w:name="Private_Number"/>
      <w:r>
        <w:rPr>
          <w:rFonts w:hint="cs"/>
          <w:rtl/>
        </w:rPr>
        <w:t>פ/3492/20</w:t>
      </w:r>
      <w:bookmarkEnd w:id="6"/>
    </w:p>
    <w:p w14:paraId="7F6961AD" w14:textId="77777777" w:rsidR="00E13C27" w:rsidRDefault="00A443CF" w:rsidP="0041478D">
      <w:pPr>
        <w:pStyle w:val="HeadHatzaotHok"/>
        <w:spacing w:line="276" w:lineRule="auto"/>
        <w:rPr>
          <w:rtl/>
        </w:rPr>
      </w:pPr>
      <w:bookmarkStart w:id="7" w:name="LGS_Subject"/>
      <w:r>
        <w:rPr>
          <w:rFonts w:hint="cs"/>
          <w:rtl/>
        </w:rPr>
        <w:t>הצעת חוק גיל פרישה לאישה (תיקוני חקיקה), התשע"ז–2016</w:t>
      </w:r>
      <w:bookmarkEnd w:id="7"/>
    </w:p>
    <w:p w14:paraId="7A22FEED" w14:textId="77777777" w:rsidR="0041478D" w:rsidRPr="00F67051" w:rsidRDefault="0041478D" w:rsidP="0041478D">
      <w:pPr>
        <w:pStyle w:val="HeadHatzaotHok"/>
        <w:spacing w:line="276" w:lineRule="auto"/>
        <w:rPr>
          <w:rtl/>
        </w:rPr>
      </w:pPr>
    </w:p>
    <w:tbl>
      <w:tblPr>
        <w:bidiVisual/>
        <w:tblW w:w="963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0"/>
        <w:gridCol w:w="624"/>
        <w:gridCol w:w="624"/>
        <w:gridCol w:w="6520"/>
      </w:tblGrid>
      <w:tr w:rsidR="009B13DE" w14:paraId="33A98C23" w14:textId="77777777" w:rsidTr="00485CFA">
        <w:trPr>
          <w:cantSplit/>
        </w:trPr>
        <w:tc>
          <w:tcPr>
            <w:tcW w:w="1871" w:type="dxa"/>
          </w:tcPr>
          <w:p w14:paraId="63CD9CCC" w14:textId="1524CB56" w:rsidR="009B13DE" w:rsidRDefault="009B13DE" w:rsidP="00710296">
            <w:pPr>
              <w:pStyle w:val="TableSideHeading"/>
              <w:keepLines w:val="0"/>
            </w:pPr>
            <w:r w:rsidRPr="0001499C">
              <w:rPr>
                <w:rFonts w:hint="cs"/>
                <w:rtl/>
              </w:rPr>
              <w:t xml:space="preserve">תיקון </w:t>
            </w:r>
            <w:r>
              <w:rPr>
                <w:rFonts w:hint="cs"/>
                <w:rtl/>
              </w:rPr>
              <w:t>חוק גיל פרישה</w:t>
            </w:r>
          </w:p>
        </w:tc>
        <w:tc>
          <w:tcPr>
            <w:tcW w:w="624" w:type="dxa"/>
          </w:tcPr>
          <w:p w14:paraId="620518FF" w14:textId="77777777" w:rsidR="009B13DE" w:rsidRDefault="009B13DE" w:rsidP="00710296">
            <w:pPr>
              <w:pStyle w:val="TableText"/>
              <w:keepLines w:val="0"/>
              <w:numPr>
                <w:ilvl w:val="0"/>
                <w:numId w:val="12"/>
              </w:numPr>
            </w:pPr>
          </w:p>
        </w:tc>
        <w:tc>
          <w:tcPr>
            <w:tcW w:w="7143" w:type="dxa"/>
            <w:gridSpan w:val="2"/>
          </w:tcPr>
          <w:p w14:paraId="789CD523" w14:textId="10B2F0F9" w:rsidR="009B13DE" w:rsidRPr="00485CFA" w:rsidRDefault="009B13DE" w:rsidP="00240002">
            <w:pPr>
              <w:pStyle w:val="TableBlock"/>
            </w:pPr>
            <w:r w:rsidRPr="00485CFA">
              <w:rPr>
                <w:rFonts w:hint="cs"/>
                <w:rtl/>
              </w:rPr>
              <w:t xml:space="preserve">בחוק גיל פרישה, </w:t>
            </w:r>
            <w:r w:rsidR="00485CFA">
              <w:rPr>
                <w:rFonts w:hint="cs"/>
                <w:rtl/>
              </w:rPr>
              <w:t>ה</w:t>
            </w:r>
            <w:r w:rsidRPr="00485CFA">
              <w:rPr>
                <w:rFonts w:hint="cs"/>
                <w:rtl/>
              </w:rPr>
              <w:t>תשס"ד</w:t>
            </w:r>
            <w:r w:rsidRPr="00485CFA">
              <w:rPr>
                <w:rFonts w:hint="eastAsia"/>
                <w:rtl/>
              </w:rPr>
              <w:t>–</w:t>
            </w:r>
            <w:r w:rsidRPr="00485CFA">
              <w:rPr>
                <w:rFonts w:hint="cs"/>
                <w:rtl/>
              </w:rPr>
              <w:t>2014</w:t>
            </w:r>
            <w:r w:rsidRPr="00485CFA">
              <w:rPr>
                <w:rStyle w:val="a6"/>
                <w:rtl/>
              </w:rPr>
              <w:footnoteReference w:id="2"/>
            </w:r>
            <w:r w:rsidRPr="00485CFA">
              <w:rPr>
                <w:rFonts w:hint="cs"/>
                <w:rtl/>
              </w:rPr>
              <w:t>, בסעיף 9</w:t>
            </w:r>
            <w:r w:rsidR="00C80856">
              <w:rPr>
                <w:rFonts w:hint="cs"/>
                <w:rtl/>
              </w:rPr>
              <w:t xml:space="preserve">(ה), </w:t>
            </w:r>
            <w:r w:rsidR="005356E1">
              <w:rPr>
                <w:rFonts w:hint="cs"/>
                <w:rtl/>
              </w:rPr>
              <w:t xml:space="preserve">במקום </w:t>
            </w:r>
            <w:r w:rsidR="00C80856">
              <w:rPr>
                <w:rFonts w:hint="cs"/>
                <w:rtl/>
              </w:rPr>
              <w:t>הסיפה החל במילים "על אף האמור</w:t>
            </w:r>
            <w:r w:rsidR="005356E1">
              <w:rPr>
                <w:rFonts w:hint="cs"/>
                <w:rtl/>
              </w:rPr>
              <w:t>"</w:t>
            </w:r>
            <w:r w:rsidR="00C80856">
              <w:rPr>
                <w:rFonts w:hint="cs"/>
                <w:rtl/>
              </w:rPr>
              <w:t xml:space="preserve"> יבוא "</w:t>
            </w:r>
            <w:r w:rsidR="00240002">
              <w:rPr>
                <w:rFonts w:hint="cs"/>
                <w:rtl/>
              </w:rPr>
              <w:t>גיל הפרישה לאישה כאמור</w:t>
            </w:r>
            <w:r w:rsidR="00C80856" w:rsidRPr="00C80856">
              <w:rPr>
                <w:rtl/>
              </w:rPr>
              <w:t xml:space="preserve"> בסעיף 3.</w:t>
            </w:r>
            <w:r w:rsidR="00C80856">
              <w:rPr>
                <w:rFonts w:hint="cs"/>
                <w:rtl/>
              </w:rPr>
              <w:t>".</w:t>
            </w:r>
          </w:p>
        </w:tc>
      </w:tr>
      <w:tr w:rsidR="009B13DE" w14:paraId="0EA5AD0A" w14:textId="77777777" w:rsidTr="00485CFA">
        <w:trPr>
          <w:cantSplit/>
        </w:trPr>
        <w:tc>
          <w:tcPr>
            <w:tcW w:w="1871" w:type="dxa"/>
          </w:tcPr>
          <w:p w14:paraId="3B7CCE7E" w14:textId="346655C0" w:rsidR="009B13DE" w:rsidRPr="0001499C" w:rsidRDefault="009B13DE" w:rsidP="00C80856">
            <w:pPr>
              <w:pStyle w:val="TableSideHeading"/>
              <w:keepLines w:val="0"/>
              <w:rPr>
                <w:rtl/>
              </w:rPr>
            </w:pPr>
            <w:r w:rsidRPr="0001499C">
              <w:rPr>
                <w:rFonts w:hint="cs"/>
                <w:rtl/>
              </w:rPr>
              <w:t xml:space="preserve">תיקון </w:t>
            </w:r>
            <w:r>
              <w:rPr>
                <w:rFonts w:hint="cs"/>
                <w:rtl/>
              </w:rPr>
              <w:t xml:space="preserve">חוק </w:t>
            </w:r>
            <w:r w:rsidR="00C80856">
              <w:rPr>
                <w:rFonts w:hint="cs"/>
                <w:rtl/>
              </w:rPr>
              <w:t>הביטוח ה</w:t>
            </w:r>
            <w:r>
              <w:rPr>
                <w:rFonts w:hint="cs"/>
                <w:rtl/>
              </w:rPr>
              <w:t>לאומי</w:t>
            </w:r>
          </w:p>
        </w:tc>
        <w:tc>
          <w:tcPr>
            <w:tcW w:w="624" w:type="dxa"/>
          </w:tcPr>
          <w:p w14:paraId="3E0A967C" w14:textId="77777777" w:rsidR="009B13DE" w:rsidRDefault="009B13DE" w:rsidP="00710296">
            <w:pPr>
              <w:pStyle w:val="TableText"/>
              <w:numPr>
                <w:ilvl w:val="0"/>
                <w:numId w:val="12"/>
              </w:numPr>
            </w:pPr>
          </w:p>
        </w:tc>
        <w:tc>
          <w:tcPr>
            <w:tcW w:w="7143" w:type="dxa"/>
            <w:gridSpan w:val="2"/>
          </w:tcPr>
          <w:p w14:paraId="373BDD4D" w14:textId="7826A80E" w:rsidR="009B13DE" w:rsidRDefault="009B13DE" w:rsidP="00C93F6B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 xml:space="preserve">בחוק הביטוח הלאומי [נוסח משולב], </w:t>
            </w:r>
            <w:r w:rsidR="00485CFA">
              <w:rPr>
                <w:rFonts w:hint="cs"/>
                <w:rtl/>
              </w:rPr>
              <w:t>ה</w:t>
            </w:r>
            <w:r>
              <w:rPr>
                <w:rFonts w:hint="cs"/>
                <w:rtl/>
              </w:rPr>
              <w:t>תשנ"ה</w:t>
            </w:r>
            <w:r>
              <w:rPr>
                <w:rFonts w:hint="eastAsia"/>
                <w:rtl/>
              </w:rPr>
              <w:t>–</w:t>
            </w:r>
            <w:r>
              <w:rPr>
                <w:rFonts w:hint="cs"/>
                <w:rtl/>
              </w:rPr>
              <w:t>1995</w:t>
            </w:r>
            <w:r>
              <w:rPr>
                <w:rStyle w:val="a6"/>
                <w:rtl/>
              </w:rPr>
              <w:footnoteReference w:id="3"/>
            </w:r>
            <w:r w:rsidR="00C93F6B">
              <w:rPr>
                <w:rFonts w:hint="cs"/>
                <w:rtl/>
              </w:rPr>
              <w:t>–</w:t>
            </w:r>
            <w:r>
              <w:rPr>
                <w:rFonts w:hint="cs"/>
                <w:rtl/>
              </w:rPr>
              <w:t xml:space="preserve"> </w:t>
            </w:r>
          </w:p>
        </w:tc>
      </w:tr>
      <w:tr w:rsidR="00C93F6B" w14:paraId="40089FA9" w14:textId="77777777" w:rsidTr="00485CFA">
        <w:trPr>
          <w:cantSplit/>
        </w:trPr>
        <w:tc>
          <w:tcPr>
            <w:tcW w:w="1871" w:type="dxa"/>
          </w:tcPr>
          <w:p w14:paraId="298F7B86" w14:textId="77777777" w:rsidR="00C93F6B" w:rsidRPr="0001499C" w:rsidRDefault="00C93F6B" w:rsidP="00C80856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</w:tcPr>
          <w:p w14:paraId="00829EA6" w14:textId="77777777" w:rsidR="00C93F6B" w:rsidRDefault="00C93F6B" w:rsidP="00DD290C">
            <w:pPr>
              <w:pStyle w:val="TableText"/>
            </w:pPr>
          </w:p>
        </w:tc>
        <w:tc>
          <w:tcPr>
            <w:tcW w:w="7143" w:type="dxa"/>
            <w:gridSpan w:val="2"/>
          </w:tcPr>
          <w:p w14:paraId="2E0CE70D" w14:textId="2F0CC43B" w:rsidR="00C93F6B" w:rsidRDefault="00C93F6B" w:rsidP="00C93F6B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(1)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בסעיף 1, בהגדרה "גיל הפרישה", במקום "בהתאם לחודש לידתה בחלק א' בלוח א'1" יבוא "בסעיף 3 לחוק גיל פרישה";</w:t>
            </w:r>
          </w:p>
        </w:tc>
      </w:tr>
      <w:tr w:rsidR="00C93F6B" w14:paraId="10E54AC4" w14:textId="77777777" w:rsidTr="00485CFA">
        <w:trPr>
          <w:cantSplit/>
        </w:trPr>
        <w:tc>
          <w:tcPr>
            <w:tcW w:w="1871" w:type="dxa"/>
          </w:tcPr>
          <w:p w14:paraId="2D680DDC" w14:textId="77777777" w:rsidR="00C93F6B" w:rsidRDefault="00C93F6B" w:rsidP="00C80856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</w:tcPr>
          <w:p w14:paraId="0BE88AEA" w14:textId="77777777" w:rsidR="00C93F6B" w:rsidRDefault="00C93F6B" w:rsidP="00C93F6B">
            <w:pPr>
              <w:pStyle w:val="TableText"/>
            </w:pPr>
          </w:p>
        </w:tc>
        <w:tc>
          <w:tcPr>
            <w:tcW w:w="7143" w:type="dxa"/>
            <w:gridSpan w:val="2"/>
          </w:tcPr>
          <w:p w14:paraId="7325EC40" w14:textId="7A21FDFF" w:rsidR="00C93F6B" w:rsidRDefault="00C93F6B" w:rsidP="00C93F6B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(2)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 xml:space="preserve">בסעיף 245 </w:t>
            </w:r>
            <w:r>
              <w:rPr>
                <w:rFonts w:hint="eastAsia"/>
                <w:rtl/>
              </w:rPr>
              <w:t>–</w:t>
            </w:r>
          </w:p>
        </w:tc>
      </w:tr>
      <w:tr w:rsidR="00C93F6B" w14:paraId="49C5168E" w14:textId="77777777" w:rsidTr="00DD290C">
        <w:trPr>
          <w:cantSplit/>
        </w:trPr>
        <w:tc>
          <w:tcPr>
            <w:tcW w:w="1871" w:type="dxa"/>
          </w:tcPr>
          <w:p w14:paraId="6AF7CBEB" w14:textId="5E7C5322" w:rsidR="00C93F6B" w:rsidRDefault="00C93F6B" w:rsidP="00DD290C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4" w:type="dxa"/>
          </w:tcPr>
          <w:p w14:paraId="3F56DCF3" w14:textId="77777777" w:rsidR="00C93F6B" w:rsidRDefault="00C93F6B" w:rsidP="00DD290C">
            <w:pPr>
              <w:pStyle w:val="TableText"/>
              <w:ind w:right="0"/>
              <w:jc w:val="both"/>
            </w:pPr>
          </w:p>
        </w:tc>
        <w:tc>
          <w:tcPr>
            <w:tcW w:w="624" w:type="dxa"/>
          </w:tcPr>
          <w:p w14:paraId="33B37EC3" w14:textId="39865DE7" w:rsidR="00C93F6B" w:rsidRDefault="00C93F6B" w:rsidP="00C93F6B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519" w:type="dxa"/>
          </w:tcPr>
          <w:p w14:paraId="02672362" w14:textId="23207C44" w:rsidR="00C93F6B" w:rsidRDefault="00C93F6B" w:rsidP="00C848FD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(א)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 xml:space="preserve">בסעיף קטן (א)(2), </w:t>
            </w:r>
            <w:r w:rsidRPr="00485CFA">
              <w:rPr>
                <w:rFonts w:hint="cs"/>
                <w:rtl/>
              </w:rPr>
              <w:t>במקום "בהתאם לחודש לידתה, בחלק ד' בלוח א'1"  י</w:t>
            </w:r>
            <w:r>
              <w:rPr>
                <w:rFonts w:hint="cs"/>
                <w:rtl/>
              </w:rPr>
              <w:t xml:space="preserve">בוא "בהתאם לסעיף 9(ה) לחוק גיל </w:t>
            </w:r>
            <w:r w:rsidRPr="00485CFA">
              <w:rPr>
                <w:rFonts w:hint="cs"/>
                <w:rtl/>
              </w:rPr>
              <w:t>פרישה"</w:t>
            </w:r>
            <w:r>
              <w:rPr>
                <w:rFonts w:hint="cs"/>
                <w:rtl/>
              </w:rPr>
              <w:t>;</w:t>
            </w:r>
          </w:p>
        </w:tc>
      </w:tr>
      <w:tr w:rsidR="00C93F6B" w14:paraId="3C0CC9DE" w14:textId="77777777" w:rsidTr="00C93F6B">
        <w:trPr>
          <w:cantSplit/>
        </w:trPr>
        <w:tc>
          <w:tcPr>
            <w:tcW w:w="1871" w:type="dxa"/>
          </w:tcPr>
          <w:p w14:paraId="789B5E69" w14:textId="77777777" w:rsidR="00C93F6B" w:rsidRDefault="00C93F6B" w:rsidP="00C93F6B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4" w:type="dxa"/>
          </w:tcPr>
          <w:p w14:paraId="7B81DEF9" w14:textId="77777777" w:rsidR="00C93F6B" w:rsidRDefault="00C93F6B" w:rsidP="00DD290C">
            <w:pPr>
              <w:pStyle w:val="TableText"/>
            </w:pPr>
          </w:p>
        </w:tc>
        <w:tc>
          <w:tcPr>
            <w:tcW w:w="624" w:type="dxa"/>
          </w:tcPr>
          <w:p w14:paraId="4053E7F9" w14:textId="77777777" w:rsidR="00C93F6B" w:rsidRDefault="00C93F6B" w:rsidP="00C93F6B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519" w:type="dxa"/>
          </w:tcPr>
          <w:p w14:paraId="6DF71C7D" w14:textId="51774EA0" w:rsidR="00C93F6B" w:rsidRDefault="00C93F6B" w:rsidP="00C93F6B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(ב)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בסעיף קטן (ב2), במקום "את חלק ד' בלוח א'1"</w:t>
            </w:r>
            <w:r w:rsidR="00C848FD">
              <w:rPr>
                <w:rFonts w:hint="cs"/>
                <w:rtl/>
              </w:rPr>
              <w:t xml:space="preserve"> יבוא "את הגיל כאמור בסעיף קטן (א)(2)";</w:t>
            </w:r>
          </w:p>
        </w:tc>
      </w:tr>
      <w:tr w:rsidR="00C848FD" w14:paraId="55B7818E" w14:textId="77777777" w:rsidTr="003E3CB0">
        <w:trPr>
          <w:cantSplit/>
        </w:trPr>
        <w:tc>
          <w:tcPr>
            <w:tcW w:w="1871" w:type="dxa"/>
          </w:tcPr>
          <w:p w14:paraId="5DCF6D7A" w14:textId="77777777" w:rsidR="00C848FD" w:rsidRDefault="00C848FD" w:rsidP="00C93F6B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4" w:type="dxa"/>
          </w:tcPr>
          <w:p w14:paraId="79A7BD7B" w14:textId="77777777" w:rsidR="00C848FD" w:rsidRDefault="00C848FD" w:rsidP="00C848FD">
            <w:pPr>
              <w:pStyle w:val="TableText"/>
            </w:pPr>
          </w:p>
        </w:tc>
        <w:tc>
          <w:tcPr>
            <w:tcW w:w="7143" w:type="dxa"/>
            <w:gridSpan w:val="2"/>
          </w:tcPr>
          <w:p w14:paraId="7AD197BF" w14:textId="3FFFEDBF" w:rsidR="00C848FD" w:rsidRDefault="00C848FD" w:rsidP="00C93F6B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(3)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בסעיף 342(ג)</w:t>
            </w:r>
            <w:r w:rsidR="00B94812">
              <w:rPr>
                <w:rFonts w:hint="cs"/>
                <w:rtl/>
              </w:rPr>
              <w:t>(2)</w:t>
            </w:r>
            <w:r>
              <w:rPr>
                <w:rFonts w:hint="cs"/>
                <w:rtl/>
              </w:rPr>
              <w:t>, במקום "בהתאם לחודש לידתה, בחלק ד' בלוח א'1" יבוא "בהתאם להוראות סעיף 245(א)(2)";</w:t>
            </w:r>
          </w:p>
        </w:tc>
      </w:tr>
      <w:tr w:rsidR="00C848FD" w14:paraId="38D6B3A6" w14:textId="77777777" w:rsidTr="003E3CB0">
        <w:trPr>
          <w:cantSplit/>
        </w:trPr>
        <w:tc>
          <w:tcPr>
            <w:tcW w:w="1871" w:type="dxa"/>
          </w:tcPr>
          <w:p w14:paraId="0DC01539" w14:textId="77777777" w:rsidR="00C848FD" w:rsidRDefault="00C848FD" w:rsidP="00C93F6B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4" w:type="dxa"/>
          </w:tcPr>
          <w:p w14:paraId="1CFAD9CA" w14:textId="77777777" w:rsidR="00C848FD" w:rsidRDefault="00C848FD" w:rsidP="00C848FD">
            <w:pPr>
              <w:pStyle w:val="TableText"/>
            </w:pPr>
          </w:p>
        </w:tc>
        <w:tc>
          <w:tcPr>
            <w:tcW w:w="7143" w:type="dxa"/>
            <w:gridSpan w:val="2"/>
          </w:tcPr>
          <w:p w14:paraId="5E81E90E" w14:textId="2D079F60" w:rsidR="00C848FD" w:rsidRDefault="00C848FD" w:rsidP="00C93F6B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(4)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בסעיף 351(ב), במקום "בהתאם לחודש לידתה, בחלק ד' בלוח א'1" יבוא "בהתאם להוראות סעיף 245(א)(2)";</w:t>
            </w:r>
          </w:p>
        </w:tc>
      </w:tr>
      <w:tr w:rsidR="00C848FD" w14:paraId="042E13C6" w14:textId="77777777" w:rsidTr="003E3CB0">
        <w:trPr>
          <w:cantSplit/>
        </w:trPr>
        <w:tc>
          <w:tcPr>
            <w:tcW w:w="1871" w:type="dxa"/>
          </w:tcPr>
          <w:p w14:paraId="0587ABA7" w14:textId="77777777" w:rsidR="00C848FD" w:rsidRDefault="00C848FD" w:rsidP="00C93F6B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4" w:type="dxa"/>
          </w:tcPr>
          <w:p w14:paraId="40D0DBFE" w14:textId="77777777" w:rsidR="00C848FD" w:rsidRDefault="00C848FD" w:rsidP="00C848FD">
            <w:pPr>
              <w:pStyle w:val="TableText"/>
            </w:pPr>
          </w:p>
        </w:tc>
        <w:tc>
          <w:tcPr>
            <w:tcW w:w="7143" w:type="dxa"/>
            <w:gridSpan w:val="2"/>
          </w:tcPr>
          <w:p w14:paraId="27946D33" w14:textId="4DE80DE9" w:rsidR="00C848FD" w:rsidRDefault="00C848FD" w:rsidP="00C93F6B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(5)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 xml:space="preserve">בסעיף 406 </w:t>
            </w:r>
            <w:r>
              <w:rPr>
                <w:rFonts w:hint="eastAsia"/>
                <w:rtl/>
              </w:rPr>
              <w:t>–</w:t>
            </w:r>
          </w:p>
        </w:tc>
      </w:tr>
      <w:tr w:rsidR="00C848FD" w14:paraId="00C9DEC2" w14:textId="77777777">
        <w:trPr>
          <w:cantSplit/>
          <w:trHeight w:val="60"/>
        </w:trPr>
        <w:tc>
          <w:tcPr>
            <w:tcW w:w="1871" w:type="dxa"/>
          </w:tcPr>
          <w:p w14:paraId="5A6A8F51" w14:textId="77777777" w:rsidR="00C848FD" w:rsidRDefault="00C848FD">
            <w:pPr>
              <w:pStyle w:val="TableSideHeading"/>
            </w:pPr>
          </w:p>
        </w:tc>
        <w:tc>
          <w:tcPr>
            <w:tcW w:w="624" w:type="dxa"/>
          </w:tcPr>
          <w:p w14:paraId="4508F0F0" w14:textId="77777777" w:rsidR="00C848FD" w:rsidRDefault="00C848FD">
            <w:pPr>
              <w:pStyle w:val="TableText"/>
            </w:pPr>
          </w:p>
        </w:tc>
        <w:tc>
          <w:tcPr>
            <w:tcW w:w="624" w:type="dxa"/>
          </w:tcPr>
          <w:p w14:paraId="03101137" w14:textId="77777777" w:rsidR="00C848FD" w:rsidRDefault="00C848FD">
            <w:pPr>
              <w:pStyle w:val="TableText"/>
            </w:pPr>
          </w:p>
        </w:tc>
        <w:tc>
          <w:tcPr>
            <w:tcW w:w="6522" w:type="dxa"/>
          </w:tcPr>
          <w:p w14:paraId="1A711F48" w14:textId="54A5A219" w:rsidR="00C848FD" w:rsidRDefault="00C848FD" w:rsidP="00757DAF">
            <w:pPr>
              <w:pStyle w:val="TableBlock"/>
            </w:pPr>
            <w:r>
              <w:rPr>
                <w:rFonts w:hint="cs"/>
                <w:rtl/>
              </w:rPr>
              <w:t>(א)</w:t>
            </w:r>
            <w:r>
              <w:rPr>
                <w:rtl/>
              </w:rPr>
              <w:tab/>
            </w:r>
            <w:r w:rsidR="008F0B9B">
              <w:rPr>
                <w:rFonts w:hint="cs"/>
                <w:rtl/>
              </w:rPr>
              <w:t>בפסקה (1),</w:t>
            </w:r>
            <w:r w:rsidR="00757DAF">
              <w:rPr>
                <w:rFonts w:hint="cs"/>
                <w:rtl/>
              </w:rPr>
              <w:t xml:space="preserve"> במקום "בהתאם לחודש לידתה, בחלק א' בלוח א'1" יבוא "בהתאם להוראות סעיף 245(א)(2)";</w:t>
            </w:r>
          </w:p>
        </w:tc>
      </w:tr>
      <w:tr w:rsidR="008F0B9B" w14:paraId="0A4B5363" w14:textId="77777777">
        <w:trPr>
          <w:cantSplit/>
          <w:trHeight w:val="60"/>
        </w:trPr>
        <w:tc>
          <w:tcPr>
            <w:tcW w:w="1871" w:type="dxa"/>
          </w:tcPr>
          <w:p w14:paraId="19681273" w14:textId="77777777" w:rsidR="008F0B9B" w:rsidRDefault="008F0B9B">
            <w:pPr>
              <w:pStyle w:val="TableSideHeading"/>
            </w:pPr>
          </w:p>
        </w:tc>
        <w:tc>
          <w:tcPr>
            <w:tcW w:w="624" w:type="dxa"/>
          </w:tcPr>
          <w:p w14:paraId="48989760" w14:textId="77777777" w:rsidR="008F0B9B" w:rsidRDefault="008F0B9B" w:rsidP="008F0B9B">
            <w:pPr>
              <w:pStyle w:val="TableText"/>
            </w:pPr>
          </w:p>
        </w:tc>
        <w:tc>
          <w:tcPr>
            <w:tcW w:w="624" w:type="dxa"/>
          </w:tcPr>
          <w:p w14:paraId="20F4104C" w14:textId="77777777" w:rsidR="008F0B9B" w:rsidRDefault="008F0B9B">
            <w:pPr>
              <w:pStyle w:val="TableText"/>
            </w:pPr>
          </w:p>
        </w:tc>
        <w:tc>
          <w:tcPr>
            <w:tcW w:w="6522" w:type="dxa"/>
          </w:tcPr>
          <w:p w14:paraId="4E2205F4" w14:textId="0843504C" w:rsidR="008F0B9B" w:rsidRDefault="008F0B9B" w:rsidP="00757DAF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(ב)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בפסקה (</w:t>
            </w:r>
            <w:r w:rsidR="00757DAF">
              <w:rPr>
                <w:rFonts w:hint="cs"/>
                <w:rtl/>
              </w:rPr>
              <w:t>4</w:t>
            </w:r>
            <w:r>
              <w:rPr>
                <w:rFonts w:hint="cs"/>
                <w:rtl/>
              </w:rPr>
              <w:t>)</w:t>
            </w:r>
            <w:r w:rsidR="00757DAF">
              <w:rPr>
                <w:rFonts w:hint="cs"/>
                <w:rtl/>
              </w:rPr>
              <w:t>(א)</w:t>
            </w:r>
            <w:r>
              <w:rPr>
                <w:rFonts w:hint="cs"/>
                <w:rtl/>
              </w:rPr>
              <w:t>,</w:t>
            </w:r>
            <w:r w:rsidR="00757DAF">
              <w:rPr>
                <w:rFonts w:hint="cs"/>
                <w:rtl/>
              </w:rPr>
              <w:t xml:space="preserve"> במקום "בהתאם לחודש לידתה, בחלק ד' בלוח א'1" יבוא "בהתאם להוראות סעיף 245(א)(2)".</w:t>
            </w:r>
          </w:p>
        </w:tc>
      </w:tr>
    </w:tbl>
    <w:p w14:paraId="7F6961CA" w14:textId="77777777" w:rsidR="002D1EE3" w:rsidRDefault="002D1EE3" w:rsidP="002D1EE3">
      <w:pPr>
        <w:pStyle w:val="HeadDivreiHesber"/>
        <w:rPr>
          <w:rtl/>
        </w:rPr>
      </w:pPr>
      <w:r w:rsidRPr="0027450A">
        <w:rPr>
          <w:rFonts w:hint="cs"/>
          <w:rtl/>
        </w:rPr>
        <w:lastRenderedPageBreak/>
        <w:t>דברי הסבר</w:t>
      </w:r>
    </w:p>
    <w:p w14:paraId="7E41C83B" w14:textId="0CC7DF1B" w:rsidR="00AD538D" w:rsidRDefault="009B13DE" w:rsidP="0041478D">
      <w:pPr>
        <w:pStyle w:val="Hesber"/>
        <w:rPr>
          <w:rtl/>
        </w:rPr>
      </w:pPr>
      <w:r w:rsidRPr="00297588">
        <w:rPr>
          <w:rFonts w:hint="cs"/>
          <w:rtl/>
        </w:rPr>
        <w:t xml:space="preserve">סעיף 9 לחוק גיל פרישה קובע כי שר האוצר יביא לאישור ועדת הכספים </w:t>
      </w:r>
      <w:r w:rsidR="00D44CDF">
        <w:rPr>
          <w:rFonts w:hint="cs"/>
          <w:rtl/>
        </w:rPr>
        <w:t xml:space="preserve">של הכנסת (להלן </w:t>
      </w:r>
      <w:r w:rsidR="00D44CDF">
        <w:rPr>
          <w:rFonts w:hint="eastAsia"/>
          <w:rtl/>
        </w:rPr>
        <w:t>–</w:t>
      </w:r>
      <w:r w:rsidR="00D44CDF">
        <w:rPr>
          <w:rFonts w:hint="cs"/>
          <w:rtl/>
        </w:rPr>
        <w:t xml:space="preserve"> ועדת הכספים) </w:t>
      </w:r>
      <w:r w:rsidRPr="00297588">
        <w:rPr>
          <w:rFonts w:hint="cs"/>
          <w:rtl/>
        </w:rPr>
        <w:t>את</w:t>
      </w:r>
      <w:r w:rsidR="000F2F26">
        <w:rPr>
          <w:rFonts w:hint="cs"/>
          <w:rtl/>
        </w:rPr>
        <w:t xml:space="preserve"> המלצותיו בהתחשב</w:t>
      </w:r>
      <w:r w:rsidRPr="00297588">
        <w:rPr>
          <w:rFonts w:hint="cs"/>
          <w:rtl/>
        </w:rPr>
        <w:t xml:space="preserve"> </w:t>
      </w:r>
      <w:r w:rsidR="000F2F26">
        <w:rPr>
          <w:rFonts w:hint="cs"/>
          <w:rtl/>
        </w:rPr>
        <w:t>ב</w:t>
      </w:r>
      <w:r w:rsidRPr="00297588">
        <w:rPr>
          <w:rFonts w:hint="cs"/>
          <w:rtl/>
        </w:rPr>
        <w:t>המלצות ה</w:t>
      </w:r>
      <w:r w:rsidRPr="00297588">
        <w:rPr>
          <w:rFonts w:ascii="Hadasa Roso SL" w:eastAsia="MS Mincho" w:hAnsi="Hadasa Roso SL" w:hint="cs"/>
          <w:snapToGrid/>
          <w:spacing w:val="1"/>
          <w:sz w:val="26"/>
          <w:rtl/>
        </w:rPr>
        <w:t>ו</w:t>
      </w:r>
      <w:r w:rsidR="0041478D">
        <w:rPr>
          <w:rFonts w:ascii="Hadasa Roso SL" w:eastAsia="MS Mincho" w:hAnsi="Hadasa Roso SL" w:hint="cs"/>
          <w:snapToGrid/>
          <w:spacing w:val="1"/>
          <w:sz w:val="26"/>
          <w:rtl/>
        </w:rPr>
        <w:t>ו</w:t>
      </w:r>
      <w:r w:rsidRPr="00297588">
        <w:rPr>
          <w:rFonts w:ascii="Hadasa Roso SL" w:eastAsia="MS Mincho" w:hAnsi="Hadasa Roso SL" w:hint="cs"/>
          <w:snapToGrid/>
          <w:spacing w:val="1"/>
          <w:sz w:val="26"/>
          <w:rtl/>
        </w:rPr>
        <w:t xml:space="preserve">עדה הציבורית לבחינת גיל הפרישה </w:t>
      </w:r>
      <w:r>
        <w:rPr>
          <w:rFonts w:ascii="Hadasa Roso SL" w:eastAsia="MS Mincho" w:hAnsi="Hadasa Roso SL" w:hint="cs"/>
          <w:snapToGrid/>
          <w:spacing w:val="1"/>
          <w:sz w:val="26"/>
          <w:rtl/>
        </w:rPr>
        <w:t>לאישה</w:t>
      </w:r>
      <w:r w:rsidR="00AD538D">
        <w:rPr>
          <w:rFonts w:ascii="Hadasa Roso SL" w:eastAsia="MS Mincho" w:hAnsi="Hadasa Roso SL" w:hint="cs"/>
          <w:snapToGrid/>
          <w:spacing w:val="1"/>
          <w:sz w:val="26"/>
          <w:rtl/>
        </w:rPr>
        <w:t>,</w:t>
      </w:r>
      <w:r w:rsidRPr="00297588">
        <w:rPr>
          <w:rFonts w:ascii="Hadasa Roso SL" w:eastAsia="MS Mincho" w:hAnsi="Hadasa Roso SL" w:hint="cs"/>
          <w:snapToGrid/>
          <w:spacing w:val="1"/>
          <w:sz w:val="26"/>
          <w:rtl/>
        </w:rPr>
        <w:t xml:space="preserve"> עד ל</w:t>
      </w:r>
      <w:r w:rsidR="00AD538D">
        <w:rPr>
          <w:rFonts w:ascii="Hadasa Roso SL" w:eastAsia="MS Mincho" w:hAnsi="Hadasa Roso SL" w:hint="cs"/>
          <w:snapToGrid/>
          <w:spacing w:val="1"/>
          <w:sz w:val="26"/>
          <w:rtl/>
        </w:rPr>
        <w:t>-</w:t>
      </w:r>
      <w:r w:rsidRPr="00297588">
        <w:rPr>
          <w:rFonts w:ascii="Hadasa Roso SL" w:eastAsia="MS Mincho" w:hAnsi="Hadasa Roso SL" w:hint="cs"/>
          <w:snapToGrid/>
          <w:spacing w:val="1"/>
          <w:sz w:val="26"/>
          <w:rtl/>
        </w:rPr>
        <w:t>30 בספטמבר 2016.</w:t>
      </w:r>
      <w:r w:rsidRPr="00297588">
        <w:rPr>
          <w:rFonts w:hint="cs"/>
          <w:rtl/>
        </w:rPr>
        <w:t xml:space="preserve"> המלצות אלו לא הוגשו ע</w:t>
      </w:r>
      <w:r>
        <w:rPr>
          <w:rFonts w:hint="cs"/>
          <w:rtl/>
        </w:rPr>
        <w:t>ל ידי</w:t>
      </w:r>
      <w:r w:rsidRPr="00297588">
        <w:rPr>
          <w:rFonts w:hint="cs"/>
          <w:rtl/>
        </w:rPr>
        <w:t xml:space="preserve"> שר האוצר במועדן</w:t>
      </w:r>
      <w:r w:rsidR="000F2F26">
        <w:rPr>
          <w:rFonts w:hint="cs"/>
          <w:rtl/>
        </w:rPr>
        <w:t>, וכעת יש חשש ש</w:t>
      </w:r>
      <w:r>
        <w:rPr>
          <w:rFonts w:hint="cs"/>
          <w:rtl/>
        </w:rPr>
        <w:t>הזכאות לקצבת זקנה</w:t>
      </w:r>
      <w:r w:rsidR="00AD538D">
        <w:rPr>
          <w:rFonts w:hint="cs"/>
          <w:rtl/>
        </w:rPr>
        <w:t xml:space="preserve"> תתעדכן</w:t>
      </w:r>
      <w:r>
        <w:rPr>
          <w:rFonts w:hint="cs"/>
          <w:rtl/>
        </w:rPr>
        <w:t xml:space="preserve"> לגיל 64</w:t>
      </w:r>
      <w:r w:rsidR="00AD538D">
        <w:rPr>
          <w:rFonts w:hint="cs"/>
          <w:rtl/>
        </w:rPr>
        <w:t>,</w:t>
      </w:r>
      <w:r>
        <w:rPr>
          <w:rFonts w:hint="cs"/>
          <w:rtl/>
        </w:rPr>
        <w:t xml:space="preserve"> בהתאם לחוק הביטוח הלאומי, בעוד שהכנסת</w:t>
      </w:r>
      <w:r w:rsidR="000F2F26">
        <w:rPr>
          <w:rFonts w:hint="cs"/>
          <w:rtl/>
        </w:rPr>
        <w:t xml:space="preserve">, ובכלל זה ועדת </w:t>
      </w:r>
      <w:r w:rsidR="00D44CDF">
        <w:rPr>
          <w:rFonts w:hint="cs"/>
          <w:rtl/>
        </w:rPr>
        <w:t>ה</w:t>
      </w:r>
      <w:r w:rsidR="000F2F26">
        <w:rPr>
          <w:rFonts w:hint="cs"/>
          <w:rtl/>
        </w:rPr>
        <w:t>כספים,</w:t>
      </w:r>
      <w:r>
        <w:rPr>
          <w:rFonts w:hint="cs"/>
          <w:rtl/>
        </w:rPr>
        <w:t xml:space="preserve"> טרם קיימה דיון ציבורי</w:t>
      </w:r>
      <w:r w:rsidR="00AD538D">
        <w:rPr>
          <w:rFonts w:hint="cs"/>
          <w:rtl/>
        </w:rPr>
        <w:t xml:space="preserve"> </w:t>
      </w:r>
      <w:r w:rsidR="000F2F26">
        <w:rPr>
          <w:rFonts w:hint="cs"/>
          <w:rtl/>
        </w:rPr>
        <w:t>לגבי ההמלצות.</w:t>
      </w:r>
      <w:r>
        <w:rPr>
          <w:rFonts w:hint="cs"/>
          <w:rtl/>
        </w:rPr>
        <w:t xml:space="preserve"> </w:t>
      </w:r>
    </w:p>
    <w:p w14:paraId="7F6961CB" w14:textId="41AC0A40" w:rsidR="00E13C27" w:rsidRDefault="009B13DE" w:rsidP="0041478D">
      <w:pPr>
        <w:pStyle w:val="Hesber"/>
        <w:rPr>
          <w:rtl/>
        </w:rPr>
      </w:pPr>
      <w:r>
        <w:rPr>
          <w:rFonts w:hint="cs"/>
          <w:rtl/>
        </w:rPr>
        <w:t xml:space="preserve">תיקון זה מציע כי גיל הפרישה לאישה </w:t>
      </w:r>
      <w:r w:rsidR="00AD538D">
        <w:rPr>
          <w:rFonts w:hint="cs"/>
          <w:rtl/>
        </w:rPr>
        <w:t>יוותר על כנו ויעמוד על 62</w:t>
      </w:r>
      <w:r>
        <w:rPr>
          <w:rFonts w:hint="cs"/>
          <w:rtl/>
        </w:rPr>
        <w:t xml:space="preserve">, </w:t>
      </w:r>
      <w:r w:rsidR="00AD538D">
        <w:rPr>
          <w:rFonts w:hint="cs"/>
          <w:rtl/>
        </w:rPr>
        <w:t xml:space="preserve">וזאת </w:t>
      </w:r>
      <w:r>
        <w:rPr>
          <w:rFonts w:hint="cs"/>
          <w:rtl/>
        </w:rPr>
        <w:t xml:space="preserve">עד </w:t>
      </w:r>
      <w:r w:rsidR="00AD538D">
        <w:rPr>
          <w:rFonts w:hint="cs"/>
          <w:rtl/>
        </w:rPr>
        <w:t>ש</w:t>
      </w:r>
      <w:r w:rsidR="000F2F26">
        <w:rPr>
          <w:rFonts w:hint="cs"/>
          <w:rtl/>
        </w:rPr>
        <w:t xml:space="preserve">סוגיית העלאת גיל הפרישה לנשים תבוא </w:t>
      </w:r>
      <w:r>
        <w:rPr>
          <w:rFonts w:hint="cs"/>
          <w:rtl/>
        </w:rPr>
        <w:t xml:space="preserve">לדיון ציבורי </w:t>
      </w:r>
      <w:r w:rsidR="000F2F26">
        <w:rPr>
          <w:rFonts w:hint="cs"/>
          <w:rtl/>
        </w:rPr>
        <w:t xml:space="preserve">ותעודכן </w:t>
      </w:r>
      <w:r>
        <w:rPr>
          <w:rFonts w:hint="cs"/>
          <w:rtl/>
        </w:rPr>
        <w:t>על ידי המחוקק.</w:t>
      </w:r>
    </w:p>
    <w:p w14:paraId="1FEAD485" w14:textId="5D56B11E" w:rsidR="0041478D" w:rsidRDefault="0041478D" w:rsidP="0041478D">
      <w:pPr>
        <w:pStyle w:val="Hesber"/>
        <w:rPr>
          <w:rtl/>
        </w:rPr>
      </w:pPr>
    </w:p>
    <w:p w14:paraId="7AA49360" w14:textId="77777777" w:rsidR="0041478D" w:rsidRDefault="0041478D" w:rsidP="0041478D">
      <w:pPr>
        <w:pStyle w:val="Hesber"/>
        <w:rPr>
          <w:rtl/>
        </w:rPr>
      </w:pPr>
    </w:p>
    <w:p w14:paraId="19872768" w14:textId="77777777" w:rsidR="0041478D" w:rsidRDefault="0041478D" w:rsidP="0041478D">
      <w:pPr>
        <w:pStyle w:val="Hesber"/>
        <w:rPr>
          <w:rtl/>
        </w:rPr>
      </w:pPr>
    </w:p>
    <w:p w14:paraId="3BB410FA" w14:textId="77777777" w:rsidR="0041478D" w:rsidRPr="00D73212" w:rsidRDefault="0041478D" w:rsidP="0041478D">
      <w:pPr>
        <w:pStyle w:val="Hesber"/>
        <w:rPr>
          <w:color w:val="auto"/>
          <w:rtl/>
          <w:lang w:eastAsia="en-US"/>
        </w:rPr>
      </w:pPr>
      <w:r w:rsidRPr="00D73212">
        <w:rPr>
          <w:color w:val="auto"/>
          <w:rtl/>
          <w:lang w:eastAsia="en-US"/>
        </w:rPr>
        <w:t>---------------------------------</w:t>
      </w:r>
    </w:p>
    <w:p w14:paraId="05FC07B6" w14:textId="77777777" w:rsidR="0041478D" w:rsidRPr="00D73212" w:rsidRDefault="0041478D" w:rsidP="0041478D">
      <w:pPr>
        <w:pStyle w:val="Hesber"/>
        <w:rPr>
          <w:color w:val="auto"/>
          <w:rtl/>
          <w:lang w:eastAsia="en-US"/>
        </w:rPr>
      </w:pPr>
      <w:r w:rsidRPr="00D73212">
        <w:rPr>
          <w:rFonts w:hint="cs"/>
          <w:color w:val="auto"/>
          <w:rtl/>
          <w:lang w:eastAsia="en-US"/>
        </w:rPr>
        <w:t>הוגשה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ליו</w:t>
      </w:r>
      <w:r w:rsidRPr="00D73212">
        <w:rPr>
          <w:color w:val="auto"/>
          <w:rtl/>
          <w:lang w:eastAsia="en-US"/>
        </w:rPr>
        <w:t>"</w:t>
      </w:r>
      <w:r w:rsidRPr="00D73212">
        <w:rPr>
          <w:rFonts w:hint="cs"/>
          <w:color w:val="auto"/>
          <w:rtl/>
          <w:lang w:eastAsia="en-US"/>
        </w:rPr>
        <w:t>ר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הכנסת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והסגנים</w:t>
      </w:r>
    </w:p>
    <w:p w14:paraId="30C09022" w14:textId="77777777" w:rsidR="0041478D" w:rsidRPr="00D73212" w:rsidRDefault="0041478D" w:rsidP="0041478D">
      <w:pPr>
        <w:pStyle w:val="Hesber"/>
        <w:rPr>
          <w:color w:val="auto"/>
          <w:rtl/>
          <w:lang w:eastAsia="en-US"/>
        </w:rPr>
      </w:pPr>
      <w:r w:rsidRPr="00D73212">
        <w:rPr>
          <w:rFonts w:hint="cs"/>
          <w:color w:val="auto"/>
          <w:rtl/>
          <w:lang w:eastAsia="en-US"/>
        </w:rPr>
        <w:t>והונחה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על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שולחן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הכנסת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ביום</w:t>
      </w:r>
    </w:p>
    <w:p w14:paraId="666638F9" w14:textId="77777777" w:rsidR="0041478D" w:rsidRPr="00317312" w:rsidRDefault="0041478D" w:rsidP="0041478D">
      <w:pPr>
        <w:pStyle w:val="Hesber"/>
      </w:pPr>
      <w:r>
        <w:rPr>
          <w:rFonts w:hint="cs"/>
          <w:color w:val="auto"/>
          <w:rtl/>
          <w:lang w:eastAsia="en-US"/>
        </w:rPr>
        <w:t>כ' בחשוון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התשע</w:t>
      </w:r>
      <w:r w:rsidRPr="00D73212">
        <w:rPr>
          <w:color w:val="auto"/>
          <w:rtl/>
          <w:lang w:eastAsia="en-US"/>
        </w:rPr>
        <w:t>"</w:t>
      </w:r>
      <w:r>
        <w:rPr>
          <w:rFonts w:hint="cs"/>
          <w:color w:val="auto"/>
          <w:rtl/>
          <w:lang w:eastAsia="en-US"/>
        </w:rPr>
        <w:t>ז</w:t>
      </w:r>
      <w:r w:rsidRPr="00D73212">
        <w:rPr>
          <w:color w:val="auto"/>
          <w:rtl/>
          <w:lang w:eastAsia="en-US"/>
        </w:rPr>
        <w:t xml:space="preserve"> – </w:t>
      </w:r>
      <w:r>
        <w:rPr>
          <w:rFonts w:hint="cs"/>
          <w:color w:val="auto"/>
          <w:rtl/>
          <w:lang w:eastAsia="en-US"/>
        </w:rPr>
        <w:t>21.11</w:t>
      </w:r>
      <w:r w:rsidRPr="00D73212">
        <w:rPr>
          <w:color w:val="auto"/>
          <w:rtl/>
          <w:lang w:eastAsia="en-US"/>
        </w:rPr>
        <w:t>.1</w:t>
      </w:r>
      <w:r>
        <w:rPr>
          <w:rFonts w:hint="cs"/>
          <w:color w:val="auto"/>
          <w:rtl/>
          <w:lang w:eastAsia="en-US"/>
        </w:rPr>
        <w:t>6</w:t>
      </w:r>
    </w:p>
    <w:p w14:paraId="3409217E" w14:textId="77777777" w:rsidR="0041478D" w:rsidRDefault="0041478D" w:rsidP="0041478D">
      <w:pPr>
        <w:pStyle w:val="Hesber"/>
        <w:rPr>
          <w:rtl/>
        </w:rPr>
      </w:pPr>
    </w:p>
    <w:sectPr w:rsidR="0041478D" w:rsidSect="001207F8">
      <w:footerReference w:type="even" r:id="rId11"/>
      <w:footerReference w:type="default" r:id="rId12"/>
      <w:pgSz w:w="11907" w:h="16840" w:code="9"/>
      <w:pgMar w:top="1134" w:right="1134" w:bottom="1134" w:left="1134" w:header="680" w:footer="680" w:gutter="0"/>
      <w:cols w:space="720"/>
      <w:noEndnote/>
      <w:titlePg/>
      <w:bidi/>
      <w:rtlGutter/>
      <w:docGrid w:linePitch="23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4488A69" w14:textId="77777777" w:rsidR="00A942C1" w:rsidRDefault="00A942C1">
      <w:r>
        <w:separator/>
      </w:r>
    </w:p>
  </w:endnote>
  <w:endnote w:type="continuationSeparator" w:id="0">
    <w:p w14:paraId="318F26FB" w14:textId="77777777" w:rsidR="00A942C1" w:rsidRDefault="00A942C1">
      <w:r>
        <w:continuationSeparator/>
      </w:r>
    </w:p>
  </w:endnote>
  <w:endnote w:type="continuationNotice" w:id="1">
    <w:p w14:paraId="6BE48FD5" w14:textId="77777777" w:rsidR="00A942C1" w:rsidRDefault="00A942C1">
      <w:pPr>
        <w:spacing w:before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6961D5" w14:textId="77777777" w:rsidR="002C3041" w:rsidRDefault="002C3041" w:rsidP="001207F8">
    <w:pPr>
      <w:pStyle w:val="a9"/>
      <w:framePr w:wrap="around" w:vAnchor="text" w:hAnchor="text" w:xAlign="center" w:y="1"/>
      <w:rPr>
        <w:rStyle w:val="ab"/>
      </w:rPr>
    </w:pPr>
    <w:r>
      <w:rPr>
        <w:rStyle w:val="ab"/>
        <w:rtl/>
      </w:rPr>
      <w:fldChar w:fldCharType="begin"/>
    </w:r>
    <w:r>
      <w:rPr>
        <w:rStyle w:val="ab"/>
      </w:rPr>
      <w:instrText xml:space="preserve">PAGE  </w:instrText>
    </w:r>
    <w:r>
      <w:rPr>
        <w:rStyle w:val="ab"/>
        <w:rtl/>
      </w:rPr>
      <w:fldChar w:fldCharType="end"/>
    </w:r>
  </w:p>
  <w:p w14:paraId="7F6961D6" w14:textId="77777777" w:rsidR="002C3041" w:rsidRDefault="002C3041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6961D7" w14:textId="77777777" w:rsidR="002C3041" w:rsidRDefault="002C3041" w:rsidP="001207F8">
    <w:pPr>
      <w:pStyle w:val="a9"/>
      <w:framePr w:wrap="around" w:vAnchor="text" w:hAnchor="text" w:xAlign="center" w:y="1"/>
      <w:rPr>
        <w:rStyle w:val="ab"/>
      </w:rPr>
    </w:pPr>
    <w:r>
      <w:rPr>
        <w:rStyle w:val="ab"/>
        <w:rtl/>
      </w:rPr>
      <w:fldChar w:fldCharType="begin"/>
    </w:r>
    <w:r>
      <w:rPr>
        <w:rStyle w:val="ab"/>
      </w:rPr>
      <w:instrText xml:space="preserve">PAGE  </w:instrText>
    </w:r>
    <w:r>
      <w:rPr>
        <w:rStyle w:val="ab"/>
        <w:rtl/>
      </w:rPr>
      <w:fldChar w:fldCharType="separate"/>
    </w:r>
    <w:r w:rsidR="007D0C68">
      <w:rPr>
        <w:rStyle w:val="ab"/>
        <w:noProof/>
        <w:rtl/>
      </w:rPr>
      <w:t>2</w:t>
    </w:r>
    <w:r>
      <w:rPr>
        <w:rStyle w:val="ab"/>
        <w:rtl/>
      </w:rPr>
      <w:fldChar w:fldCharType="end"/>
    </w:r>
  </w:p>
  <w:p w14:paraId="7F6961D8" w14:textId="77777777" w:rsidR="002C3041" w:rsidRDefault="002C3041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367B9F2" w14:textId="77777777" w:rsidR="00A942C1" w:rsidRDefault="00A942C1">
      <w:r>
        <w:separator/>
      </w:r>
    </w:p>
  </w:footnote>
  <w:footnote w:type="continuationSeparator" w:id="0">
    <w:p w14:paraId="3DB92342" w14:textId="77777777" w:rsidR="00A942C1" w:rsidRDefault="00A942C1">
      <w:r>
        <w:continuationSeparator/>
      </w:r>
    </w:p>
  </w:footnote>
  <w:footnote w:type="continuationNotice" w:id="1">
    <w:p w14:paraId="16009878" w14:textId="77777777" w:rsidR="00A942C1" w:rsidRDefault="00A942C1"/>
  </w:footnote>
  <w:footnote w:id="2">
    <w:p w14:paraId="1DFE92EA" w14:textId="3C80972B" w:rsidR="009B13DE" w:rsidRPr="00BC4B02" w:rsidRDefault="009B13DE" w:rsidP="009B13DE">
      <w:pPr>
        <w:pStyle w:val="a4"/>
      </w:pPr>
      <w:r w:rsidRPr="00BC4B02">
        <w:rPr>
          <w:rStyle w:val="a6"/>
        </w:rPr>
        <w:footnoteRef/>
      </w:r>
      <w:r w:rsidRPr="00BC4B02">
        <w:rPr>
          <w:rtl/>
        </w:rPr>
        <w:t xml:space="preserve"> </w:t>
      </w:r>
      <w:r w:rsidRPr="00BC4B02">
        <w:rPr>
          <w:rFonts w:hint="cs"/>
          <w:rtl/>
        </w:rPr>
        <w:t xml:space="preserve">ס"ח </w:t>
      </w:r>
      <w:r w:rsidR="007D0C68">
        <w:rPr>
          <w:rFonts w:hint="cs"/>
          <w:rtl/>
        </w:rPr>
        <w:t>ה</w:t>
      </w:r>
      <w:r w:rsidRPr="00BC4B02">
        <w:rPr>
          <w:rFonts w:hint="cs"/>
          <w:rtl/>
        </w:rPr>
        <w:t>תשע"ד</w:t>
      </w:r>
      <w:r w:rsidR="007D0C68">
        <w:rPr>
          <w:rFonts w:hint="cs"/>
          <w:rtl/>
        </w:rPr>
        <w:t>,</w:t>
      </w:r>
      <w:bookmarkStart w:id="8" w:name="_GoBack"/>
      <w:bookmarkEnd w:id="8"/>
      <w:r w:rsidRPr="00BC4B02">
        <w:rPr>
          <w:rFonts w:hint="cs"/>
          <w:rtl/>
        </w:rPr>
        <w:t xml:space="preserve"> עמ' 600.</w:t>
      </w:r>
    </w:p>
  </w:footnote>
  <w:footnote w:id="3">
    <w:p w14:paraId="4A56E171" w14:textId="0CCE0B8F" w:rsidR="009B13DE" w:rsidRPr="00395150" w:rsidRDefault="009B13DE" w:rsidP="00D44CDF">
      <w:pPr>
        <w:pStyle w:val="a4"/>
        <w:rPr>
          <w:rtl/>
        </w:rPr>
      </w:pPr>
      <w:r w:rsidRPr="00395150">
        <w:rPr>
          <w:rStyle w:val="a6"/>
        </w:rPr>
        <w:footnoteRef/>
      </w:r>
      <w:r w:rsidRPr="00395150">
        <w:rPr>
          <w:rtl/>
        </w:rPr>
        <w:t xml:space="preserve"> </w:t>
      </w:r>
      <w:r w:rsidR="00D44CDF">
        <w:rPr>
          <w:rFonts w:hint="cs"/>
          <w:rtl/>
        </w:rPr>
        <w:t>ס"ח תשנ"ה,</w:t>
      </w:r>
      <w:r>
        <w:rPr>
          <w:rFonts w:hint="cs"/>
          <w:rtl/>
        </w:rPr>
        <w:t xml:space="preserve"> </w:t>
      </w:r>
      <w:r w:rsidRPr="00395150">
        <w:rPr>
          <w:rFonts w:hint="cs"/>
          <w:rtl/>
        </w:rPr>
        <w:t xml:space="preserve">עמ' </w:t>
      </w:r>
      <w:r w:rsidR="00D44CDF">
        <w:rPr>
          <w:rFonts w:hint="cs"/>
          <w:rtl/>
        </w:rPr>
        <w:t>210</w:t>
      </w:r>
      <w:r w:rsidRPr="00395150">
        <w:rPr>
          <w:rFonts w:hint="cs"/>
          <w:rtl/>
        </w:rPr>
        <w:t>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7D5CAEA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E88A7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45DA1EB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A3056D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222F1D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406C9A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5BFE925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94246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84D088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FB0598A"/>
    <w:multiLevelType w:val="hybridMultilevel"/>
    <w:tmpl w:val="746CCEE6"/>
    <w:lvl w:ilvl="0" w:tplc="040D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CC17806"/>
    <w:multiLevelType w:val="hybridMultilevel"/>
    <w:tmpl w:val="9FC6FCE2"/>
    <w:lvl w:ilvl="0" w:tplc="10E8EAD6">
      <w:start w:val="1"/>
      <w:numFmt w:val="decimal"/>
      <w:lvlText w:val="(%1)"/>
      <w:lvlJc w:val="left"/>
      <w:pPr>
        <w:ind w:left="720" w:hanging="360"/>
      </w:pPr>
      <w:rPr>
        <w:sz w:val="26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1"/>
  </w:num>
  <w:num w:numId="12">
    <w:abstractNumId w:val="13"/>
  </w:num>
  <w:num w:numId="13">
    <w:abstractNumId w:val="10"/>
  </w:num>
  <w:num w:numId="14">
    <w:abstractNumId w:val="14"/>
  </w:num>
  <w:num w:numId="1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bordersDoNotSurroundHeader/>
  <w:bordersDoNotSurroundFooter/>
  <w:stylePaneFormatFilter w:val="0002" w:allStyles="0" w:customStyles="1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OriginalName" w:val="tmp482240lsCopyOriginal.docx"/>
    <w:docVar w:name="StartMode" w:val="2"/>
  </w:docVars>
  <w:rsids>
    <w:rsidRoot w:val="00DB7060"/>
    <w:rsid w:val="0000131B"/>
    <w:rsid w:val="00015B27"/>
    <w:rsid w:val="00063A3E"/>
    <w:rsid w:val="00072CAC"/>
    <w:rsid w:val="0007681A"/>
    <w:rsid w:val="000A542E"/>
    <w:rsid w:val="000F2F26"/>
    <w:rsid w:val="00102B6B"/>
    <w:rsid w:val="001052D4"/>
    <w:rsid w:val="0010644B"/>
    <w:rsid w:val="001207F8"/>
    <w:rsid w:val="00121924"/>
    <w:rsid w:val="001279A8"/>
    <w:rsid w:val="0014195F"/>
    <w:rsid w:val="00152609"/>
    <w:rsid w:val="00153E1B"/>
    <w:rsid w:val="001A0623"/>
    <w:rsid w:val="001C23B0"/>
    <w:rsid w:val="001D7AAF"/>
    <w:rsid w:val="00203A7F"/>
    <w:rsid w:val="0021633A"/>
    <w:rsid w:val="002200A1"/>
    <w:rsid w:val="002362BF"/>
    <w:rsid w:val="00240002"/>
    <w:rsid w:val="00241B97"/>
    <w:rsid w:val="002425D1"/>
    <w:rsid w:val="00246756"/>
    <w:rsid w:val="00251E58"/>
    <w:rsid w:val="00254605"/>
    <w:rsid w:val="00266D86"/>
    <w:rsid w:val="002728B4"/>
    <w:rsid w:val="0027600C"/>
    <w:rsid w:val="00292712"/>
    <w:rsid w:val="002A487D"/>
    <w:rsid w:val="002C2E29"/>
    <w:rsid w:val="002C3041"/>
    <w:rsid w:val="002D1EE3"/>
    <w:rsid w:val="002F1D80"/>
    <w:rsid w:val="003232A2"/>
    <w:rsid w:val="00325C14"/>
    <w:rsid w:val="0036422C"/>
    <w:rsid w:val="003710F6"/>
    <w:rsid w:val="00386E88"/>
    <w:rsid w:val="00396585"/>
    <w:rsid w:val="003D6E38"/>
    <w:rsid w:val="003D74A0"/>
    <w:rsid w:val="004033D8"/>
    <w:rsid w:val="004073F0"/>
    <w:rsid w:val="00412A7D"/>
    <w:rsid w:val="0041478D"/>
    <w:rsid w:val="00416B4D"/>
    <w:rsid w:val="00417CFC"/>
    <w:rsid w:val="00461BE6"/>
    <w:rsid w:val="00485CFA"/>
    <w:rsid w:val="004A06DC"/>
    <w:rsid w:val="004B24ED"/>
    <w:rsid w:val="004B6625"/>
    <w:rsid w:val="004D2D82"/>
    <w:rsid w:val="004D3876"/>
    <w:rsid w:val="004E4552"/>
    <w:rsid w:val="004E6CDF"/>
    <w:rsid w:val="005356E1"/>
    <w:rsid w:val="00553C9D"/>
    <w:rsid w:val="00562A66"/>
    <w:rsid w:val="005961F6"/>
    <w:rsid w:val="005B064E"/>
    <w:rsid w:val="005D51AE"/>
    <w:rsid w:val="0062674B"/>
    <w:rsid w:val="006363B2"/>
    <w:rsid w:val="00644940"/>
    <w:rsid w:val="006818A9"/>
    <w:rsid w:val="006A2D81"/>
    <w:rsid w:val="006C1D0D"/>
    <w:rsid w:val="0070601E"/>
    <w:rsid w:val="00712C72"/>
    <w:rsid w:val="00735FE9"/>
    <w:rsid w:val="00757DAF"/>
    <w:rsid w:val="00763CAA"/>
    <w:rsid w:val="00765F66"/>
    <w:rsid w:val="0078664F"/>
    <w:rsid w:val="007C3FA6"/>
    <w:rsid w:val="007D0C68"/>
    <w:rsid w:val="007D585A"/>
    <w:rsid w:val="007D5A12"/>
    <w:rsid w:val="007E59F9"/>
    <w:rsid w:val="00810BCD"/>
    <w:rsid w:val="00812C98"/>
    <w:rsid w:val="00814D92"/>
    <w:rsid w:val="0083181D"/>
    <w:rsid w:val="00843EB2"/>
    <w:rsid w:val="00865572"/>
    <w:rsid w:val="00874BBC"/>
    <w:rsid w:val="00892135"/>
    <w:rsid w:val="00895449"/>
    <w:rsid w:val="00897879"/>
    <w:rsid w:val="008A6870"/>
    <w:rsid w:val="008C2DDC"/>
    <w:rsid w:val="008C7516"/>
    <w:rsid w:val="008E6EC7"/>
    <w:rsid w:val="008F0B9B"/>
    <w:rsid w:val="008F0D63"/>
    <w:rsid w:val="008F1308"/>
    <w:rsid w:val="008F2C35"/>
    <w:rsid w:val="008F6665"/>
    <w:rsid w:val="00904591"/>
    <w:rsid w:val="00905E5F"/>
    <w:rsid w:val="0091204F"/>
    <w:rsid w:val="009203DB"/>
    <w:rsid w:val="00923CD4"/>
    <w:rsid w:val="00930EFE"/>
    <w:rsid w:val="00943386"/>
    <w:rsid w:val="009456B6"/>
    <w:rsid w:val="00957589"/>
    <w:rsid w:val="00966D06"/>
    <w:rsid w:val="00982412"/>
    <w:rsid w:val="00983A8D"/>
    <w:rsid w:val="009A0DB8"/>
    <w:rsid w:val="009A7257"/>
    <w:rsid w:val="009B13DE"/>
    <w:rsid w:val="009D6E0A"/>
    <w:rsid w:val="009E1E33"/>
    <w:rsid w:val="00A14672"/>
    <w:rsid w:val="00A26BD6"/>
    <w:rsid w:val="00A443CF"/>
    <w:rsid w:val="00A6611D"/>
    <w:rsid w:val="00A82CB7"/>
    <w:rsid w:val="00A942C1"/>
    <w:rsid w:val="00AA2F03"/>
    <w:rsid w:val="00AC36F7"/>
    <w:rsid w:val="00AC63A4"/>
    <w:rsid w:val="00AD239E"/>
    <w:rsid w:val="00AD538D"/>
    <w:rsid w:val="00B10265"/>
    <w:rsid w:val="00B16A99"/>
    <w:rsid w:val="00B21211"/>
    <w:rsid w:val="00B35784"/>
    <w:rsid w:val="00B733A7"/>
    <w:rsid w:val="00B75C91"/>
    <w:rsid w:val="00B94812"/>
    <w:rsid w:val="00B975AD"/>
    <w:rsid w:val="00BC45FB"/>
    <w:rsid w:val="00BF148D"/>
    <w:rsid w:val="00C23B1A"/>
    <w:rsid w:val="00C24A50"/>
    <w:rsid w:val="00C310EB"/>
    <w:rsid w:val="00C80856"/>
    <w:rsid w:val="00C848FD"/>
    <w:rsid w:val="00C9176A"/>
    <w:rsid w:val="00C93F6B"/>
    <w:rsid w:val="00CF1AA2"/>
    <w:rsid w:val="00D17774"/>
    <w:rsid w:val="00D44CDF"/>
    <w:rsid w:val="00D63620"/>
    <w:rsid w:val="00D8410D"/>
    <w:rsid w:val="00D867D7"/>
    <w:rsid w:val="00DB7060"/>
    <w:rsid w:val="00DD290C"/>
    <w:rsid w:val="00DE3153"/>
    <w:rsid w:val="00E06736"/>
    <w:rsid w:val="00E13C27"/>
    <w:rsid w:val="00E33BBD"/>
    <w:rsid w:val="00E374F2"/>
    <w:rsid w:val="00E45103"/>
    <w:rsid w:val="00E55A60"/>
    <w:rsid w:val="00E62778"/>
    <w:rsid w:val="00E63D38"/>
    <w:rsid w:val="00E665B9"/>
    <w:rsid w:val="00EA01E6"/>
    <w:rsid w:val="00EA3DE8"/>
    <w:rsid w:val="00EA758F"/>
    <w:rsid w:val="00ED4A6F"/>
    <w:rsid w:val="00EF3A3A"/>
    <w:rsid w:val="00F17485"/>
    <w:rsid w:val="00F628D6"/>
    <w:rsid w:val="00F67051"/>
    <w:rsid w:val="00F86A1E"/>
    <w:rsid w:val="00FA5E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="f" fillcolor="white">
      <v:fill color="white" on="f"/>
    </o:shapedefaults>
    <o:shapelayout v:ext="edit">
      <o:idmap v:ext="edit" data="1"/>
    </o:shapelayout>
  </w:shapeDefaults>
  <w:doNotEmbedSmartTags/>
  <w:decimalSymbol w:val="."/>
  <w:listSeparator w:val=","/>
  <w14:docId w14:val="7F6961A1"/>
  <w15:docId w15:val="{E7CC2A52-7C30-40EF-A06A-B08F5CE6E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85CFA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paragraphstyle">
    <w:name w:val="[No paragraph style]"/>
    <w:rsid w:val="00943386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Cover1-Reshumot">
    <w:name w:val="Cover 1-Reshumot"/>
    <w:basedOn w:val="a"/>
    <w:rsid w:val="00485CFA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485CFA"/>
    <w:rPr>
      <w:sz w:val="36"/>
      <w:szCs w:val="52"/>
    </w:rPr>
  </w:style>
  <w:style w:type="paragraph" w:customStyle="1" w:styleId="Cover3-Haknesset">
    <w:name w:val="Cover 3-Haknesset"/>
    <w:basedOn w:val="Cover1-Reshumot"/>
    <w:rsid w:val="00485CFA"/>
    <w:rPr>
      <w:b/>
      <w:bCs/>
      <w:spacing w:val="60"/>
    </w:rPr>
  </w:style>
  <w:style w:type="paragraph" w:customStyle="1" w:styleId="Cover4-Date">
    <w:name w:val="Cover 4-Date"/>
    <w:basedOn w:val="a"/>
    <w:rsid w:val="00485CFA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OC">
    <w:name w:val="TOC"/>
    <w:basedOn w:val="Noparagraphstyle"/>
    <w:rsid w:val="00943386"/>
    <w:pPr>
      <w:tabs>
        <w:tab w:val="left" w:leader="dot" w:pos="8789"/>
      </w:tabs>
      <w:spacing w:before="120"/>
      <w:ind w:left="284" w:right="284"/>
    </w:pPr>
  </w:style>
  <w:style w:type="paragraph" w:customStyle="1" w:styleId="TOCpg">
    <w:name w:val="TOC pg"/>
    <w:basedOn w:val="TOC"/>
    <w:rsid w:val="00943386"/>
    <w:pPr>
      <w:spacing w:after="120"/>
      <w:ind w:right="567"/>
      <w:jc w:val="right"/>
    </w:pPr>
  </w:style>
  <w:style w:type="paragraph" w:customStyle="1" w:styleId="HeadMitparsemetBaze">
    <w:name w:val="Head MitparsemetBaze"/>
    <w:basedOn w:val="a"/>
    <w:rsid w:val="00485CFA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">
    <w:name w:val="Head HatzaotHok"/>
    <w:basedOn w:val="a"/>
    <w:rsid w:val="00485CFA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4Futer">
    <w:name w:val="Head HatzaotHok4Futer"/>
    <w:basedOn w:val="HeadHatzaotHok"/>
    <w:rsid w:val="00485CFA"/>
    <w:pPr>
      <w:spacing w:before="120" w:after="120"/>
    </w:pPr>
    <w:rPr>
      <w:color w:val="FF0000"/>
      <w:w w:val="80"/>
    </w:rPr>
  </w:style>
  <w:style w:type="paragraph" w:styleId="a3">
    <w:name w:val="endnote text"/>
    <w:basedOn w:val="a"/>
    <w:semiHidden/>
    <w:rsid w:val="00485CFA"/>
    <w:pPr>
      <w:ind w:left="227" w:hanging="227"/>
    </w:pPr>
    <w:rPr>
      <w:sz w:val="14"/>
      <w:szCs w:val="22"/>
    </w:rPr>
  </w:style>
  <w:style w:type="paragraph" w:customStyle="1" w:styleId="TableText">
    <w:name w:val="Table Text"/>
    <w:basedOn w:val="a"/>
    <w:rsid w:val="00485CFA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485CFA"/>
  </w:style>
  <w:style w:type="paragraph" w:customStyle="1" w:styleId="TableBlock">
    <w:name w:val="Table Block"/>
    <w:basedOn w:val="TableText"/>
    <w:rsid w:val="00485CFA"/>
    <w:pPr>
      <w:ind w:right="0"/>
      <w:jc w:val="both"/>
    </w:pPr>
  </w:style>
  <w:style w:type="paragraph" w:customStyle="1" w:styleId="TableHead">
    <w:name w:val="Table Head"/>
    <w:basedOn w:val="TableText"/>
    <w:rsid w:val="00485CFA"/>
    <w:pPr>
      <w:ind w:right="0"/>
      <w:jc w:val="center"/>
    </w:pPr>
    <w:rPr>
      <w:b/>
      <w:bCs/>
    </w:rPr>
  </w:style>
  <w:style w:type="paragraph" w:customStyle="1" w:styleId="TableText2">
    <w:name w:val="Table Text2"/>
    <w:basedOn w:val="TableText"/>
    <w:rsid w:val="00943386"/>
  </w:style>
  <w:style w:type="paragraph" w:customStyle="1" w:styleId="TableInnerSideHeading">
    <w:name w:val="Table InnerSideHeading"/>
    <w:basedOn w:val="TableSideHeading"/>
    <w:rsid w:val="00485CFA"/>
  </w:style>
  <w:style w:type="paragraph" w:customStyle="1" w:styleId="Hesber">
    <w:name w:val="Hesber"/>
    <w:basedOn w:val="a"/>
    <w:rsid w:val="00485CFA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4">
    <w:name w:val="footnote text"/>
    <w:basedOn w:val="a"/>
    <w:link w:val="a5"/>
    <w:autoRedefine/>
    <w:semiHidden/>
    <w:rsid w:val="00485CFA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styleId="a6">
    <w:name w:val="footnote reference"/>
    <w:aliases w:val="Footnote Reference"/>
    <w:basedOn w:val="a0"/>
    <w:semiHidden/>
    <w:rsid w:val="00485CFA"/>
    <w:rPr>
      <w:vertAlign w:val="superscript"/>
    </w:rPr>
  </w:style>
  <w:style w:type="paragraph" w:customStyle="1" w:styleId="HesberHeading">
    <w:name w:val="Hesber Heading"/>
    <w:basedOn w:val="Hesber"/>
    <w:rsid w:val="00485CFA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485CFA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485CFA"/>
    <w:pPr>
      <w:tabs>
        <w:tab w:val="left" w:pos="680"/>
        <w:tab w:val="left" w:pos="1020"/>
      </w:tabs>
      <w:ind w:firstLine="0"/>
    </w:pPr>
  </w:style>
  <w:style w:type="character" w:styleId="a7">
    <w:name w:val="endnote reference"/>
    <w:basedOn w:val="a0"/>
    <w:semiHidden/>
    <w:rsid w:val="00485CFA"/>
    <w:rPr>
      <w:vertAlign w:val="superscript"/>
    </w:rPr>
  </w:style>
  <w:style w:type="paragraph" w:customStyle="1" w:styleId="TableBlockOutdent">
    <w:name w:val="Table BlockOutdent"/>
    <w:basedOn w:val="TableBlock"/>
    <w:rsid w:val="00485CFA"/>
    <w:pPr>
      <w:ind w:left="624" w:hanging="624"/>
    </w:pPr>
  </w:style>
  <w:style w:type="paragraph" w:styleId="a8">
    <w:name w:val="header"/>
    <w:basedOn w:val="a"/>
    <w:rsid w:val="00485CFA"/>
    <w:pPr>
      <w:tabs>
        <w:tab w:val="center" w:pos="4153"/>
        <w:tab w:val="right" w:pos="8306"/>
      </w:tabs>
    </w:pPr>
  </w:style>
  <w:style w:type="paragraph" w:styleId="a9">
    <w:name w:val="footer"/>
    <w:basedOn w:val="a"/>
    <w:rsid w:val="00485CFA"/>
    <w:pPr>
      <w:tabs>
        <w:tab w:val="center" w:pos="4153"/>
        <w:tab w:val="right" w:pos="8306"/>
      </w:tabs>
    </w:pPr>
  </w:style>
  <w:style w:type="paragraph" w:customStyle="1" w:styleId="HeadDivreiHesber">
    <w:name w:val="Head DivreiHesber"/>
    <w:basedOn w:val="a"/>
    <w:rsid w:val="00485CFA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paragraph" w:customStyle="1" w:styleId="Ragil">
    <w:name w:val="Ragil"/>
    <w:basedOn w:val="a"/>
    <w:rsid w:val="00485CFA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a">
    <w:name w:val="Title"/>
    <w:basedOn w:val="a"/>
    <w:qFormat/>
    <w:rsid w:val="00943386"/>
    <w:pPr>
      <w:jc w:val="center"/>
    </w:pPr>
    <w:rPr>
      <w:rFonts w:cs="David"/>
      <w:b/>
      <w:bCs/>
      <w:sz w:val="28"/>
      <w:szCs w:val="28"/>
      <w:u w:val="single"/>
    </w:rPr>
  </w:style>
  <w:style w:type="character" w:styleId="ab">
    <w:name w:val="page number"/>
    <w:basedOn w:val="a0"/>
    <w:rsid w:val="00485CFA"/>
  </w:style>
  <w:style w:type="paragraph" w:customStyle="1" w:styleId="David">
    <w:name w:val="רגיל + (עברית ושפות אחרות) David"/>
    <w:aliases w:val="‏13 נק',מודגש,אחרי:  6 נק'"/>
    <w:basedOn w:val="a"/>
    <w:rsid w:val="001207F8"/>
    <w:pPr>
      <w:ind w:firstLine="0"/>
      <w:jc w:val="left"/>
    </w:pPr>
    <w:rPr>
      <w:rFonts w:cs="David"/>
      <w:sz w:val="26"/>
      <w:szCs w:val="26"/>
    </w:rPr>
  </w:style>
  <w:style w:type="paragraph" w:styleId="ac">
    <w:name w:val="Balloon Text"/>
    <w:basedOn w:val="a"/>
    <w:link w:val="ad"/>
    <w:semiHidden/>
    <w:unhideWhenUsed/>
    <w:rsid w:val="00325C14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טקסט בלונים תו"/>
    <w:basedOn w:val="a0"/>
    <w:link w:val="ac"/>
    <w:semiHidden/>
    <w:rsid w:val="00325C14"/>
    <w:rPr>
      <w:rFonts w:ascii="Tahoma" w:hAnsi="Tahoma" w:cs="Tahoma"/>
      <w:color w:val="000000"/>
      <w:spacing w:val="1"/>
      <w:sz w:val="16"/>
      <w:szCs w:val="16"/>
      <w:lang w:eastAsia="ja-JP"/>
    </w:rPr>
  </w:style>
  <w:style w:type="character" w:customStyle="1" w:styleId="a5">
    <w:name w:val="טקסט הערת שוליים תו"/>
    <w:basedOn w:val="a0"/>
    <w:link w:val="a4"/>
    <w:semiHidden/>
    <w:rsid w:val="009B13DE"/>
    <w:rPr>
      <w:rFonts w:ascii="Arial" w:eastAsia="Arial Unicode MS" w:hAnsi="Arial" w:cs="David"/>
      <w:snapToGrid w:val="0"/>
      <w:color w:val="000000"/>
      <w:sz w:val="14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8091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F4AFE3-9455-419C-8851-785A55F44517}">
  <ds:schemaRefs>
    <ds:schemaRef ds:uri="http://purl.org/dc/terms/"/>
    <ds:schemaRef ds:uri="http://www.w3.org/XML/1998/namespace"/>
    <ds:schemaRef ds:uri="http://schemas.microsoft.com/office/2006/documentManagement/types"/>
    <ds:schemaRef ds:uri="http://purl.org/dc/dcmitype/"/>
    <ds:schemaRef ds:uri="http://schemas.openxmlformats.org/package/2006/metadata/core-properties"/>
    <ds:schemaRef ds:uri="http://schemas.microsoft.com/office/infopath/2007/PartnerControls"/>
    <ds:schemaRef ds:uri="http://schemas.microsoft.com/office/2006/metadata/properties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051EE375-3A01-493E-8820-811A8C3CEF3B}"/>
</file>

<file path=customXml/itemProps3.xml><?xml version="1.0" encoding="utf-8"?>
<ds:datastoreItem xmlns:ds="http://schemas.openxmlformats.org/officeDocument/2006/customXml" ds:itemID="{53CDC32B-DD97-493E-9196-3EF77D6F9C7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7EF2BE6-BC5A-4685-A0A0-67B9203CA9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2</Pages>
  <Words>312</Words>
  <Characters>1565</Characters>
  <Application>Microsoft Office Word</Application>
  <DocSecurity>0</DocSecurity>
  <Lines>13</Lines>
  <Paragraphs>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רשומות</vt:lpstr>
      <vt:lpstr>רשומות</vt:lpstr>
    </vt:vector>
  </TitlesOfParts>
  <Company>Knesset</Company>
  <LinksUpToDate>false</LinksUpToDate>
  <CharactersWithSpaces>1874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רשומות</dc:title>
  <dc:creator>מיקה צור</dc:creator>
  <cp:lastModifiedBy>לילך יעיש</cp:lastModifiedBy>
  <cp:revision>19</cp:revision>
  <cp:lastPrinted>2016-11-20T08:48:00Z</cp:lastPrinted>
  <dcterms:created xsi:type="dcterms:W3CDTF">2015-04-20T09:58:00Z</dcterms:created>
  <dcterms:modified xsi:type="dcterms:W3CDTF">2016-11-20T08:54:00Z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8badafff-95aa-4718-b074-a2d35988ffa8</vt:lpwstr>
  </property>
  <property fmtid="{D5CDD505-2E9C-101B-9397-08002B2CF9AE}" pid="4" name="SanhedrinDocumentType">
    <vt:r8>88</vt:r8>
  </property>
  <property fmtid="{D5CDD505-2E9C-101B-9397-08002B2CF9AE}" pid="5" name="SanhedrinItemID">
    <vt:r8>2018822</vt:r8>
  </property>
</Properties>
</file>