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576291</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099DAF7D" w:rsidR="00E13C27" w:rsidRPr="00CF1AA2" w:rsidRDefault="008F6665" w:rsidP="00F61C75">
      <w:pPr>
        <w:pStyle w:val="David"/>
        <w:spacing w:line="360" w:lineRule="auto"/>
        <w:ind w:left="3544"/>
        <w:rPr>
          <w:b/>
          <w:bCs/>
          <w:sz w:val="16"/>
          <w:szCs w:val="16"/>
          <w:rtl/>
        </w:rPr>
      </w:pPr>
      <w:bookmarkStart w:id="2" w:name="LGS_Initiators_List"/>
      <w:r>
        <w:rPr>
          <w:b/>
          <w:bCs/>
          <w:rtl/>
        </w:rPr>
        <w:t>יוזמות:      חברות הכנסת</w:t>
      </w:r>
      <w:bookmarkEnd w:id="2"/>
      <w:r w:rsidR="00B35784" w:rsidRPr="00F67051">
        <w:rPr>
          <w:b/>
          <w:bCs/>
        </w:rPr>
        <w:tab/>
      </w:r>
      <w:bookmarkStart w:id="3" w:name="LGS_PM_Names"/>
      <w:r>
        <w:rPr>
          <w:rFonts w:hint="cs"/>
          <w:b/>
          <w:bCs/>
          <w:rtl/>
        </w:rPr>
        <w:t>אורלי לוי אבקסיס</w:t>
      </w:r>
      <w:r>
        <w:br/>
      </w:r>
      <w:r>
        <w:rPr>
          <w:rFonts w:hint="cs"/>
          <w:b/>
          <w:bCs/>
          <w:rtl/>
        </w:rPr>
        <w:t xml:space="preserve"> </w:t>
      </w:r>
      <w:r>
        <w:tab/>
      </w:r>
      <w:r>
        <w:tab/>
      </w:r>
      <w:r>
        <w:tab/>
      </w:r>
      <w:r>
        <w:tab/>
      </w:r>
      <w:r>
        <w:rPr>
          <w:rFonts w:hint="cs"/>
          <w:b/>
          <w:bCs/>
          <w:rtl/>
        </w:rPr>
        <w:t>שרן השכל</w:t>
      </w:r>
      <w:bookmarkStart w:id="4" w:name="LGS_Join_List"/>
      <w:bookmarkStart w:id="5" w:name="_GoBack"/>
      <w:bookmarkEnd w:id="3"/>
      <w:bookmarkEnd w:id="5"/>
      <w:r w:rsidR="007D585A">
        <w:rPr>
          <w:rtl/>
        </w:rPr>
        <w:t xml:space="preserve"> </w:t>
      </w:r>
      <w:bookmarkEnd w:id="4"/>
      <w:r w:rsidR="002200A1" w:rsidRPr="00CF1AA2">
        <w:rPr>
          <w:rFonts w:hint="cs"/>
          <w:rtl/>
        </w:rPr>
        <w:tab/>
      </w:r>
      <w:bookmarkStart w:id="6" w:name="LGS_PM_NamesJoin"/>
      <w:r w:rsidR="007D585A">
        <w:rPr>
          <w:rFonts w:hint="cs"/>
          <w:rtl/>
        </w:rPr>
        <w:t xml:space="preserve"> </w:t>
      </w:r>
      <w:bookmarkEnd w:id="6"/>
    </w:p>
    <w:p w14:paraId="34DB4103" w14:textId="098AD3FF" w:rsidR="00904591" w:rsidRPr="008468B5" w:rsidRDefault="00266D86" w:rsidP="0036422C">
      <w:pPr>
        <w:pStyle w:val="David"/>
        <w:spacing w:before="0" w:line="360" w:lineRule="auto"/>
        <w:ind w:left="3544"/>
        <w:rPr>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r w:rsidR="008468B5">
        <w:rPr>
          <w:rFonts w:hint="cs"/>
          <w:rtl/>
        </w:rPr>
        <w:t>פ/2680/20</w:t>
      </w:r>
    </w:p>
    <w:p w14:paraId="7F6961AC" w14:textId="0C441AEF" w:rsidR="00E13C27" w:rsidRDefault="00904591" w:rsidP="00325494">
      <w:pPr>
        <w:pStyle w:val="David"/>
        <w:spacing w:before="0" w:line="240" w:lineRule="auto"/>
        <w:ind w:left="3544"/>
        <w:rPr>
          <w:rtl/>
        </w:rPr>
      </w:pPr>
      <w:r>
        <w:t xml:space="preserve">                                        </w:t>
      </w:r>
    </w:p>
    <w:p w14:paraId="7F6961AD" w14:textId="77777777" w:rsidR="00E13C27" w:rsidRPr="00F67051" w:rsidRDefault="00A443CF" w:rsidP="0021633A">
      <w:pPr>
        <w:pStyle w:val="HeadHatzaotHok"/>
        <w:rPr>
          <w:rtl/>
        </w:rPr>
      </w:pPr>
      <w:bookmarkStart w:id="7" w:name="LGS_Subject"/>
      <w:r>
        <w:rPr>
          <w:rFonts w:hint="cs"/>
          <w:rtl/>
        </w:rPr>
        <w:t>הצעת חוק גיל פרישה לאישה (תיקוני חקיקה), התשע"ו–2016</w:t>
      </w:r>
      <w:bookmarkEnd w:id="7"/>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0B1CD4" w14:paraId="5F11FF2F" w14:textId="77777777" w:rsidTr="000B1CD4">
        <w:trPr>
          <w:cantSplit/>
        </w:trPr>
        <w:tc>
          <w:tcPr>
            <w:tcW w:w="1871" w:type="dxa"/>
            <w:tcBorders>
              <w:top w:val="nil"/>
              <w:left w:val="nil"/>
              <w:bottom w:val="nil"/>
              <w:right w:val="nil"/>
            </w:tcBorders>
          </w:tcPr>
          <w:p w14:paraId="664066DF" w14:textId="77777777" w:rsidR="000B1CD4" w:rsidRDefault="000B1CD4" w:rsidP="00B0671F">
            <w:pPr>
              <w:pStyle w:val="TableSideHeading"/>
            </w:pPr>
            <w:r>
              <w:rPr>
                <w:sz w:val="26"/>
                <w:rtl/>
              </w:rPr>
              <w:t xml:space="preserve">תיקון </w:t>
            </w:r>
            <w:r>
              <w:rPr>
                <w:rFonts w:hint="cs"/>
                <w:sz w:val="26"/>
                <w:rtl/>
              </w:rPr>
              <w:t>חוק גיל פרישה</w:t>
            </w:r>
          </w:p>
        </w:tc>
        <w:tc>
          <w:tcPr>
            <w:tcW w:w="624" w:type="dxa"/>
            <w:tcBorders>
              <w:top w:val="nil"/>
              <w:left w:val="nil"/>
              <w:bottom w:val="nil"/>
              <w:right w:val="nil"/>
            </w:tcBorders>
          </w:tcPr>
          <w:p w14:paraId="4FB76283" w14:textId="77777777" w:rsidR="000B1CD4" w:rsidRDefault="000B1CD4" w:rsidP="00B0671F">
            <w:pPr>
              <w:pStyle w:val="TableText"/>
            </w:pPr>
            <w:r>
              <w:rPr>
                <w:sz w:val="26"/>
                <w:rtl/>
              </w:rPr>
              <w:t>1.</w:t>
            </w:r>
          </w:p>
        </w:tc>
        <w:tc>
          <w:tcPr>
            <w:tcW w:w="7146" w:type="dxa"/>
            <w:tcBorders>
              <w:top w:val="nil"/>
              <w:left w:val="nil"/>
              <w:bottom w:val="nil"/>
              <w:right w:val="nil"/>
            </w:tcBorders>
          </w:tcPr>
          <w:p w14:paraId="494B0BD6" w14:textId="77777777" w:rsidR="000B1CD4" w:rsidRDefault="000B1CD4" w:rsidP="00B0671F">
            <w:pPr>
              <w:pStyle w:val="TableBlock"/>
            </w:pPr>
            <w:r>
              <w:rPr>
                <w:sz w:val="26"/>
                <w:rtl/>
              </w:rPr>
              <w:t>בחוק גיל פרישה, התשס"ד–2004</w:t>
            </w:r>
            <w:r>
              <w:rPr>
                <w:rStyle w:val="a6"/>
                <w:sz w:val="26"/>
                <w:rtl/>
              </w:rPr>
              <w:footnoteReference w:id="2"/>
            </w:r>
            <w:r>
              <w:rPr>
                <w:sz w:val="26"/>
                <w:rtl/>
              </w:rPr>
              <w:t xml:space="preserve"> –</w:t>
            </w:r>
          </w:p>
        </w:tc>
      </w:tr>
      <w:tr w:rsidR="000B1CD4" w14:paraId="273E1FD1" w14:textId="77777777" w:rsidTr="000B1CD4">
        <w:trPr>
          <w:cantSplit/>
        </w:trPr>
        <w:tc>
          <w:tcPr>
            <w:tcW w:w="1871" w:type="dxa"/>
            <w:tcBorders>
              <w:top w:val="nil"/>
              <w:left w:val="nil"/>
              <w:bottom w:val="nil"/>
              <w:right w:val="nil"/>
            </w:tcBorders>
          </w:tcPr>
          <w:p w14:paraId="5077A43C" w14:textId="77777777" w:rsidR="000B1CD4" w:rsidRDefault="000B1CD4" w:rsidP="00B0671F">
            <w:pPr>
              <w:pStyle w:val="TableSideHeading"/>
              <w:rPr>
                <w:sz w:val="26"/>
              </w:rPr>
            </w:pPr>
          </w:p>
        </w:tc>
        <w:tc>
          <w:tcPr>
            <w:tcW w:w="624" w:type="dxa"/>
            <w:tcBorders>
              <w:top w:val="nil"/>
              <w:left w:val="nil"/>
              <w:bottom w:val="nil"/>
              <w:right w:val="nil"/>
            </w:tcBorders>
          </w:tcPr>
          <w:p w14:paraId="18E47CCC" w14:textId="77777777" w:rsidR="000B1CD4" w:rsidRDefault="000B1CD4" w:rsidP="00B0671F">
            <w:pPr>
              <w:pStyle w:val="TableText"/>
              <w:ind w:right="0"/>
              <w:jc w:val="both"/>
              <w:rPr>
                <w:sz w:val="26"/>
              </w:rPr>
            </w:pPr>
          </w:p>
        </w:tc>
        <w:tc>
          <w:tcPr>
            <w:tcW w:w="7146" w:type="dxa"/>
            <w:tcBorders>
              <w:top w:val="nil"/>
              <w:left w:val="nil"/>
              <w:bottom w:val="nil"/>
              <w:right w:val="nil"/>
            </w:tcBorders>
          </w:tcPr>
          <w:p w14:paraId="10946046" w14:textId="77777777" w:rsidR="000B1CD4" w:rsidRDefault="000B1CD4" w:rsidP="00B0671F">
            <w:pPr>
              <w:pStyle w:val="TableBlock"/>
              <w:rPr>
                <w:sz w:val="26"/>
              </w:rPr>
            </w:pPr>
            <w:r>
              <w:rPr>
                <w:sz w:val="26"/>
                <w:rtl/>
              </w:rPr>
              <w:t>(1)</w:t>
            </w:r>
            <w:r>
              <w:rPr>
                <w:sz w:val="26"/>
                <w:rtl/>
              </w:rPr>
              <w:tab/>
              <w:t>בסעיף 3, במקום "ובכפוף להוראות פרק ד' – גיל" יבוא "וגיל";</w:t>
            </w:r>
          </w:p>
        </w:tc>
      </w:tr>
      <w:tr w:rsidR="000B1CD4" w14:paraId="1AD4DE89" w14:textId="77777777" w:rsidTr="000B1CD4">
        <w:trPr>
          <w:cantSplit/>
        </w:trPr>
        <w:tc>
          <w:tcPr>
            <w:tcW w:w="1871" w:type="dxa"/>
            <w:tcBorders>
              <w:top w:val="nil"/>
              <w:left w:val="nil"/>
              <w:bottom w:val="nil"/>
              <w:right w:val="nil"/>
            </w:tcBorders>
          </w:tcPr>
          <w:p w14:paraId="15576C38" w14:textId="77777777" w:rsidR="000B1CD4" w:rsidRDefault="000B1CD4" w:rsidP="00B0671F">
            <w:pPr>
              <w:pStyle w:val="TableSideHeading"/>
            </w:pPr>
          </w:p>
        </w:tc>
        <w:tc>
          <w:tcPr>
            <w:tcW w:w="624" w:type="dxa"/>
            <w:tcBorders>
              <w:top w:val="nil"/>
              <w:left w:val="nil"/>
              <w:bottom w:val="nil"/>
              <w:right w:val="nil"/>
            </w:tcBorders>
          </w:tcPr>
          <w:p w14:paraId="55DF6B45" w14:textId="77777777" w:rsidR="000B1CD4" w:rsidRDefault="000B1CD4" w:rsidP="00B0671F">
            <w:pPr>
              <w:pStyle w:val="TableText"/>
            </w:pPr>
          </w:p>
        </w:tc>
        <w:tc>
          <w:tcPr>
            <w:tcW w:w="7146" w:type="dxa"/>
            <w:tcBorders>
              <w:top w:val="nil"/>
              <w:left w:val="nil"/>
              <w:bottom w:val="nil"/>
              <w:right w:val="nil"/>
            </w:tcBorders>
          </w:tcPr>
          <w:p w14:paraId="7723287B" w14:textId="77777777" w:rsidR="000B1CD4" w:rsidRDefault="000B1CD4" w:rsidP="00B0671F">
            <w:pPr>
              <w:pStyle w:val="TableBlock"/>
            </w:pPr>
            <w:r>
              <w:rPr>
                <w:sz w:val="26"/>
                <w:rtl/>
              </w:rPr>
              <w:t>(2)</w:t>
            </w:r>
            <w:r>
              <w:rPr>
                <w:sz w:val="26"/>
                <w:rtl/>
              </w:rPr>
              <w:tab/>
              <w:t>בסעיף 6(3), במקום הסיפה החל במילה "בכפוף" יבוא "גיל 62";</w:t>
            </w:r>
          </w:p>
        </w:tc>
      </w:tr>
      <w:tr w:rsidR="000B1CD4" w14:paraId="6335C819" w14:textId="77777777" w:rsidTr="000B1CD4">
        <w:trPr>
          <w:cantSplit/>
        </w:trPr>
        <w:tc>
          <w:tcPr>
            <w:tcW w:w="1871" w:type="dxa"/>
            <w:tcBorders>
              <w:top w:val="nil"/>
              <w:left w:val="nil"/>
              <w:bottom w:val="nil"/>
              <w:right w:val="nil"/>
            </w:tcBorders>
          </w:tcPr>
          <w:p w14:paraId="7369FE2A" w14:textId="77777777" w:rsidR="000B1CD4" w:rsidRDefault="000B1CD4" w:rsidP="00B0671F">
            <w:pPr>
              <w:pStyle w:val="TableSideHeading"/>
            </w:pPr>
          </w:p>
        </w:tc>
        <w:tc>
          <w:tcPr>
            <w:tcW w:w="624" w:type="dxa"/>
            <w:tcBorders>
              <w:top w:val="nil"/>
              <w:left w:val="nil"/>
              <w:bottom w:val="nil"/>
              <w:right w:val="nil"/>
            </w:tcBorders>
          </w:tcPr>
          <w:p w14:paraId="44488DA4" w14:textId="77777777" w:rsidR="000B1CD4" w:rsidRDefault="000B1CD4" w:rsidP="00B0671F">
            <w:pPr>
              <w:pStyle w:val="TableText"/>
            </w:pPr>
          </w:p>
        </w:tc>
        <w:tc>
          <w:tcPr>
            <w:tcW w:w="7146" w:type="dxa"/>
            <w:tcBorders>
              <w:top w:val="nil"/>
              <w:left w:val="nil"/>
              <w:bottom w:val="nil"/>
              <w:right w:val="nil"/>
            </w:tcBorders>
          </w:tcPr>
          <w:p w14:paraId="2E6E9423" w14:textId="77777777" w:rsidR="000B1CD4" w:rsidRDefault="000B1CD4" w:rsidP="00B0671F">
            <w:pPr>
              <w:pStyle w:val="TableBlock"/>
            </w:pPr>
            <w:r>
              <w:rPr>
                <w:sz w:val="26"/>
                <w:rtl/>
              </w:rPr>
              <w:t xml:space="preserve">(3) </w:t>
            </w:r>
            <w:r>
              <w:rPr>
                <w:sz w:val="26"/>
                <w:rtl/>
              </w:rPr>
              <w:tab/>
              <w:t xml:space="preserve">פרק ד' – בטל; </w:t>
            </w:r>
          </w:p>
        </w:tc>
      </w:tr>
      <w:tr w:rsidR="000B1CD4" w14:paraId="6244D4E4" w14:textId="77777777" w:rsidTr="000B1CD4">
        <w:trPr>
          <w:cantSplit/>
        </w:trPr>
        <w:tc>
          <w:tcPr>
            <w:tcW w:w="1871" w:type="dxa"/>
            <w:tcBorders>
              <w:top w:val="nil"/>
              <w:left w:val="nil"/>
              <w:bottom w:val="nil"/>
              <w:right w:val="nil"/>
            </w:tcBorders>
          </w:tcPr>
          <w:p w14:paraId="214A4891" w14:textId="77777777" w:rsidR="000B1CD4" w:rsidRDefault="000B1CD4" w:rsidP="00B0671F">
            <w:pPr>
              <w:pStyle w:val="TableSideHeading"/>
            </w:pPr>
          </w:p>
        </w:tc>
        <w:tc>
          <w:tcPr>
            <w:tcW w:w="624" w:type="dxa"/>
            <w:tcBorders>
              <w:top w:val="nil"/>
              <w:left w:val="nil"/>
              <w:bottom w:val="nil"/>
              <w:right w:val="nil"/>
            </w:tcBorders>
          </w:tcPr>
          <w:p w14:paraId="39CEA237" w14:textId="77777777" w:rsidR="000B1CD4" w:rsidRDefault="000B1CD4" w:rsidP="00B0671F">
            <w:pPr>
              <w:pStyle w:val="TableText"/>
            </w:pPr>
          </w:p>
        </w:tc>
        <w:tc>
          <w:tcPr>
            <w:tcW w:w="7146" w:type="dxa"/>
            <w:tcBorders>
              <w:top w:val="nil"/>
              <w:left w:val="nil"/>
              <w:bottom w:val="nil"/>
              <w:right w:val="nil"/>
            </w:tcBorders>
          </w:tcPr>
          <w:p w14:paraId="4731F305" w14:textId="752F6A67" w:rsidR="000B1CD4" w:rsidRDefault="000B1CD4" w:rsidP="00B0671F">
            <w:pPr>
              <w:pStyle w:val="TableBlock"/>
            </w:pPr>
            <w:r>
              <w:rPr>
                <w:sz w:val="26"/>
                <w:rtl/>
              </w:rPr>
              <w:t>(4)</w:t>
            </w:r>
            <w:r>
              <w:rPr>
                <w:sz w:val="26"/>
                <w:rtl/>
              </w:rPr>
              <w:tab/>
              <w:t>בתוספת, בחלק ב', במקום הקטע החל במילים "מאי 1947" ועד</w:t>
            </w:r>
            <w:r w:rsidR="00FA56DD">
              <w:rPr>
                <w:rFonts w:hint="cs"/>
                <w:sz w:val="26"/>
                <w:rtl/>
              </w:rPr>
              <w:t xml:space="preserve"> המילה</w:t>
            </w:r>
            <w:r w:rsidR="008468B5">
              <w:rPr>
                <w:sz w:val="26"/>
                <w:rtl/>
              </w:rPr>
              <w:t xml:space="preserve"> "64"</w:t>
            </w:r>
            <w:r>
              <w:rPr>
                <w:sz w:val="26"/>
                <w:rtl/>
              </w:rPr>
              <w:t xml:space="preserve"> יבוא "מאי 1947 ואילך 62".</w:t>
            </w:r>
          </w:p>
        </w:tc>
      </w:tr>
      <w:tr w:rsidR="000B1CD4" w14:paraId="294F3AEC" w14:textId="77777777" w:rsidTr="000B1CD4">
        <w:trPr>
          <w:cantSplit/>
        </w:trPr>
        <w:tc>
          <w:tcPr>
            <w:tcW w:w="1871" w:type="dxa"/>
            <w:tcBorders>
              <w:top w:val="nil"/>
              <w:left w:val="nil"/>
              <w:bottom w:val="nil"/>
              <w:right w:val="nil"/>
            </w:tcBorders>
          </w:tcPr>
          <w:p w14:paraId="05A81303" w14:textId="77777777" w:rsidR="000B1CD4" w:rsidRDefault="000B1CD4" w:rsidP="00B0671F">
            <w:pPr>
              <w:pStyle w:val="TableSideHeading"/>
              <w:rPr>
                <w:sz w:val="26"/>
              </w:rPr>
            </w:pPr>
            <w:r>
              <w:rPr>
                <w:sz w:val="26"/>
                <w:rtl/>
              </w:rPr>
              <w:t>תיקון חוק הביטוח הלאומי</w:t>
            </w:r>
          </w:p>
        </w:tc>
        <w:tc>
          <w:tcPr>
            <w:tcW w:w="624" w:type="dxa"/>
            <w:tcBorders>
              <w:top w:val="nil"/>
              <w:left w:val="nil"/>
              <w:bottom w:val="nil"/>
              <w:right w:val="nil"/>
            </w:tcBorders>
          </w:tcPr>
          <w:p w14:paraId="1BEE07F3" w14:textId="77777777" w:rsidR="000B1CD4" w:rsidRDefault="000B1CD4" w:rsidP="00B0671F">
            <w:pPr>
              <w:pStyle w:val="TableText"/>
              <w:rPr>
                <w:sz w:val="26"/>
              </w:rPr>
            </w:pPr>
            <w:r>
              <w:rPr>
                <w:sz w:val="26"/>
                <w:rtl/>
              </w:rPr>
              <w:t>2.</w:t>
            </w:r>
          </w:p>
        </w:tc>
        <w:tc>
          <w:tcPr>
            <w:tcW w:w="7146" w:type="dxa"/>
            <w:tcBorders>
              <w:top w:val="nil"/>
              <w:left w:val="nil"/>
              <w:bottom w:val="nil"/>
              <w:right w:val="nil"/>
            </w:tcBorders>
          </w:tcPr>
          <w:p w14:paraId="15B3AF0D" w14:textId="18600AC3" w:rsidR="000B1CD4" w:rsidRDefault="000B1CD4" w:rsidP="00B0671F">
            <w:pPr>
              <w:pStyle w:val="TableBlock"/>
              <w:rPr>
                <w:sz w:val="26"/>
              </w:rPr>
            </w:pPr>
            <w:r>
              <w:rPr>
                <w:sz w:val="26"/>
                <w:rtl/>
              </w:rPr>
              <w:t>בחוק הביטוח הלאומי [נוסח משולב], התשנ"ה–1995</w:t>
            </w:r>
            <w:r>
              <w:rPr>
                <w:rStyle w:val="a6"/>
                <w:sz w:val="26"/>
                <w:rtl/>
              </w:rPr>
              <w:footnoteReference w:id="3"/>
            </w:r>
            <w:r>
              <w:rPr>
                <w:sz w:val="26"/>
                <w:rtl/>
              </w:rPr>
              <w:t xml:space="preserve">, בלוח א'1, בחלק א', בטבלה שכותרתה "לאישה", במקום הקטע החל במילים "מאי 1947" ועד </w:t>
            </w:r>
            <w:r w:rsidR="00FA56DD">
              <w:rPr>
                <w:rFonts w:hint="cs"/>
                <w:sz w:val="26"/>
                <w:rtl/>
              </w:rPr>
              <w:t xml:space="preserve">המילה </w:t>
            </w:r>
            <w:r>
              <w:rPr>
                <w:sz w:val="26"/>
                <w:rtl/>
              </w:rPr>
              <w:t>"64", יבוא "מאי 1947 ואילך 62".</w:t>
            </w:r>
          </w:p>
        </w:tc>
      </w:tr>
    </w:tbl>
    <w:p w14:paraId="7F6961CA" w14:textId="77777777" w:rsidR="002D1EE3" w:rsidRDefault="002D1EE3" w:rsidP="002D1EE3">
      <w:pPr>
        <w:pStyle w:val="HeadDivreiHesber"/>
        <w:rPr>
          <w:rtl/>
        </w:rPr>
      </w:pPr>
      <w:r w:rsidRPr="0027450A">
        <w:rPr>
          <w:rFonts w:hint="cs"/>
          <w:rtl/>
        </w:rPr>
        <w:t>דברי הסבר</w:t>
      </w:r>
    </w:p>
    <w:p w14:paraId="25E384C2" w14:textId="77777777" w:rsidR="000B1CD4" w:rsidRDefault="000B1CD4" w:rsidP="000B1CD4">
      <w:pPr>
        <w:pStyle w:val="Hesber"/>
        <w:rPr>
          <w:sz w:val="26"/>
          <w:rtl/>
        </w:rPr>
      </w:pPr>
      <w:r>
        <w:rPr>
          <w:sz w:val="26"/>
          <w:rtl/>
        </w:rPr>
        <w:t xml:space="preserve">בינואר 2004 </w:t>
      </w:r>
      <w:r>
        <w:rPr>
          <w:rFonts w:hint="cs"/>
          <w:sz w:val="26"/>
          <w:rtl/>
        </w:rPr>
        <w:t>התקבל</w:t>
      </w:r>
      <w:r>
        <w:rPr>
          <w:sz w:val="26"/>
          <w:rtl/>
        </w:rPr>
        <w:t xml:space="preserve"> </w:t>
      </w:r>
      <w:r>
        <w:rPr>
          <w:rFonts w:hint="cs"/>
          <w:sz w:val="26"/>
          <w:rtl/>
        </w:rPr>
        <w:t>ב</w:t>
      </w:r>
      <w:r>
        <w:rPr>
          <w:sz w:val="26"/>
          <w:rtl/>
        </w:rPr>
        <w:t xml:space="preserve">כנסת חוק שעיקרו העלאת גיל הזכאות לפנסיה לנשים וגברים. בעוד לגברים עלה גיל הזכאות לפרישה בשנתיים מ-65 ל-67, הרי שלנשים הועלה גיל הפרישה הראשוני ב-4 שנים מגיל 60 ל-64. הכנסת קבעה אמנם בחוק כי תוקם ועדה לבחינת העלאת גיל הפרישה לנשים, אולם במקביל נקבע גם מנגנון אוטומטי המאפשר את העלאת גיל הפרישה ל-64. שינוי זה של גיל הפרישה הוא בעל השלכות מרחיקות לכת על ציבור הנשים העובדות בישראל. </w:t>
      </w:r>
    </w:p>
    <w:p w14:paraId="2468C664" w14:textId="1DE3BBE8" w:rsidR="000B1CD4" w:rsidRDefault="000B1CD4" w:rsidP="008468B5">
      <w:pPr>
        <w:pStyle w:val="Hesber"/>
      </w:pPr>
      <w:r>
        <w:rPr>
          <w:sz w:val="26"/>
          <w:rtl/>
        </w:rPr>
        <w:t xml:space="preserve">הצעת חוק זו נכתבה בשיתוף פעולה עם ארגון נעמ"ת, </w:t>
      </w:r>
      <w:r>
        <w:rPr>
          <w:rFonts w:hint="cs"/>
          <w:sz w:val="26"/>
          <w:rtl/>
        </w:rPr>
        <w:t xml:space="preserve">שהצביע </w:t>
      </w:r>
      <w:r>
        <w:rPr>
          <w:sz w:val="26"/>
          <w:rtl/>
        </w:rPr>
        <w:t xml:space="preserve"> עוד בטרם התקבל החוק </w:t>
      </w:r>
      <w:r>
        <w:rPr>
          <w:rFonts w:hint="cs"/>
          <w:sz w:val="26"/>
          <w:rtl/>
        </w:rPr>
        <w:t xml:space="preserve">כי יש </w:t>
      </w:r>
      <w:r>
        <w:rPr>
          <w:sz w:val="26"/>
          <w:rtl/>
        </w:rPr>
        <w:t>לבחון את כל השלכותיו על שוק העבודה בכלל ועל ציבור הנשים בפרט, וכי בהתאם להמלצות דוח הוועדה הציבורית לבחינת גיל הפרישה מהעבודה בראשות השופטת שושנה נתניהו (להלן</w:t>
      </w:r>
      <w:r>
        <w:rPr>
          <w:rFonts w:hint="cs"/>
          <w:sz w:val="26"/>
          <w:rtl/>
        </w:rPr>
        <w:t xml:space="preserve"> –</w:t>
      </w:r>
      <w:r>
        <w:rPr>
          <w:sz w:val="26"/>
          <w:rtl/>
        </w:rPr>
        <w:t xml:space="preserve"> דוח נתניהו), יש לפעול </w:t>
      </w:r>
      <w:r>
        <w:rPr>
          <w:sz w:val="26"/>
          <w:rtl/>
        </w:rPr>
        <w:lastRenderedPageBreak/>
        <w:t>להחלתם של מנגנוני בקרה וקידום שוויון, בדרך של חקיקת חוק לעידוד תעסוקת נשים בגילאים המבוגרים וייסודה של ועדת מעקב שתבטיח השוואת זכויות לנשים בשוק העבודה</w:t>
      </w:r>
      <w:r>
        <w:rPr>
          <w:rFonts w:hint="cs"/>
          <w:sz w:val="26"/>
          <w:rtl/>
        </w:rPr>
        <w:t>,</w:t>
      </w:r>
      <w:r>
        <w:rPr>
          <w:sz w:val="26"/>
          <w:rtl/>
        </w:rPr>
        <w:t xml:space="preserve"> מבחינת שיעורי העסקתן של נשים ופערי השכר בינן לבין עובדים גברים. להמלצות חשובות אלה אין זכר בחוק גיל פרישה, </w:t>
      </w:r>
      <w:r>
        <w:rPr>
          <w:rFonts w:hint="cs"/>
          <w:sz w:val="26"/>
          <w:rtl/>
        </w:rPr>
        <w:t>ו</w:t>
      </w:r>
      <w:r>
        <w:rPr>
          <w:sz w:val="26"/>
          <w:rtl/>
        </w:rPr>
        <w:t>בלעדיהן דחיית גיל הפרישה רק מביא</w:t>
      </w:r>
      <w:r>
        <w:rPr>
          <w:rFonts w:hint="cs"/>
          <w:sz w:val="26"/>
          <w:rtl/>
        </w:rPr>
        <w:t>ה</w:t>
      </w:r>
      <w:r>
        <w:rPr>
          <w:sz w:val="26"/>
          <w:rtl/>
        </w:rPr>
        <w:t xml:space="preserve"> עמ</w:t>
      </w:r>
      <w:r>
        <w:rPr>
          <w:rFonts w:hint="cs"/>
          <w:sz w:val="26"/>
          <w:rtl/>
        </w:rPr>
        <w:t>ה</w:t>
      </w:r>
      <w:r>
        <w:rPr>
          <w:sz w:val="26"/>
          <w:rtl/>
        </w:rPr>
        <w:t xml:space="preserve"> הרחבה ניכרת של מעגל העוני בקרב נשים.</w:t>
      </w:r>
    </w:p>
    <w:p w14:paraId="628FC1D8" w14:textId="77777777" w:rsidR="000B1CD4" w:rsidRDefault="000B1CD4" w:rsidP="000B1CD4">
      <w:pPr>
        <w:pStyle w:val="Hesber"/>
      </w:pPr>
      <w:r>
        <w:rPr>
          <w:sz w:val="26"/>
          <w:rtl/>
        </w:rPr>
        <w:t>נשים, על פי כל הנתונים, הן עדיין סקטור מופלה לרעה בשוק העבודה בכלל ובגילאים המבוגרים בפרט. כך, מנתוני הלשכה המרכזית לסטטיסטיקה, מדי שנה, עולה כי חרף עלייה של ממש ברמת ההשכלה של נשים ובאחוז השתתפותן בשוק העבודה, מעמד האישה והשוויון בשוק העבודה עדיין רחוקים מלהשביע רצון. יתרה מכך, נשים נפלטות משוק העבודה טרם הגיען לגיל 60. לפיכך, דחיית גיל הזכאות לפנסיה, ללא יצירת תשתית רצינית של תעסוקה שווה וראויה לנשים, דנה ציבור גדול של נשים לחיי עוני ומחסור עד הגיען לגיל הזכאות הראשון.</w:t>
      </w:r>
    </w:p>
    <w:p w14:paraId="400C5B4D" w14:textId="77777777" w:rsidR="000B1CD4" w:rsidRDefault="000B1CD4" w:rsidP="000B1CD4">
      <w:pPr>
        <w:pStyle w:val="Hesber"/>
        <w:rPr>
          <w:sz w:val="26"/>
          <w:rtl/>
        </w:rPr>
      </w:pPr>
      <w:r>
        <w:rPr>
          <w:sz w:val="26"/>
          <w:rtl/>
        </w:rPr>
        <w:t>בנוסף, אחוז גבוה מאד של נשים מועסקות בתחומים עתירי שחיקה כגון מטפלות וסייעות בגנים, אחיות בבתי חולים, פועלות תעשייה בקווי יצור וכדומה. במקצועות אלה, הן טובת העובדת והן טובת המערכת, מחייב</w:t>
      </w:r>
      <w:r>
        <w:rPr>
          <w:rFonts w:hint="cs"/>
          <w:sz w:val="26"/>
          <w:rtl/>
        </w:rPr>
        <w:t>ת</w:t>
      </w:r>
      <w:r>
        <w:rPr>
          <w:sz w:val="26"/>
          <w:rtl/>
        </w:rPr>
        <w:t xml:space="preserve"> מתן אפשרות לפרישה מוקדמת. העלאת גיל הפרישה גורמת לתופעה קשה ובלתי אנושית: מחד</w:t>
      </w:r>
      <w:r>
        <w:rPr>
          <w:rFonts w:hint="cs"/>
          <w:sz w:val="26"/>
          <w:rtl/>
        </w:rPr>
        <w:t xml:space="preserve"> גיסא</w:t>
      </w:r>
      <w:r>
        <w:rPr>
          <w:sz w:val="26"/>
          <w:rtl/>
        </w:rPr>
        <w:t>, העובדת אינה מסוגלת להמשיך בעבודתה, ומאידך</w:t>
      </w:r>
      <w:r>
        <w:rPr>
          <w:rFonts w:hint="cs"/>
          <w:sz w:val="26"/>
          <w:rtl/>
        </w:rPr>
        <w:t xml:space="preserve"> גיסא</w:t>
      </w:r>
      <w:r>
        <w:rPr>
          <w:sz w:val="26"/>
          <w:rtl/>
        </w:rPr>
        <w:t xml:space="preserve">, אינה זכאית לגמלה פנסיונית ואף לא לקצבה מהמוסד לביטוח לאומי. חוק גיל פרישה הביא לדחייה בגיל הפרישה אך לא קבע חובה להמשיך ולהעסיק את העובדת והעובד. כתוצאה מכך נוצר מצב בו עובדים, ובעיקר עובדות, מוצאים עצמם מפוטרים מעבודתם, ובשל </w:t>
      </w:r>
      <w:r>
        <w:rPr>
          <w:rFonts w:hint="cs"/>
          <w:sz w:val="26"/>
          <w:rtl/>
        </w:rPr>
        <w:t>ה</w:t>
      </w:r>
      <w:r>
        <w:rPr>
          <w:sz w:val="26"/>
          <w:rtl/>
        </w:rPr>
        <w:t>פליית גיל סמויה או גלויה, אין להם כל סיכוי אמיתי להיקלט במקום עבודה חלופי.</w:t>
      </w:r>
    </w:p>
    <w:p w14:paraId="35177F07" w14:textId="0342E72D" w:rsidR="000B1CD4" w:rsidRDefault="000B1CD4" w:rsidP="008468B5">
      <w:pPr>
        <w:pStyle w:val="Hesber"/>
        <w:rPr>
          <w:sz w:val="26"/>
          <w:rtl/>
        </w:rPr>
      </w:pPr>
      <w:r>
        <w:rPr>
          <w:sz w:val="26"/>
          <w:rtl/>
        </w:rPr>
        <w:t>ית</w:t>
      </w:r>
      <w:r w:rsidRPr="00336725">
        <w:rPr>
          <w:sz w:val="26"/>
          <w:rtl/>
        </w:rPr>
        <w:t xml:space="preserve">רה מכך, נשים עובדות אינן יכולות לפרוש פרישה מוקדמת, בשל הקנס הכבד המוטל על פי </w:t>
      </w:r>
      <w:r>
        <w:rPr>
          <w:rFonts w:hint="cs"/>
          <w:sz w:val="26"/>
          <w:rtl/>
        </w:rPr>
        <w:t>ההוראות המסדירות את הפנסיה</w:t>
      </w:r>
      <w:r w:rsidRPr="00D35398">
        <w:rPr>
          <w:sz w:val="26"/>
          <w:rtl/>
        </w:rPr>
        <w:t xml:space="preserve"> </w:t>
      </w:r>
      <w:r w:rsidRPr="00336725">
        <w:rPr>
          <w:sz w:val="26"/>
          <w:rtl/>
        </w:rPr>
        <w:t xml:space="preserve">על כל עובדת הפורשת בטרם עת: העובדת מאבדת </w:t>
      </w:r>
      <w:r w:rsidRPr="00D35398">
        <w:rPr>
          <w:rFonts w:hint="eastAsia"/>
          <w:sz w:val="26"/>
          <w:rtl/>
        </w:rPr>
        <w:t>נתח</w:t>
      </w:r>
      <w:r w:rsidRPr="00D35398">
        <w:rPr>
          <w:sz w:val="26"/>
          <w:rtl/>
        </w:rPr>
        <w:t xml:space="preserve"> ניכר מהפנסיה </w:t>
      </w:r>
      <w:r w:rsidRPr="00336725">
        <w:rPr>
          <w:sz w:val="26"/>
          <w:rtl/>
        </w:rPr>
        <w:t>בגין כל שנת הקדמה בפרישה.</w:t>
      </w:r>
      <w:r>
        <w:rPr>
          <w:sz w:val="26"/>
          <w:rtl/>
        </w:rPr>
        <w:t xml:space="preserve"> נשים, בדרך כלל, גם צוברות פחות זכויות פנסיה מגברים, בשל היותן אימהות והמטפל העיקרי בבית. כך הן נפגעות פגיעה כפולה ומכופלת.</w:t>
      </w:r>
    </w:p>
    <w:p w14:paraId="6170F227" w14:textId="77777777" w:rsidR="000B1CD4" w:rsidRDefault="000B1CD4" w:rsidP="000B1CD4">
      <w:pPr>
        <w:pStyle w:val="Hesber"/>
        <w:rPr>
          <w:sz w:val="26"/>
          <w:rtl/>
        </w:rPr>
      </w:pPr>
      <w:r>
        <w:rPr>
          <w:sz w:val="26"/>
          <w:rtl/>
        </w:rPr>
        <w:t xml:space="preserve">מכל האמור לעיל עולה כי דחיית גיל הפרישה הראשון לנשים לגיל 64 מהווה פגיעה בלתי מידתית בציבור הנשים ונוגדת את זכויות היסוד של נשים לשוויון הזדמנויות, לקניין ולקיום בכבוד. </w:t>
      </w:r>
    </w:p>
    <w:p w14:paraId="4506AE5D" w14:textId="77777777" w:rsidR="000B1CD4" w:rsidRDefault="000B1CD4" w:rsidP="000B1CD4">
      <w:pPr>
        <w:pStyle w:val="Hesber"/>
        <w:rPr>
          <w:sz w:val="26"/>
          <w:rtl/>
        </w:rPr>
      </w:pPr>
      <w:r>
        <w:rPr>
          <w:sz w:val="26"/>
          <w:rtl/>
        </w:rPr>
        <w:t>לפיכך יש לשנות את חוק גיל פרישה באופן שגיל הפרישה הראשון לנשים יהיה 62 לכל היותר.</w:t>
      </w:r>
    </w:p>
    <w:p w14:paraId="2C5C0AB7" w14:textId="77777777" w:rsidR="000B1CD4" w:rsidRDefault="000B1CD4" w:rsidP="000B1CD4">
      <w:pPr>
        <w:pStyle w:val="Hesber"/>
        <w:rPr>
          <w:sz w:val="26"/>
          <w:rtl/>
        </w:rPr>
      </w:pPr>
      <w:r>
        <w:rPr>
          <w:sz w:val="26"/>
          <w:rtl/>
        </w:rPr>
        <w:t>הצעות חוק דומות בעיקרן הונחו על שולחן הכנסת השבע-עשרה על ידי חברת הכנסת שלי יחימוביץ' (פ/2984/17), על שולחן הכנסת השמונה-עשרה על ידי חברי הכנסת שלי יחימוביץ' וחיים כץ (פ/1086/18), על ידי חבר הכנסת מוחמד ברכה וקבוצת חברי הכנסת (פ/531/18), על ידי חברת הכנסת זהבה גלאון וקבוצת חברי הכנסת (פ/3168/18), ועל ידי חברת הכנסת ציפי חוטובלי וקבוצת חברי הכנסת (פ/3391/18).</w:t>
      </w:r>
    </w:p>
    <w:p w14:paraId="7F6961CB" w14:textId="34D2AE6E" w:rsidR="00E13C27" w:rsidRDefault="000B1CD4" w:rsidP="008D496E">
      <w:pPr>
        <w:pStyle w:val="Hesber"/>
        <w:rPr>
          <w:sz w:val="26"/>
          <w:rtl/>
        </w:rPr>
      </w:pPr>
      <w:r>
        <w:rPr>
          <w:sz w:val="26"/>
          <w:rtl/>
        </w:rPr>
        <w:t>הצע</w:t>
      </w:r>
      <w:r w:rsidR="008D496E">
        <w:rPr>
          <w:rFonts w:hint="cs"/>
          <w:sz w:val="26"/>
          <w:rtl/>
        </w:rPr>
        <w:t>ו</w:t>
      </w:r>
      <w:r>
        <w:rPr>
          <w:sz w:val="26"/>
          <w:rtl/>
        </w:rPr>
        <w:t>ת חוק זה</w:t>
      </w:r>
      <w:r w:rsidR="008D496E">
        <w:rPr>
          <w:rFonts w:hint="cs"/>
          <w:sz w:val="26"/>
          <w:rtl/>
        </w:rPr>
        <w:t>ות</w:t>
      </w:r>
      <w:r>
        <w:rPr>
          <w:sz w:val="26"/>
          <w:rtl/>
        </w:rPr>
        <w:t xml:space="preserve"> הונח</w:t>
      </w:r>
      <w:r w:rsidR="008D496E">
        <w:rPr>
          <w:rFonts w:hint="cs"/>
          <w:sz w:val="26"/>
          <w:rtl/>
        </w:rPr>
        <w:t>ו</w:t>
      </w:r>
      <w:r>
        <w:rPr>
          <w:sz w:val="26"/>
          <w:rtl/>
        </w:rPr>
        <w:t xml:space="preserve"> על שולחן הכנסת התשע-עשרה</w:t>
      </w:r>
      <w:r w:rsidR="008D496E">
        <w:rPr>
          <w:rFonts w:hint="cs"/>
          <w:sz w:val="26"/>
          <w:rtl/>
        </w:rPr>
        <w:t xml:space="preserve"> ועל שולחן הכנסת העשרים</w:t>
      </w:r>
      <w:r>
        <w:rPr>
          <w:sz w:val="26"/>
          <w:rtl/>
        </w:rPr>
        <w:t xml:space="preserve"> על ידי חברת הכנסת זהבה גלאון וקבוצת חברי הכנסת (</w:t>
      </w:r>
      <w:bookmarkStart w:id="8" w:name="LawNum"/>
      <w:r>
        <w:rPr>
          <w:sz w:val="26"/>
          <w:rtl/>
        </w:rPr>
        <w:t>פ/783/19</w:t>
      </w:r>
      <w:bookmarkEnd w:id="8"/>
      <w:r w:rsidR="008D496E">
        <w:rPr>
          <w:rFonts w:hint="cs"/>
          <w:sz w:val="26"/>
          <w:rtl/>
        </w:rPr>
        <w:t>; פ/61/20</w:t>
      </w:r>
      <w:r>
        <w:rPr>
          <w:sz w:val="26"/>
          <w:rtl/>
        </w:rPr>
        <w:t>)</w:t>
      </w:r>
      <w:r w:rsidR="008D496E">
        <w:rPr>
          <w:rFonts w:hint="cs"/>
          <w:sz w:val="26"/>
          <w:rtl/>
        </w:rPr>
        <w:t>.</w:t>
      </w:r>
    </w:p>
    <w:p w14:paraId="6784A64E" w14:textId="77777777" w:rsidR="008468B5" w:rsidRDefault="008468B5" w:rsidP="008D496E">
      <w:pPr>
        <w:pStyle w:val="Hesber"/>
        <w:rPr>
          <w:rtl/>
        </w:rPr>
      </w:pPr>
    </w:p>
    <w:p w14:paraId="029DD286" w14:textId="77777777" w:rsidR="00FA56DD" w:rsidRPr="00D73212" w:rsidRDefault="00FA56DD" w:rsidP="005828E7">
      <w:pPr>
        <w:pStyle w:val="Hesber"/>
        <w:rPr>
          <w:color w:val="auto"/>
          <w:rtl/>
          <w:lang w:eastAsia="en-US"/>
        </w:rPr>
      </w:pPr>
      <w:r w:rsidRPr="00D73212">
        <w:rPr>
          <w:color w:val="auto"/>
          <w:rtl/>
          <w:lang w:eastAsia="en-US"/>
        </w:rPr>
        <w:t>---------------------------------</w:t>
      </w:r>
    </w:p>
    <w:p w14:paraId="7BA21AB2" w14:textId="77777777" w:rsidR="00FA56DD" w:rsidRPr="00D73212" w:rsidRDefault="00FA56DD" w:rsidP="005828E7">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4E70B77" w14:textId="77777777" w:rsidR="00FA56DD" w:rsidRPr="00D73212" w:rsidRDefault="00FA56DD" w:rsidP="005828E7">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6ADE72D" w14:textId="3F3EFAF0" w:rsidR="00FA56DD" w:rsidRDefault="00FA56DD" w:rsidP="00F61C75">
      <w:pPr>
        <w:pStyle w:val="Hesber"/>
        <w:rPr>
          <w:rtl/>
        </w:rPr>
      </w:pPr>
      <w:r>
        <w:rPr>
          <w:rFonts w:hint="cs"/>
          <w:color w:val="auto"/>
          <w:rtl/>
          <w:lang w:eastAsia="en-US"/>
        </w:rPr>
        <w:t>כ' באדר א'</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29</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sectPr w:rsidR="00FA56DD"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F61C75">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F944839" w14:textId="77777777" w:rsidR="000B1CD4" w:rsidRDefault="000B1CD4" w:rsidP="000B1CD4">
      <w:pPr>
        <w:pStyle w:val="a4"/>
      </w:pPr>
      <w:r>
        <w:rPr>
          <w:rStyle w:val="a6"/>
        </w:rPr>
        <w:footnoteRef/>
      </w:r>
      <w:r>
        <w:rPr>
          <w:sz w:val="20"/>
          <w:rtl/>
        </w:rPr>
        <w:t xml:space="preserve"> ס"ח התשס"ד, עמ' 46.</w:t>
      </w:r>
    </w:p>
  </w:footnote>
  <w:footnote w:id="3">
    <w:p w14:paraId="56A3A067" w14:textId="77777777" w:rsidR="000B1CD4" w:rsidRDefault="000B1CD4" w:rsidP="000B1CD4">
      <w:pPr>
        <w:pStyle w:val="a4"/>
      </w:pPr>
      <w:r>
        <w:rPr>
          <w:rStyle w:val="a6"/>
        </w:rPr>
        <w:footnoteRef/>
      </w:r>
      <w:r>
        <w:rPr>
          <w:sz w:val="20"/>
          <w:rtl/>
        </w:rPr>
        <w:t xml:space="preserve"> ס"ח התשנ"ה,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B1CD4"/>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494"/>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468B5"/>
    <w:rsid w:val="00865572"/>
    <w:rsid w:val="00874BBC"/>
    <w:rsid w:val="00892135"/>
    <w:rsid w:val="00895449"/>
    <w:rsid w:val="00897879"/>
    <w:rsid w:val="008A6870"/>
    <w:rsid w:val="008C2DDC"/>
    <w:rsid w:val="008C7516"/>
    <w:rsid w:val="008D496E"/>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75EAD"/>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1C75"/>
    <w:rsid w:val="00F628D6"/>
    <w:rsid w:val="00F67051"/>
    <w:rsid w:val="00F86A1E"/>
    <w:rsid w:val="00FA56DD"/>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836F2081-B465-43AE-8706-896D552D7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0B1CD4"/>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B90B3-4CCB-4CDE-B0DD-0B3B1857D917}"/>
</file>

<file path=customXml/itemProps2.xml><?xml version="1.0" encoding="utf-8"?>
<ds:datastoreItem xmlns:ds="http://schemas.openxmlformats.org/officeDocument/2006/customXml" ds:itemID="{88F4AFE3-9455-419C-8851-785A55F44517}">
  <ds:schemaRefs>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schemas.microsoft.com/office/2006/documentManagement/typ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8C7A6291-8026-4B7D-9D59-86A0407FC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673</Words>
  <Characters>3370</Characters>
  <Application>Microsoft Office Word</Application>
  <DocSecurity>0</DocSecurity>
  <Lines>28</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8</cp:revision>
  <cp:lastPrinted>2016-02-24T11:48:00Z</cp:lastPrinted>
  <dcterms:created xsi:type="dcterms:W3CDTF">2015-04-20T09:58:00Z</dcterms:created>
  <dcterms:modified xsi:type="dcterms:W3CDTF">2016-02-24T11:49:00Z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2018822</vt:r8>
  </property>
</Properties>
</file>