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47A3" w:rsidRPr="00F547A3" w:rsidRDefault="00F547A3" w:rsidP="00844141">
      <w:pPr>
        <w:shd w:val="clear" w:color="auto" w:fill="FAFAFA"/>
        <w:spacing w:after="150" w:line="240" w:lineRule="auto"/>
        <w:textAlignment w:val="top"/>
        <w:outlineLvl w:val="0"/>
        <w:rPr>
          <w:rFonts w:ascii="Arial" w:eastAsia="Times New Roman" w:hAnsi="Arial" w:cs="Arial"/>
          <w:b/>
          <w:bCs/>
          <w:color w:val="000000"/>
          <w:kern w:val="36"/>
          <w:sz w:val="27"/>
          <w:szCs w:val="27"/>
        </w:rPr>
      </w:pPr>
      <w:bookmarkStart w:id="0" w:name="cont"/>
      <w:r w:rsidRPr="00F547A3">
        <w:rPr>
          <w:rFonts w:ascii="Arial" w:eastAsia="Times New Roman" w:hAnsi="Arial" w:cs="Arial"/>
          <w:b/>
          <w:bCs/>
          <w:color w:val="000000"/>
          <w:kern w:val="36"/>
          <w:sz w:val="27"/>
          <w:szCs w:val="27"/>
          <w:rtl/>
        </w:rPr>
        <w:t xml:space="preserve">הטבות למשרתים בשירות המילואים  2017 - אישור המלצות ועדת השרים </w:t>
      </w:r>
      <w:proofErr w:type="spellStart"/>
      <w:r w:rsidRPr="00F547A3">
        <w:rPr>
          <w:rFonts w:ascii="Arial" w:eastAsia="Times New Roman" w:hAnsi="Arial" w:cs="Arial"/>
          <w:b/>
          <w:bCs/>
          <w:color w:val="000000"/>
          <w:kern w:val="36"/>
          <w:sz w:val="27"/>
          <w:szCs w:val="27"/>
          <w:rtl/>
        </w:rPr>
        <w:t>לענין</w:t>
      </w:r>
      <w:proofErr w:type="spellEnd"/>
      <w:r w:rsidRPr="00F547A3">
        <w:rPr>
          <w:rFonts w:ascii="Arial" w:eastAsia="Times New Roman" w:hAnsi="Arial" w:cs="Arial"/>
          <w:b/>
          <w:bCs/>
          <w:color w:val="000000"/>
          <w:kern w:val="36"/>
          <w:sz w:val="27"/>
          <w:szCs w:val="27"/>
          <w:rtl/>
        </w:rPr>
        <w:t xml:space="preserve"> מערך המילואים</w:t>
      </w:r>
      <w:r w:rsidRPr="00F547A3">
        <w:rPr>
          <w:rFonts w:ascii="Arial" w:eastAsia="Times New Roman" w:hAnsi="Arial" w:cs="Arial"/>
          <w:b/>
          <w:bCs/>
          <w:color w:val="000000"/>
          <w:kern w:val="36"/>
          <w:sz w:val="27"/>
          <w:szCs w:val="27"/>
        </w:rPr>
        <w:t> </w:t>
      </w:r>
    </w:p>
    <w:bookmarkEnd w:id="0"/>
    <w:p w:rsidR="00F547A3" w:rsidRPr="00F547A3" w:rsidRDefault="00F547A3" w:rsidP="00844141">
      <w:pPr>
        <w:shd w:val="clear" w:color="auto" w:fill="FAFAFA"/>
        <w:spacing w:after="0" w:line="240" w:lineRule="auto"/>
        <w:rPr>
          <w:rFonts w:ascii="Arial" w:eastAsia="Times New Roman" w:hAnsi="Arial" w:cs="Arial"/>
          <w:b/>
          <w:bCs/>
          <w:color w:val="4F4F4F"/>
          <w:sz w:val="20"/>
          <w:szCs w:val="20"/>
        </w:rPr>
      </w:pPr>
      <w:r w:rsidRPr="00F547A3">
        <w:rPr>
          <w:rFonts w:ascii="Arial" w:eastAsia="Times New Roman" w:hAnsi="Arial" w:cs="Arial"/>
          <w:b/>
          <w:bCs/>
          <w:color w:val="4F4F4F"/>
          <w:sz w:val="20"/>
          <w:szCs w:val="20"/>
          <w:rtl/>
        </w:rPr>
        <w:t>מזכירות הממשלה</w:t>
      </w:r>
    </w:p>
    <w:tbl>
      <w:tblPr>
        <w:bidiVisual/>
        <w:tblW w:w="5000" w:type="pct"/>
        <w:tblCellSpacing w:w="0" w:type="dxa"/>
        <w:shd w:val="clear" w:color="auto" w:fill="FAFAFA"/>
        <w:tblCellMar>
          <w:left w:w="0" w:type="dxa"/>
          <w:right w:w="0" w:type="dxa"/>
        </w:tblCellMar>
        <w:tblLook w:val="04A0" w:firstRow="1" w:lastRow="0" w:firstColumn="1" w:lastColumn="0" w:noHBand="0" w:noVBand="1"/>
      </w:tblPr>
      <w:tblGrid>
        <w:gridCol w:w="8306"/>
      </w:tblGrid>
      <w:tr w:rsidR="00F547A3" w:rsidRPr="00F547A3" w:rsidTr="00F547A3">
        <w:trPr>
          <w:tblCellSpacing w:w="0" w:type="dxa"/>
        </w:trPr>
        <w:tc>
          <w:tcPr>
            <w:tcW w:w="0" w:type="auto"/>
            <w:shd w:val="clear" w:color="auto" w:fill="FAFAFA"/>
            <w:hideMark/>
          </w:tcPr>
          <w:tbl>
            <w:tblPr>
              <w:bidiVisual/>
              <w:tblW w:w="5000" w:type="pct"/>
              <w:tblCellSpacing w:w="0" w:type="dxa"/>
              <w:tblCellMar>
                <w:left w:w="0" w:type="dxa"/>
                <w:right w:w="0" w:type="dxa"/>
              </w:tblCellMar>
              <w:tblLook w:val="04A0" w:firstRow="1" w:lastRow="0" w:firstColumn="1" w:lastColumn="0" w:noHBand="0" w:noVBand="1"/>
            </w:tblPr>
            <w:tblGrid>
              <w:gridCol w:w="8306"/>
            </w:tblGrid>
            <w:tr w:rsidR="00F547A3" w:rsidRPr="00F547A3">
              <w:trPr>
                <w:tblCellSpacing w:w="0" w:type="dxa"/>
              </w:trPr>
              <w:tc>
                <w:tcPr>
                  <w:tcW w:w="0" w:type="auto"/>
                  <w:hideMark/>
                </w:tcPr>
                <w:p w:rsidR="00F547A3" w:rsidRPr="00F547A3" w:rsidRDefault="00F547A3" w:rsidP="00844141">
                  <w:pPr>
                    <w:spacing w:after="0" w:line="240" w:lineRule="auto"/>
                    <w:rPr>
                      <w:rFonts w:ascii="Times New Roman" w:eastAsia="Times New Roman" w:hAnsi="Times New Roman" w:cs="Times New Roman"/>
                      <w:sz w:val="20"/>
                      <w:szCs w:val="20"/>
                    </w:rPr>
                  </w:pPr>
                  <w:r w:rsidRPr="00F547A3">
                    <w:rPr>
                      <w:rFonts w:ascii="Times New Roman" w:eastAsia="Times New Roman" w:hAnsi="Times New Roman" w:cs="Times New Roman"/>
                      <w:sz w:val="20"/>
                      <w:szCs w:val="20"/>
                      <w:rtl/>
                    </w:rPr>
                    <w:t>החלטה מספר  2607 של הממשלה מיום 14.04.2017</w:t>
                  </w:r>
                </w:p>
                <w:p w:rsidR="00F547A3" w:rsidRPr="00F547A3" w:rsidRDefault="00F547A3" w:rsidP="00844141">
                  <w:pPr>
                    <w:spacing w:after="0" w:line="240" w:lineRule="auto"/>
                    <w:rPr>
                      <w:rFonts w:ascii="Times New Roman" w:eastAsia="Times New Roman" w:hAnsi="Times New Roman" w:cs="Times New Roman"/>
                      <w:sz w:val="20"/>
                      <w:szCs w:val="20"/>
                      <w:rtl/>
                    </w:rPr>
                  </w:pPr>
                  <w:r w:rsidRPr="00F547A3">
                    <w:rPr>
                      <w:rFonts w:ascii="Times New Roman" w:eastAsia="Times New Roman" w:hAnsi="Times New Roman" w:cs="Times New Roman"/>
                      <w:sz w:val="20"/>
                      <w:szCs w:val="20"/>
                      <w:rtl/>
                    </w:rPr>
                    <w:t>הממשלה ה - 34 בנימין נתניהו</w:t>
                  </w:r>
                </w:p>
              </w:tc>
            </w:tr>
          </w:tbl>
          <w:p w:rsidR="00F547A3" w:rsidRPr="00F547A3" w:rsidRDefault="00F547A3" w:rsidP="00844141">
            <w:pPr>
              <w:spacing w:after="0" w:line="240" w:lineRule="auto"/>
              <w:rPr>
                <w:rFonts w:ascii="Arial" w:eastAsia="Times New Roman" w:hAnsi="Arial" w:cs="Arial"/>
                <w:sz w:val="24"/>
                <w:szCs w:val="24"/>
                <w:rtl/>
              </w:rPr>
            </w:pPr>
          </w:p>
        </w:tc>
      </w:tr>
    </w:tbl>
    <w:p w:rsidR="00F547A3" w:rsidRPr="00F547A3" w:rsidRDefault="00F547A3" w:rsidP="00844141">
      <w:pPr>
        <w:shd w:val="clear" w:color="auto" w:fill="FAFAFA"/>
        <w:spacing w:after="0" w:line="240" w:lineRule="auto"/>
        <w:outlineLvl w:val="2"/>
        <w:rPr>
          <w:rFonts w:ascii="Arial" w:eastAsia="Times New Roman" w:hAnsi="Arial" w:cs="Arial"/>
          <w:b/>
          <w:bCs/>
          <w:color w:val="000000"/>
          <w:sz w:val="20"/>
          <w:szCs w:val="20"/>
        </w:rPr>
      </w:pPr>
      <w:r w:rsidRPr="00F547A3">
        <w:rPr>
          <w:rFonts w:ascii="Arial" w:eastAsia="Times New Roman" w:hAnsi="Arial" w:cs="Arial"/>
          <w:b/>
          <w:bCs/>
          <w:color w:val="000000"/>
          <w:sz w:val="20"/>
          <w:szCs w:val="20"/>
          <w:rtl/>
        </w:rPr>
        <w:t>נושא ההחלטה</w:t>
      </w:r>
    </w:p>
    <w:p w:rsidR="00F547A3" w:rsidRPr="00F547A3" w:rsidRDefault="00F547A3" w:rsidP="00844141">
      <w:pPr>
        <w:shd w:val="clear" w:color="auto" w:fill="FAFAFA"/>
        <w:spacing w:after="0" w:line="240" w:lineRule="auto"/>
        <w:rPr>
          <w:rFonts w:ascii="Arial" w:eastAsia="Times New Roman" w:hAnsi="Arial" w:cs="Arial"/>
          <w:color w:val="000000"/>
          <w:sz w:val="20"/>
          <w:szCs w:val="20"/>
        </w:rPr>
      </w:pPr>
      <w:r w:rsidRPr="00F547A3">
        <w:rPr>
          <w:rFonts w:ascii="Arial" w:eastAsia="Times New Roman" w:hAnsi="Arial" w:cs="Arial"/>
          <w:color w:val="000000"/>
          <w:sz w:val="20"/>
          <w:szCs w:val="20"/>
          <w:rtl/>
        </w:rPr>
        <w:t xml:space="preserve">הטבות למשרתים בשירות המילואים  2017 - אישור המלצות ועדת השרים </w:t>
      </w:r>
      <w:proofErr w:type="spellStart"/>
      <w:r w:rsidRPr="00F547A3">
        <w:rPr>
          <w:rFonts w:ascii="Arial" w:eastAsia="Times New Roman" w:hAnsi="Arial" w:cs="Arial"/>
          <w:color w:val="000000"/>
          <w:sz w:val="20"/>
          <w:szCs w:val="20"/>
          <w:rtl/>
        </w:rPr>
        <w:t>לענין</w:t>
      </w:r>
      <w:proofErr w:type="spellEnd"/>
      <w:r w:rsidRPr="00F547A3">
        <w:rPr>
          <w:rFonts w:ascii="Arial" w:eastAsia="Times New Roman" w:hAnsi="Arial" w:cs="Arial"/>
          <w:color w:val="000000"/>
          <w:sz w:val="20"/>
          <w:szCs w:val="20"/>
          <w:rtl/>
        </w:rPr>
        <w:t xml:space="preserve"> מערך המילואים</w:t>
      </w:r>
    </w:p>
    <w:p w:rsidR="00F547A3" w:rsidRPr="00F547A3" w:rsidRDefault="00F547A3" w:rsidP="00844141">
      <w:pPr>
        <w:shd w:val="clear" w:color="auto" w:fill="FAFAFA"/>
        <w:spacing w:after="0" w:line="240" w:lineRule="auto"/>
        <w:outlineLvl w:val="2"/>
        <w:rPr>
          <w:rFonts w:ascii="Arial" w:eastAsia="Times New Roman" w:hAnsi="Arial" w:cs="Arial"/>
          <w:b/>
          <w:bCs/>
          <w:color w:val="000000"/>
          <w:sz w:val="20"/>
          <w:szCs w:val="20"/>
        </w:rPr>
      </w:pPr>
      <w:r w:rsidRPr="00F547A3">
        <w:rPr>
          <w:rFonts w:ascii="Arial" w:eastAsia="Times New Roman" w:hAnsi="Arial" w:cs="Arial"/>
          <w:b/>
          <w:bCs/>
          <w:color w:val="000000"/>
          <w:sz w:val="20"/>
          <w:szCs w:val="20"/>
          <w:rtl/>
        </w:rPr>
        <w:t>מחליטים</w:t>
      </w:r>
    </w:p>
    <w:p w:rsidR="00F547A3" w:rsidRPr="00F547A3" w:rsidRDefault="00F547A3" w:rsidP="00844141">
      <w:pPr>
        <w:shd w:val="clear" w:color="auto" w:fill="FAFAFA"/>
        <w:spacing w:after="0" w:line="240" w:lineRule="auto"/>
        <w:rPr>
          <w:rFonts w:ascii="Arial" w:eastAsia="Times New Roman" w:hAnsi="Arial" w:cs="Arial"/>
          <w:color w:val="000000"/>
          <w:sz w:val="20"/>
          <w:szCs w:val="20"/>
        </w:rPr>
      </w:pPr>
      <w:r w:rsidRPr="00F547A3">
        <w:rPr>
          <w:rFonts w:ascii="Arial" w:eastAsia="Times New Roman" w:hAnsi="Arial" w:cs="Arial"/>
          <w:color w:val="000000"/>
          <w:sz w:val="20"/>
          <w:szCs w:val="20"/>
          <w:rtl/>
        </w:rPr>
        <w:t xml:space="preserve">בהתאם לסעיף 21(ב) לחוק שירות המילואים,     </w:t>
      </w:r>
      <w:proofErr w:type="spellStart"/>
      <w:r w:rsidRPr="00F547A3">
        <w:rPr>
          <w:rFonts w:ascii="Arial" w:eastAsia="Times New Roman" w:hAnsi="Arial" w:cs="Arial"/>
          <w:color w:val="000000"/>
          <w:sz w:val="20"/>
          <w:szCs w:val="20"/>
          <w:rtl/>
        </w:rPr>
        <w:t>התשס"ח</w:t>
      </w:r>
      <w:proofErr w:type="spellEnd"/>
      <w:r w:rsidRPr="00F547A3">
        <w:rPr>
          <w:rFonts w:ascii="Arial" w:eastAsia="Times New Roman" w:hAnsi="Arial" w:cs="Arial"/>
          <w:color w:val="000000"/>
          <w:sz w:val="20"/>
          <w:szCs w:val="20"/>
          <w:rtl/>
        </w:rPr>
        <w:t>–2008, לאשר את החלטת ועדת השרים לעניין מערך המילואים מס' מיל/4 מיום 27 בפברואר 2017 בנוסח שלהלן</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מ ח ל י ט י ם, מתוך הוקרה לחיילי המילואים בצבא הגנה לישראל, המהווים קבוצה נבחרת של משרתים ושותפים לשמירה על ביטחון המדינה, לפעול ליישום החלטות קודמות של ועדת השרים לעניין מערך המילואים שטרם בוצעו, ולהרחבת סל ההטבות לחיילי מילואים בהתאם לסעיף 21(ב) לחוק שירות המילואים, התשס"ח-2008, כמפורט להלן</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בהחלטה זו</w:t>
      </w:r>
      <w:r w:rsidRPr="00F547A3">
        <w:rPr>
          <w:rFonts w:ascii="Arial" w:eastAsia="Times New Roman" w:hAnsi="Arial" w:cs="Arial"/>
          <w:color w:val="000000"/>
          <w:sz w:val="20"/>
          <w:szCs w:val="20"/>
        </w:rPr>
        <w:t xml:space="preserve"> – </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משרת מילואים פעיל" ו-"מפקד מילואים פעיל" – כהגדרתם בהחלטות הממשלה מס'  4712 מיום 3 ביוני 2012 ומס' 1447 מיום 8 במאי 2016</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החלטה 1447" – החלטת הממשלה מס' 1447 מיום 8 במאי 2016</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החלטה 4712" – החלטת הממשלה מס' 4712 מיום 3 ביוני 2012</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 xml:space="preserve">חוק שירות המילואים" – חוק שירות המילואים, </w:t>
      </w:r>
      <w:proofErr w:type="spellStart"/>
      <w:r w:rsidRPr="00F547A3">
        <w:rPr>
          <w:rFonts w:ascii="Arial" w:eastAsia="Times New Roman" w:hAnsi="Arial" w:cs="Arial"/>
          <w:color w:val="000000"/>
          <w:sz w:val="20"/>
          <w:szCs w:val="20"/>
          <w:rtl/>
        </w:rPr>
        <w:t>התשס"ח</w:t>
      </w:r>
      <w:proofErr w:type="spellEnd"/>
      <w:r w:rsidRPr="00F547A3">
        <w:rPr>
          <w:rFonts w:ascii="Arial" w:eastAsia="Times New Roman" w:hAnsi="Arial" w:cs="Arial"/>
          <w:color w:val="000000"/>
          <w:sz w:val="20"/>
          <w:szCs w:val="20"/>
          <w:rtl/>
        </w:rPr>
        <w:t xml:space="preserve"> – 2008</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 xml:space="preserve">חוק הביטוח הלאומי – חוק הביטוח הלאומי [נוסח משולב], </w:t>
      </w:r>
      <w:proofErr w:type="spellStart"/>
      <w:r w:rsidRPr="00F547A3">
        <w:rPr>
          <w:rFonts w:ascii="Arial" w:eastAsia="Times New Roman" w:hAnsi="Arial" w:cs="Arial"/>
          <w:color w:val="000000"/>
          <w:sz w:val="20"/>
          <w:szCs w:val="20"/>
          <w:rtl/>
        </w:rPr>
        <w:t>התשנ"ה</w:t>
      </w:r>
      <w:proofErr w:type="spellEnd"/>
      <w:r w:rsidRPr="00F547A3">
        <w:rPr>
          <w:rFonts w:ascii="Arial" w:eastAsia="Times New Roman" w:hAnsi="Arial" w:cs="Arial"/>
          <w:color w:val="000000"/>
          <w:sz w:val="20"/>
          <w:szCs w:val="20"/>
          <w:rtl/>
        </w:rPr>
        <w:t xml:space="preserve"> – 1995</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א. יישום החלטה 1447</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לפעול ליישום חלקי החלטת הממשלה מס' 1447  שטרם בוצעו ובכלל זה</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1. </w:t>
      </w:r>
      <w:r w:rsidRPr="00F547A3">
        <w:rPr>
          <w:rFonts w:ascii="Arial" w:eastAsia="Times New Roman" w:hAnsi="Arial" w:cs="Arial"/>
          <w:color w:val="000000"/>
          <w:sz w:val="20"/>
          <w:szCs w:val="20"/>
          <w:rtl/>
        </w:rPr>
        <w:t xml:space="preserve">להנחות את שר החינוך לפנות </w:t>
      </w:r>
      <w:proofErr w:type="spellStart"/>
      <w:r w:rsidRPr="00F547A3">
        <w:rPr>
          <w:rFonts w:ascii="Arial" w:eastAsia="Times New Roman" w:hAnsi="Arial" w:cs="Arial"/>
          <w:color w:val="000000"/>
          <w:sz w:val="20"/>
          <w:szCs w:val="20"/>
          <w:rtl/>
        </w:rPr>
        <w:t>למל"ג</w:t>
      </w:r>
      <w:proofErr w:type="spellEnd"/>
      <w:r w:rsidRPr="00F547A3">
        <w:rPr>
          <w:rFonts w:ascii="Arial" w:eastAsia="Times New Roman" w:hAnsi="Arial" w:cs="Arial"/>
          <w:color w:val="000000"/>
          <w:sz w:val="20"/>
          <w:szCs w:val="20"/>
          <w:rtl/>
        </w:rPr>
        <w:t xml:space="preserve"> לבחון את הצורך בהתאמות נוספות בכללי זכויות הסטודנט (התאמות לסטודנטים המשרתים בשירות מילואים), התשע"ב-2012, לגבי סטודנטים המשרתים שירות מילואים,  שגויסו לפי צו, מכוח סעיף 8 או סעיף 9 לחוק שירות המילואים, דהיינו, שירות מילואים בנסיבות חירום ושירות מילואים במצב מיוחד, בהתאמה</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t>2. </w:t>
      </w:r>
      <w:r w:rsidRPr="00F547A3">
        <w:rPr>
          <w:rFonts w:ascii="Arial" w:eastAsia="Times New Roman" w:hAnsi="Arial" w:cs="Arial"/>
          <w:color w:val="000000"/>
          <w:sz w:val="20"/>
          <w:szCs w:val="20"/>
          <w:rtl/>
        </w:rPr>
        <w:t>להנחות את שר הפנים לתקן</w:t>
      </w:r>
      <w:proofErr w:type="gramStart"/>
      <w:r w:rsidRPr="00F547A3">
        <w:rPr>
          <w:rFonts w:ascii="Arial" w:eastAsia="Times New Roman" w:hAnsi="Arial" w:cs="Arial"/>
          <w:color w:val="000000"/>
          <w:sz w:val="20"/>
          <w:szCs w:val="20"/>
          <w:rtl/>
        </w:rPr>
        <w:t>  את</w:t>
      </w:r>
      <w:proofErr w:type="gramEnd"/>
      <w:r w:rsidRPr="00F547A3">
        <w:rPr>
          <w:rFonts w:ascii="Arial" w:eastAsia="Times New Roman" w:hAnsi="Arial" w:cs="Arial"/>
          <w:color w:val="000000"/>
          <w:sz w:val="20"/>
          <w:szCs w:val="20"/>
          <w:rtl/>
        </w:rPr>
        <w:t xml:space="preserve"> תקנות ההסדרים במשק המדינה (הנחה מארנונה), התשנ"ג-1993 באופן המתיר לרשות מקומית להעניק למשרת מילואים פעיל הנחה מארנונה למגורים בשיעור שלא יעלה על 5% ובתנאים שיקבע</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highlight w:val="yellow"/>
        </w:rPr>
        <w:t>3. </w:t>
      </w:r>
      <w:r w:rsidRPr="00F547A3">
        <w:rPr>
          <w:rFonts w:ascii="Arial" w:eastAsia="Times New Roman" w:hAnsi="Arial" w:cs="Arial"/>
          <w:color w:val="000000"/>
          <w:sz w:val="20"/>
          <w:szCs w:val="20"/>
          <w:highlight w:val="yellow"/>
          <w:rtl/>
        </w:rPr>
        <w:t>להנחות את שרת המשפטים להמשיך בבחינת פטור מתשלום אגרות בתחומים שלהלן</w:t>
      </w:r>
      <w:r w:rsidRPr="00F547A3">
        <w:rPr>
          <w:rFonts w:ascii="Arial" w:eastAsia="Times New Roman" w:hAnsi="Arial" w:cs="Arial"/>
          <w:color w:val="000000"/>
          <w:sz w:val="20"/>
          <w:szCs w:val="20"/>
          <w:highlight w:val="yellow"/>
        </w:rPr>
        <w:t>:</w:t>
      </w:r>
      <w:r w:rsidRPr="00844141">
        <w:rPr>
          <w:rFonts w:ascii="Arial" w:eastAsia="Times New Roman" w:hAnsi="Arial" w:cs="Arial"/>
          <w:color w:val="000000"/>
          <w:sz w:val="20"/>
          <w:szCs w:val="20"/>
          <w:highlight w:val="yellow"/>
        </w:rPr>
        <w:t> </w:t>
      </w:r>
      <w:r w:rsidRPr="00F547A3">
        <w:rPr>
          <w:rFonts w:ascii="Arial" w:eastAsia="Times New Roman" w:hAnsi="Arial" w:cs="Arial"/>
          <w:color w:val="000000"/>
          <w:sz w:val="20"/>
          <w:szCs w:val="20"/>
          <w:highlight w:val="yellow"/>
        </w:rPr>
        <w:br/>
      </w:r>
      <w:r w:rsidRPr="00F547A3">
        <w:rPr>
          <w:rFonts w:ascii="Arial" w:eastAsia="Times New Roman" w:hAnsi="Arial" w:cs="Arial"/>
          <w:color w:val="000000"/>
          <w:sz w:val="20"/>
          <w:szCs w:val="20"/>
          <w:highlight w:val="yellow"/>
        </w:rPr>
        <w:br/>
        <w:t>• </w:t>
      </w:r>
      <w:r w:rsidRPr="00F547A3">
        <w:rPr>
          <w:rFonts w:ascii="Arial" w:eastAsia="Times New Roman" w:hAnsi="Arial" w:cs="Arial"/>
          <w:color w:val="000000"/>
          <w:sz w:val="20"/>
          <w:szCs w:val="20"/>
          <w:highlight w:val="yellow"/>
          <w:rtl/>
        </w:rPr>
        <w:t>רישום משכנתא בגין דירה ראשונה לרבות אגרת בקשה, בתקנות המקרקעין (אגרות), התשל"ה-1974</w:t>
      </w:r>
      <w:r w:rsidRPr="00F547A3">
        <w:rPr>
          <w:rFonts w:ascii="Arial" w:eastAsia="Times New Roman" w:hAnsi="Arial" w:cs="Arial"/>
          <w:color w:val="000000"/>
          <w:sz w:val="20"/>
          <w:szCs w:val="20"/>
          <w:highlight w:val="yellow"/>
        </w:rPr>
        <w:t>.</w:t>
      </w:r>
      <w:r w:rsidRPr="00F547A3">
        <w:rPr>
          <w:rFonts w:ascii="Arial" w:eastAsia="Times New Roman" w:hAnsi="Arial" w:cs="Arial"/>
          <w:color w:val="000000"/>
          <w:sz w:val="20"/>
          <w:szCs w:val="20"/>
          <w:highlight w:val="yellow"/>
        </w:rPr>
        <w:br/>
        <w:t>• </w:t>
      </w:r>
      <w:r w:rsidRPr="00F547A3">
        <w:rPr>
          <w:rFonts w:ascii="Arial" w:eastAsia="Times New Roman" w:hAnsi="Arial" w:cs="Arial"/>
          <w:color w:val="000000"/>
          <w:sz w:val="20"/>
          <w:szCs w:val="20"/>
          <w:highlight w:val="yellow"/>
          <w:rtl/>
        </w:rPr>
        <w:t xml:space="preserve">פטור מתשלום אגרות לפי תקנות רואי החשבון, </w:t>
      </w:r>
      <w:proofErr w:type="spellStart"/>
      <w:r w:rsidRPr="00F547A3">
        <w:rPr>
          <w:rFonts w:ascii="Arial" w:eastAsia="Times New Roman" w:hAnsi="Arial" w:cs="Arial"/>
          <w:color w:val="000000"/>
          <w:sz w:val="20"/>
          <w:szCs w:val="20"/>
          <w:highlight w:val="yellow"/>
          <w:rtl/>
        </w:rPr>
        <w:t>התשט"ז</w:t>
      </w:r>
      <w:proofErr w:type="spellEnd"/>
      <w:r w:rsidRPr="00F547A3">
        <w:rPr>
          <w:rFonts w:ascii="Arial" w:eastAsia="Times New Roman" w:hAnsi="Arial" w:cs="Arial"/>
          <w:color w:val="000000"/>
          <w:sz w:val="20"/>
          <w:szCs w:val="20"/>
          <w:highlight w:val="yellow"/>
          <w:rtl/>
        </w:rPr>
        <w:t>–1955</w:t>
      </w:r>
      <w:r w:rsidRPr="00F547A3">
        <w:rPr>
          <w:rFonts w:ascii="Arial" w:eastAsia="Times New Roman" w:hAnsi="Arial" w:cs="Arial"/>
          <w:color w:val="000000"/>
          <w:sz w:val="20"/>
          <w:szCs w:val="20"/>
          <w:highlight w:val="yellow"/>
        </w:rPr>
        <w:t>.</w:t>
      </w:r>
      <w:r w:rsidRPr="00F547A3">
        <w:rPr>
          <w:rFonts w:ascii="Arial" w:eastAsia="Times New Roman" w:hAnsi="Arial" w:cs="Arial"/>
          <w:color w:val="000000"/>
          <w:sz w:val="20"/>
          <w:szCs w:val="20"/>
          <w:highlight w:val="yellow"/>
        </w:rPr>
        <w:br/>
      </w:r>
      <w:r w:rsidRPr="00F547A3">
        <w:rPr>
          <w:rFonts w:ascii="Arial" w:eastAsia="Times New Roman" w:hAnsi="Arial" w:cs="Arial"/>
          <w:color w:val="000000"/>
          <w:sz w:val="20"/>
          <w:szCs w:val="20"/>
          <w:highlight w:val="yellow"/>
          <w:rtl/>
        </w:rPr>
        <w:t>פטור מאגרות או תשלומים לפי חוק הסניגוריה הציבורית,  התשנ"ו-1995</w:t>
      </w:r>
      <w:r w:rsidRPr="00F547A3">
        <w:rPr>
          <w:rFonts w:ascii="Arial" w:eastAsia="Times New Roman" w:hAnsi="Arial" w:cs="Arial"/>
          <w:color w:val="000000"/>
          <w:sz w:val="20"/>
          <w:szCs w:val="20"/>
          <w:highlight w:val="yellow"/>
        </w:rPr>
        <w:t>.</w:t>
      </w:r>
      <w:r w:rsidRPr="00F547A3">
        <w:rPr>
          <w:rFonts w:ascii="Arial" w:eastAsia="Times New Roman" w:hAnsi="Arial" w:cs="Arial"/>
          <w:color w:val="000000"/>
          <w:sz w:val="20"/>
          <w:szCs w:val="20"/>
          <w:highlight w:val="yellow"/>
        </w:rPr>
        <w:br/>
        <w:t>• </w:t>
      </w:r>
      <w:r w:rsidRPr="00F547A3">
        <w:rPr>
          <w:rFonts w:ascii="Arial" w:eastAsia="Times New Roman" w:hAnsi="Arial" w:cs="Arial"/>
          <w:color w:val="000000"/>
          <w:sz w:val="20"/>
          <w:szCs w:val="20"/>
          <w:highlight w:val="yellow"/>
          <w:rtl/>
        </w:rPr>
        <w:t>פטור מאגרות או תשלומים לפי חוק הסיוע משפטי,    התשל"ב-1972</w:t>
      </w:r>
      <w:r w:rsidRPr="00F547A3">
        <w:rPr>
          <w:rFonts w:ascii="Arial" w:eastAsia="Times New Roman" w:hAnsi="Arial" w:cs="Arial"/>
          <w:color w:val="000000"/>
          <w:sz w:val="20"/>
          <w:szCs w:val="20"/>
          <w:highlight w:val="yellow"/>
        </w:rPr>
        <w:t>.</w:t>
      </w:r>
      <w:r w:rsidRPr="00F547A3">
        <w:rPr>
          <w:rFonts w:ascii="Arial" w:eastAsia="Times New Roman" w:hAnsi="Arial" w:cs="Arial"/>
          <w:color w:val="000000"/>
          <w:sz w:val="20"/>
          <w:szCs w:val="20"/>
          <w:highlight w:val="yellow"/>
        </w:rPr>
        <w:br/>
      </w:r>
      <w:r w:rsidRPr="00F547A3">
        <w:rPr>
          <w:rFonts w:ascii="Arial" w:eastAsia="Times New Roman" w:hAnsi="Arial" w:cs="Arial"/>
          <w:color w:val="000000"/>
          <w:sz w:val="20"/>
          <w:szCs w:val="20"/>
          <w:rtl/>
        </w:rPr>
        <w:t>והכל על מנת ליישם  את סעיפים 1(ב),  (ג), (ד) בהחלטה  1447, כל אחד בתחום אחריותו</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ב. תשלום תגמול מילואים למפקדים במערך המילואים בגובה חצי נקודת זיכוי ממס</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 הביטחון להעניק תגמול מילואים למפקדים במערך המילואים העונים על הגדרת "מפקד מילואים פעיל" ועל הגדרות נוספות שייקבעו בפקודות הצבא בגובה חצי נקודת זיכוי ממס</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ג. הגדלת סכום תגמולי המילואים לחיילי מילואים "עצמאיים</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הממשלה רושמת לפניה כי שר הביטחון יקצה סכום מתקציב הביטחון להעלאת תגמולי המילואים לחיילי מילואים עצמאיים בדרך שיקבע השר</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highlight w:val="yellow"/>
          <w:rtl/>
        </w:rPr>
        <w:t>ד. סיוע משפטי לחיילי מילואים</w:t>
      </w:r>
      <w:r w:rsidRPr="00844141">
        <w:rPr>
          <w:rFonts w:ascii="Arial" w:eastAsia="Times New Roman" w:hAnsi="Arial" w:cs="Arial"/>
          <w:color w:val="000000"/>
          <w:sz w:val="20"/>
          <w:szCs w:val="20"/>
          <w:highlight w:val="yellow"/>
          <w:rtl/>
        </w:rPr>
        <w:t> </w:t>
      </w:r>
      <w:r w:rsidRPr="00F547A3">
        <w:rPr>
          <w:rFonts w:ascii="Arial" w:eastAsia="Times New Roman" w:hAnsi="Arial" w:cs="Arial"/>
          <w:color w:val="000000"/>
          <w:sz w:val="20"/>
          <w:szCs w:val="20"/>
          <w:highlight w:val="yellow"/>
        </w:rPr>
        <w:br/>
      </w:r>
      <w:r w:rsidRPr="00F547A3">
        <w:rPr>
          <w:rFonts w:ascii="Arial" w:eastAsia="Times New Roman" w:hAnsi="Arial" w:cs="Arial"/>
          <w:color w:val="000000"/>
          <w:sz w:val="20"/>
          <w:szCs w:val="20"/>
          <w:highlight w:val="yellow"/>
          <w:rtl/>
        </w:rPr>
        <w:t>להטיל על שר הביטחון להכין תכנית להרחבת הסיוע המשפטי הניתן לחיילי מילואים הנמצאים בהליכי פיטורין בשל שירותם במילואים</w:t>
      </w:r>
      <w:r w:rsidRPr="00F547A3">
        <w:rPr>
          <w:rFonts w:ascii="Arial" w:eastAsia="Times New Roman" w:hAnsi="Arial" w:cs="Arial"/>
          <w:color w:val="000000"/>
          <w:sz w:val="20"/>
          <w:szCs w:val="20"/>
          <w:highlight w:val="yellow"/>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ה. התאמות בלימודים לסטודנטים במוסדות להשכלה גבוהה שהם בני זוג של משרתי מילואים והורים לילדים, בזמן שירות מילואים פעיל של בן או  בת הזוג</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לבקש משר החינוך לפנות למועצה להשכלה גבוהה לבחון הצורך בהתאמות בכללי הסטודנט (התאמות לסטודנטים המשרתים בשירות מילואים), התשע"ב-2012 (להלן: "כללי הסטודנט"),  שיינתנו לסטודנטים שהם בני זוג של מי שמשרתים שירות מילואים והלומדים ב"מוסד" כהגדרתו בכללי הסטודנט</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lastRenderedPageBreak/>
        <w:t>לעניין זה, "שירות מילואים" יוגדר כשירות מילואים לפי סעיף 8 או 9 לחוק שירות המילואים</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ו. התאמות בלימודים לסטודנטים במוסדות המוכרים ע"י המכון הממשלתי להכשרה בטכנולוגיה במשרד העבודה, הרווחה והשירותים החברתיים המשרתים במילואים ולבני זוגם של המשרתים במילואים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 העבודה, הרווחה והשירותים החברתיים, בהתאם לסמכותו מכוח סעיף 19א לחוק זכויות הסטודנט, לפעול להתקנת תקנות זכויות הסטודנט (התאמות לסטודנטים הלומדים במכללות של המכון הממשלתי להכשרה בטכנולוגיה ובמדע במשרד העבודה, הרווחה והשירותים החברתיים, עקב שירות מילואים). במסגרת תקנות אלה יבחן שר העבודה, הרווחה והשירותים החברתיים הוספת התאמות לסטודנטים שהינם הורים לילדים ואשר לומדים במוסדות המוכרים ע"י המכון הממשלתי להכשרה בטכנולוגיה במשרד העבודה, הרווחה והשירותים החברתיים אשר בני זוגם נקראו לשירות מילואים מכוח סעיף 8 או סעיף 9 לחוק שירות המילואים</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ז. ניקוד במכרזים  על תרומה לקהילה ולחברה של משרתי מילואים  בשירות המדינה</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לרשום את הודעת נציב שירות המדינה כי תיבחן האפשרות לכלול תרומה לקהילה ולחברה, לרבות שירות מילואים, כחלק מהפרמטרים הרלוונטיים לבחינת התאמה לתפקיד של מועמד לעבודה בשירות המדינה, והכל בכפוף לכללים שיקבע</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highlight w:val="yellow"/>
          <w:rtl/>
        </w:rPr>
        <w:t>ח. הכרה בניסיון פיקודי במערך המילואים כניסיון ניהולי במשרות בשירות המדינה</w:t>
      </w:r>
      <w:r w:rsidRPr="00F547A3">
        <w:rPr>
          <w:rFonts w:ascii="Arial" w:eastAsia="Times New Roman" w:hAnsi="Arial" w:cs="Arial"/>
          <w:color w:val="000000"/>
          <w:sz w:val="20"/>
          <w:szCs w:val="20"/>
          <w:highlight w:val="yellow"/>
        </w:rPr>
        <w:br/>
      </w:r>
      <w:r w:rsidRPr="00F547A3">
        <w:rPr>
          <w:rFonts w:ascii="Arial" w:eastAsia="Times New Roman" w:hAnsi="Arial" w:cs="Arial"/>
          <w:color w:val="000000"/>
          <w:sz w:val="20"/>
          <w:szCs w:val="20"/>
          <w:highlight w:val="yellow"/>
          <w:rtl/>
        </w:rPr>
        <w:t>להנחות את נציב שירות המדינה לקבוע כי הודעת נש"מ עד/6 מיום 28.1.14 שעניינה "הכרה בניסיון שנרכש בשירות צבאי או בשירות אזרחי-לאומי במכרזים" תחול, בתנאים שיקבע, גם לגבי שירות מילואים, לרבות ניסיון פיקודי, לפי העניין, ובהתאם להנחיות שיפורסמו על ידי נציבות שירות המדינה</w:t>
      </w:r>
      <w:r w:rsidRPr="00F547A3">
        <w:rPr>
          <w:rFonts w:ascii="Arial" w:eastAsia="Times New Roman" w:hAnsi="Arial" w:cs="Arial"/>
          <w:color w:val="000000"/>
          <w:sz w:val="20"/>
          <w:szCs w:val="20"/>
          <w:highlight w:val="yellow"/>
        </w:rPr>
        <w:t>".</w:t>
      </w:r>
      <w:bookmarkStart w:id="1" w:name="_GoBack"/>
      <w:bookmarkEnd w:id="1"/>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ט. הרחבת תחולת חוק הארכת מועדים ביחס לרשויות ציבוריות</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שרת המשפטים, בהסכמת משרד האוצר,  לבחון ולתקן את חוק הארכת מועדים, התשל"ה-1974 (להלן – חוק הארכת מועדים), באופן שייקבע כי חייל שנקרא לשירות מילואים בהתאם לסעיפים 8 ו-9 לחוק שירות המילואים, והוא חייב בתשלום לרשות ציבורית או בעשיית פעולה כלפי רשות ציבורית, במועד שחל בתקופת שירותו, יחולו לגביו הוראות חוק הארכת מועדים, בשינויים המחויבים וזאת גם ללא הכרזה של שר הביטחון בצו על השירות כשירות חירום</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י. קביעת מועד מבחן מיוחד לחיילי מילואים</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הממשלה רושמת לפניה כי שרת המשפטים תקנה את התקנות המפורטות להלן, כך שייקבע בהן מועד בחינה מיוחד לחיילי מילואים שנקראו לשירות מילואים בשירות פתע, כמפורט להלן</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t>1. </w:t>
      </w:r>
      <w:r w:rsidRPr="00F547A3">
        <w:rPr>
          <w:rFonts w:ascii="Arial" w:eastAsia="Times New Roman" w:hAnsi="Arial" w:cs="Arial"/>
          <w:color w:val="000000"/>
          <w:sz w:val="20"/>
          <w:szCs w:val="20"/>
          <w:rtl/>
        </w:rPr>
        <w:t xml:space="preserve">תקנות שמאי מקרקעין (בחינות), </w:t>
      </w:r>
      <w:proofErr w:type="spellStart"/>
      <w:r w:rsidRPr="00F547A3">
        <w:rPr>
          <w:rFonts w:ascii="Arial" w:eastAsia="Times New Roman" w:hAnsi="Arial" w:cs="Arial"/>
          <w:color w:val="000000"/>
          <w:sz w:val="20"/>
          <w:szCs w:val="20"/>
          <w:rtl/>
        </w:rPr>
        <w:t>התשס"ו</w:t>
      </w:r>
      <w:proofErr w:type="spellEnd"/>
      <w:r w:rsidRPr="00F547A3">
        <w:rPr>
          <w:rFonts w:ascii="Arial" w:eastAsia="Times New Roman" w:hAnsi="Arial" w:cs="Arial"/>
          <w:color w:val="000000"/>
          <w:sz w:val="20"/>
          <w:szCs w:val="20"/>
          <w:rtl/>
        </w:rPr>
        <w:t xml:space="preserve"> 2006</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2. </w:t>
      </w:r>
      <w:r w:rsidRPr="00F547A3">
        <w:rPr>
          <w:rFonts w:ascii="Arial" w:eastAsia="Times New Roman" w:hAnsi="Arial" w:cs="Arial"/>
          <w:color w:val="000000"/>
          <w:sz w:val="20"/>
          <w:szCs w:val="20"/>
          <w:rtl/>
        </w:rPr>
        <w:t>תקנות רואי חשבון, התשט"ז-1955</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3. </w:t>
      </w:r>
      <w:r w:rsidRPr="00F547A3">
        <w:rPr>
          <w:rFonts w:ascii="Arial" w:eastAsia="Times New Roman" w:hAnsi="Arial" w:cs="Arial"/>
          <w:color w:val="000000"/>
          <w:sz w:val="20"/>
          <w:szCs w:val="20"/>
          <w:rtl/>
        </w:rPr>
        <w:t>תקנות לשכת עורכי הדין (סדרי בחינות בדיני מדינת ישראל, באתיקה מקצועית החלה על עורכי דין זרים ובמקצועות המעשיים), התשכ"ג-1962</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4. </w:t>
      </w:r>
      <w:r w:rsidRPr="00F547A3">
        <w:rPr>
          <w:rFonts w:ascii="Arial" w:eastAsia="Times New Roman" w:hAnsi="Arial" w:cs="Arial"/>
          <w:color w:val="000000"/>
          <w:sz w:val="20"/>
          <w:szCs w:val="20"/>
          <w:rtl/>
        </w:rPr>
        <w:t>תקנות המתווכים במקרקעין, תשנ"ז-1997</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5. </w:t>
      </w:r>
      <w:r w:rsidRPr="00F547A3">
        <w:rPr>
          <w:rFonts w:ascii="Arial" w:eastAsia="Times New Roman" w:hAnsi="Arial" w:cs="Arial"/>
          <w:color w:val="000000"/>
          <w:sz w:val="20"/>
          <w:szCs w:val="20"/>
          <w:rtl/>
        </w:rPr>
        <w:t xml:space="preserve">תקנות הפטנטים (נוהלי הרשות, סדרי דין, מסמכים ואגרות),   </w:t>
      </w:r>
      <w:proofErr w:type="spellStart"/>
      <w:r w:rsidRPr="00F547A3">
        <w:rPr>
          <w:rFonts w:ascii="Arial" w:eastAsia="Times New Roman" w:hAnsi="Arial" w:cs="Arial"/>
          <w:color w:val="000000"/>
          <w:sz w:val="20"/>
          <w:szCs w:val="20"/>
          <w:rtl/>
        </w:rPr>
        <w:t>התשכ"ח</w:t>
      </w:r>
      <w:proofErr w:type="spellEnd"/>
      <w:r w:rsidRPr="00F547A3">
        <w:rPr>
          <w:rFonts w:ascii="Arial" w:eastAsia="Times New Roman" w:hAnsi="Arial" w:cs="Arial"/>
          <w:color w:val="000000"/>
          <w:sz w:val="20"/>
          <w:szCs w:val="20"/>
          <w:rtl/>
        </w:rPr>
        <w:t>- 1968</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שרת המשפטים תפעל להשלמת פרסום תיקון כאמור גם בתקנות חוקרים פרטיים ושירותי שמירה (בחינות בדיני ישראל ובאתיקה מקצועית), תשל"ג-1972</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יא. התאמות למשרתי מילואים פעילים הניגשים לבחינות לרישוי מקצועי במקצועות הבריאות שבאחריות משרד הבריאות</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 הבריאות להסדיר בתקנות או בנהלי משרד הבריאות את ההתאמות להלן בכל הנוגע למשרתי מילואים פעילים הניגשים לבחינות לרישוי מקצועי במקצועות הבריאות שבאחריותו</w:t>
      </w:r>
      <w:r w:rsidRPr="00F547A3">
        <w:rPr>
          <w:rFonts w:ascii="Arial" w:eastAsia="Times New Roman" w:hAnsi="Arial" w:cs="Arial"/>
          <w:color w:val="000000"/>
          <w:sz w:val="20"/>
          <w:szCs w:val="20"/>
        </w:rPr>
        <w:t xml:space="preserve">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t>1. </w:t>
      </w:r>
      <w:r w:rsidRPr="00F547A3">
        <w:rPr>
          <w:rFonts w:ascii="Arial" w:eastAsia="Times New Roman" w:hAnsi="Arial" w:cs="Arial"/>
          <w:color w:val="000000"/>
          <w:sz w:val="20"/>
          <w:szCs w:val="20"/>
          <w:rtl/>
        </w:rPr>
        <w:t>הרשמה לבחינה ומתן אפשרות להיבחן אף שמשרת  המילואים לא עמד במועדי הזמן הנדרשים לרישום מראש לבחינה</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2. </w:t>
      </w:r>
      <w:r w:rsidRPr="00F547A3">
        <w:rPr>
          <w:rFonts w:ascii="Arial" w:eastAsia="Times New Roman" w:hAnsi="Arial" w:cs="Arial"/>
          <w:color w:val="000000"/>
          <w:sz w:val="20"/>
          <w:szCs w:val="20"/>
          <w:rtl/>
        </w:rPr>
        <w:t>משרת מילואים שנרשם כנדרש ושילם אגרת רישוי לבחינה אך לא ניגש אליה בשל שירות מילואים</w:t>
      </w:r>
      <w:proofErr w:type="gramStart"/>
      <w:r w:rsidRPr="00F547A3">
        <w:rPr>
          <w:rFonts w:ascii="Arial" w:eastAsia="Times New Roman" w:hAnsi="Arial" w:cs="Arial"/>
          <w:color w:val="000000"/>
          <w:sz w:val="20"/>
          <w:szCs w:val="20"/>
          <w:rtl/>
        </w:rPr>
        <w:t>  יהיה</w:t>
      </w:r>
      <w:proofErr w:type="gramEnd"/>
      <w:r w:rsidRPr="00F547A3">
        <w:rPr>
          <w:rFonts w:ascii="Arial" w:eastAsia="Times New Roman" w:hAnsi="Arial" w:cs="Arial"/>
          <w:color w:val="000000"/>
          <w:sz w:val="20"/>
          <w:szCs w:val="20"/>
          <w:rtl/>
        </w:rPr>
        <w:t xml:space="preserve"> פטור מתשלום אגרה למועד הבחינה הבאה, עם הצגת אישור שירות מילואים פעיל במועד הבחינה המקורית</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proofErr w:type="spellStart"/>
      <w:r w:rsidRPr="00F547A3">
        <w:rPr>
          <w:rFonts w:ascii="Arial" w:eastAsia="Times New Roman" w:hAnsi="Arial" w:cs="Arial"/>
          <w:color w:val="000000"/>
          <w:sz w:val="20"/>
          <w:szCs w:val="20"/>
          <w:rtl/>
        </w:rPr>
        <w:t>יב</w:t>
      </w:r>
      <w:proofErr w:type="spellEnd"/>
      <w:r w:rsidRPr="00F547A3">
        <w:rPr>
          <w:rFonts w:ascii="Arial" w:eastAsia="Times New Roman" w:hAnsi="Arial" w:cs="Arial"/>
          <w:color w:val="000000"/>
          <w:sz w:val="20"/>
          <w:szCs w:val="20"/>
          <w:rtl/>
        </w:rPr>
        <w:t>. מועד מיוחד לביצוע מבחני רישוי ממשלתיים</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 xml:space="preserve">להטיל על שרים שבתחום אחריותם מצוי מבחן רישוי ממשלתי המסמיך בעלי מקצוע מסוים, למעט שר הבריאות, לתקן את התקנות המסדירות את קיום המבחנים האמורים, כך שיקבעו כי משרת מילואים שנקרא לשירות מילואים בקריאת פתע במועד שבו נקבעה בחינה, וכן בן זוג של משרת מילואים כאמור, יהיה זכאי למועד מיוחד וחלופי של אותה הבחינה, בין אם ניגש אליה ובין אם לאו, ובלבד שלא התקיים מועד בחינה נוסף בתוך ארבעה חודשים מהמועד שבו נקבעה אותה הבחינה. לעניין זה, "בן זוג" יוגדר כבן זוג של משרת המילואים ולו יש ילד משותף אחד או יותר שגילו לא עולה על 18 שנים; וכן "שירות מילואים בקריאת פתע" </w:t>
      </w:r>
      <w:r w:rsidRPr="00F547A3">
        <w:rPr>
          <w:rFonts w:ascii="Arial" w:eastAsia="Times New Roman" w:hAnsi="Arial" w:cs="Arial"/>
          <w:color w:val="000000"/>
          <w:sz w:val="20"/>
          <w:szCs w:val="20"/>
          <w:rtl/>
        </w:rPr>
        <w:lastRenderedPageBreak/>
        <w:t>יוגדר כלהלן: שירות מילואים לפי סעיף 8 או 9 לחוק שירות המילואים שמשכו לפחות 7 ימים או 14 ימים בהתאמה, בחודשיים שקדמו למועד הבחינה או שחל במועד הבחינה עצמו</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proofErr w:type="spellStart"/>
      <w:r w:rsidRPr="00F547A3">
        <w:rPr>
          <w:rFonts w:ascii="Arial" w:eastAsia="Times New Roman" w:hAnsi="Arial" w:cs="Arial"/>
          <w:color w:val="000000"/>
          <w:sz w:val="20"/>
          <w:szCs w:val="20"/>
          <w:rtl/>
        </w:rPr>
        <w:t>יג</w:t>
      </w:r>
      <w:proofErr w:type="spellEnd"/>
      <w:r w:rsidRPr="00F547A3">
        <w:rPr>
          <w:rFonts w:ascii="Arial" w:eastAsia="Times New Roman" w:hAnsi="Arial" w:cs="Arial"/>
          <w:color w:val="000000"/>
          <w:sz w:val="20"/>
          <w:szCs w:val="20"/>
          <w:rtl/>
        </w:rPr>
        <w:t>. הנחות בקרקע לחיילי מילואים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הממשלה רושמת לפניה את החלטת מועצת מקרקעי ישראל  לתקן את החלטת המועצה מס' 1492 כך שסעיף 4 בהחלטה האמורה יוחלף וייאמר בו</w:t>
      </w:r>
      <w:r w:rsidRPr="00F547A3">
        <w:rPr>
          <w:rFonts w:ascii="Arial" w:eastAsia="Times New Roman" w:hAnsi="Arial" w:cs="Arial"/>
          <w:color w:val="000000"/>
          <w:sz w:val="20"/>
          <w:szCs w:val="20"/>
        </w:rPr>
        <w:t xml:space="preserve"> – </w:t>
      </w:r>
      <w:r w:rsidRPr="00F547A3">
        <w:rPr>
          <w:rFonts w:ascii="Arial" w:eastAsia="Times New Roman" w:hAnsi="Arial" w:cs="Arial"/>
          <w:color w:val="000000"/>
          <w:sz w:val="20"/>
          <w:szCs w:val="20"/>
        </w:rPr>
        <w:br/>
        <w:t>"</w:t>
      </w:r>
      <w:r w:rsidRPr="00F547A3">
        <w:rPr>
          <w:rFonts w:ascii="Arial" w:eastAsia="Times New Roman" w:hAnsi="Arial" w:cs="Arial"/>
          <w:color w:val="000000"/>
          <w:sz w:val="20"/>
          <w:szCs w:val="20"/>
          <w:rtl/>
        </w:rPr>
        <w:t>חייל מילואים פעיל יהיה זכאי לכפל הנחות במחיר הקרקע. על אף האמור רשאית  הנהלת הרשות לקבוע סוגי הנחות אשר לגביהם לא יהיה כפל הנחות</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יד. תכניות של המשרד לשוויון חברתי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השרה לשוויון חברתי לעדכן לתקופה החל משנת הלימודים תשע"ח את כללי התכניות של המשרד לשוויון חברתי להפעלת סטודנטים למען הקהילה תמורת מלגה באופן הבא</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1. </w:t>
      </w:r>
      <w:r w:rsidRPr="00F547A3">
        <w:rPr>
          <w:rFonts w:ascii="Arial" w:eastAsia="Times New Roman" w:hAnsi="Arial" w:cs="Arial"/>
          <w:color w:val="000000"/>
          <w:sz w:val="20"/>
          <w:szCs w:val="20"/>
          <w:rtl/>
        </w:rPr>
        <w:t>הגדלת המלגה ב-20% לסטודנט שביצע יותר מ-25 ימי מילואים בשנה</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2. </w:t>
      </w:r>
      <w:r w:rsidRPr="00F547A3">
        <w:rPr>
          <w:rFonts w:ascii="Arial" w:eastAsia="Times New Roman" w:hAnsi="Arial" w:cs="Arial"/>
          <w:color w:val="000000"/>
          <w:sz w:val="20"/>
          <w:szCs w:val="20"/>
          <w:rtl/>
        </w:rPr>
        <w:t>מתן עדיפות לקבלה לתכניות הנ"ל למועמדים שהם משרתי מילואים פעילים. אין באמור לעיל כדי לגרוע מהדרישה כי המועמד יעמוד בתנאי הקבלה לתכנית הרלוונטית</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t>3. </w:t>
      </w:r>
      <w:r w:rsidRPr="00F547A3">
        <w:rPr>
          <w:rFonts w:ascii="Arial" w:eastAsia="Times New Roman" w:hAnsi="Arial" w:cs="Arial"/>
          <w:color w:val="000000"/>
          <w:sz w:val="20"/>
          <w:szCs w:val="20"/>
          <w:rtl/>
        </w:rPr>
        <w:t>סטודנט המשתתף באחת מן התכניות הנ"ל יהיה זכאי למלגה המוענקת בתכנית, אף אם לא השלים את מכסת השעות הנדרשת לפי התכנית, אם היעדרותו נבעה משירות מילואים ובלבד שהשלים מינימום שעות כפי שיקבע המשרד</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טו. הטבות לחיילי המילואים בתמיכה בגרעיני משימה </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 החקלאות ופיתוח הכפר לפעול לתיקון המבחנים לשנת 2018, לצורך תמיכה של משרד החקלאות ופיתוח הכפר במוסדות ציבור בתחום גרעיני משימה לפי חוק יסודות התקציב, התשמ"ה-1985, באופן שבו ייקבע כי יינתן ניקוד עודף לגרעין משימה שאחוז מסוים מחבריו משרתים שירות מילואים פעיל, בניסוח שיאושר לאחר התייעצות עם היועץ המשפטי לממשלה</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proofErr w:type="spellStart"/>
      <w:r w:rsidRPr="00F547A3">
        <w:rPr>
          <w:rFonts w:ascii="Arial" w:eastAsia="Times New Roman" w:hAnsi="Arial" w:cs="Arial"/>
          <w:color w:val="000000"/>
          <w:sz w:val="20"/>
          <w:szCs w:val="20"/>
          <w:rtl/>
        </w:rPr>
        <w:t>טז</w:t>
      </w:r>
      <w:proofErr w:type="spellEnd"/>
      <w:r w:rsidRPr="00F547A3">
        <w:rPr>
          <w:rFonts w:ascii="Arial" w:eastAsia="Times New Roman" w:hAnsi="Arial" w:cs="Arial"/>
          <w:color w:val="000000"/>
          <w:sz w:val="20"/>
          <w:szCs w:val="20"/>
          <w:rtl/>
        </w:rPr>
        <w:t>. הטבות לחיילי המילואים בפרויקט "דירה להשכיר</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להטיל על שר הבינוי והשיכון, רשות מקרקעי ישראל ואגף התקציבים באוצר לבחון את האפשרות לתת עדיפות למשרתי מילואים פעילים בהקצאת דירות להשכרה ארוכת טווח בפריפריה, בפרויקטים של התכנית "דירה להשכיר</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proofErr w:type="spellStart"/>
      <w:r w:rsidRPr="00F547A3">
        <w:rPr>
          <w:rFonts w:ascii="Arial" w:eastAsia="Times New Roman" w:hAnsi="Arial" w:cs="Arial"/>
          <w:color w:val="000000"/>
          <w:sz w:val="20"/>
          <w:szCs w:val="20"/>
          <w:rtl/>
        </w:rPr>
        <w:t>יז</w:t>
      </w:r>
      <w:proofErr w:type="spellEnd"/>
      <w:r w:rsidRPr="00F547A3">
        <w:rPr>
          <w:rFonts w:ascii="Arial" w:eastAsia="Times New Roman" w:hAnsi="Arial" w:cs="Arial"/>
          <w:color w:val="000000"/>
          <w:sz w:val="20"/>
          <w:szCs w:val="20"/>
          <w:rtl/>
        </w:rPr>
        <w:t>. תיקון החלטה 1447 – תיקון הרכב ועדת המנכ"לים לטיפול בחיילי המילואים</w:t>
      </w:r>
      <w:r w:rsidRPr="00F547A3">
        <w:rPr>
          <w:rFonts w:ascii="Arial" w:eastAsia="Times New Roman" w:hAnsi="Arial" w:cs="Arial"/>
          <w:color w:val="000000"/>
          <w:sz w:val="20"/>
          <w:szCs w:val="20"/>
        </w:rPr>
        <w:br/>
        <w:t>1. </w:t>
      </w:r>
      <w:r w:rsidRPr="00F547A3">
        <w:rPr>
          <w:rFonts w:ascii="Arial" w:eastAsia="Times New Roman" w:hAnsi="Arial" w:cs="Arial"/>
          <w:color w:val="000000"/>
          <w:sz w:val="20"/>
          <w:szCs w:val="20"/>
          <w:rtl/>
        </w:rPr>
        <w:t>לתקן את סעיף 1(ו)(1) בהחלטה 1447 כך שבראש  ועדת המנכ"לים לטיפול בחיילי המילואים יעמוד סגן השר במשרד הביטחון ובאין סגן שר במשרד הביטחון יישב בראש הוועדה, מנכ"ל משרד הביטחון</w:t>
      </w:r>
      <w:r w:rsidRPr="00F547A3">
        <w:rPr>
          <w:rFonts w:ascii="Arial" w:eastAsia="Times New Roman" w:hAnsi="Arial" w:cs="Arial"/>
          <w:color w:val="000000"/>
          <w:sz w:val="20"/>
          <w:szCs w:val="20"/>
        </w:rPr>
        <w:t>. </w:t>
      </w:r>
      <w:r w:rsidRPr="00F547A3">
        <w:rPr>
          <w:rFonts w:ascii="Arial" w:eastAsia="Times New Roman" w:hAnsi="Arial" w:cs="Arial"/>
          <w:color w:val="000000"/>
          <w:sz w:val="20"/>
          <w:szCs w:val="20"/>
        </w:rPr>
        <w:br/>
        <w:t>2. </w:t>
      </w:r>
      <w:r w:rsidRPr="00F547A3">
        <w:rPr>
          <w:rFonts w:ascii="Arial" w:eastAsia="Times New Roman" w:hAnsi="Arial" w:cs="Arial"/>
          <w:color w:val="000000"/>
          <w:sz w:val="20"/>
          <w:szCs w:val="20"/>
          <w:rtl/>
        </w:rPr>
        <w:t xml:space="preserve">משרדי הממשלה הנוגעים לדבר יציגו לוועדת השרים לעניין מערך המילואים בתוך </w:t>
      </w:r>
      <w:proofErr w:type="gramStart"/>
      <w:r w:rsidRPr="00F547A3">
        <w:rPr>
          <w:rFonts w:ascii="Arial" w:eastAsia="Times New Roman" w:hAnsi="Arial" w:cs="Arial"/>
          <w:color w:val="000000"/>
          <w:sz w:val="20"/>
          <w:szCs w:val="20"/>
          <w:rtl/>
        </w:rPr>
        <w:t>90 יום</w:t>
      </w:r>
      <w:proofErr w:type="gramEnd"/>
      <w:r w:rsidRPr="00F547A3">
        <w:rPr>
          <w:rFonts w:ascii="Arial" w:eastAsia="Times New Roman" w:hAnsi="Arial" w:cs="Arial"/>
          <w:color w:val="000000"/>
          <w:sz w:val="20"/>
          <w:szCs w:val="20"/>
          <w:rtl/>
        </w:rPr>
        <w:t xml:space="preserve"> ממועד אישור החלטה זו, את אופן התקדמות ויישום החלטה זו</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t>3. </w:t>
      </w:r>
      <w:r w:rsidRPr="00F547A3">
        <w:rPr>
          <w:rFonts w:ascii="Arial" w:eastAsia="Times New Roman" w:hAnsi="Arial" w:cs="Arial"/>
          <w:color w:val="000000"/>
          <w:sz w:val="20"/>
          <w:szCs w:val="20"/>
          <w:rtl/>
        </w:rPr>
        <w:t>בהתאם לסעיף 40א לחוק יסודות התקציב, יובהר כי החלטות אלו ימומנו מתקציבי משרדי הממשלה המוזכרים בהחלטה זו, לרבות ביצוע פעולות מאזנות לצורך מימון ההשפעה על צד ההכנסה, ולא יידרשו בגינן תוספות תקציביות לשנים 2019-2017</w:t>
      </w:r>
      <w:r w:rsidRPr="00F547A3">
        <w:rPr>
          <w:rFonts w:ascii="Arial" w:eastAsia="Times New Roman" w:hAnsi="Arial" w:cs="Arial"/>
          <w:color w:val="000000"/>
          <w:sz w:val="20"/>
          <w:szCs w:val="20"/>
        </w:rPr>
        <w:t>."</w:t>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Pr>
        <w:br/>
      </w:r>
      <w:r w:rsidRPr="00F547A3">
        <w:rPr>
          <w:rFonts w:ascii="Arial" w:eastAsia="Times New Roman" w:hAnsi="Arial" w:cs="Arial"/>
          <w:color w:val="000000"/>
          <w:sz w:val="20"/>
          <w:szCs w:val="20"/>
          <w:rtl/>
        </w:rPr>
        <w:t>ההחלטה התקבלה בהתאם לסעיף 19(ב) בתקנון לעבודת הממשלה</w:t>
      </w:r>
      <w:r w:rsidRPr="00F547A3">
        <w:rPr>
          <w:rFonts w:ascii="Arial" w:eastAsia="Times New Roman" w:hAnsi="Arial" w:cs="Arial"/>
          <w:color w:val="000000"/>
          <w:sz w:val="20"/>
          <w:szCs w:val="20"/>
        </w:rPr>
        <w:t>.</w:t>
      </w:r>
    </w:p>
    <w:p w:rsidR="00E075C5" w:rsidRDefault="00E075C5" w:rsidP="00844141"/>
    <w:sectPr w:rsidR="00E075C5" w:rsidSect="00A74E1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78FE"/>
    <w:rsid w:val="00013CA2"/>
    <w:rsid w:val="00014E67"/>
    <w:rsid w:val="000461EA"/>
    <w:rsid w:val="000508B5"/>
    <w:rsid w:val="00067CA9"/>
    <w:rsid w:val="00070C43"/>
    <w:rsid w:val="000727AB"/>
    <w:rsid w:val="000917F8"/>
    <w:rsid w:val="00091D5F"/>
    <w:rsid w:val="00096C05"/>
    <w:rsid w:val="000978AC"/>
    <w:rsid w:val="000A12AB"/>
    <w:rsid w:val="000A46F9"/>
    <w:rsid w:val="000B0E1F"/>
    <w:rsid w:val="000C0DB8"/>
    <w:rsid w:val="000E3098"/>
    <w:rsid w:val="000E3A4D"/>
    <w:rsid w:val="000F689B"/>
    <w:rsid w:val="00107D77"/>
    <w:rsid w:val="001210AF"/>
    <w:rsid w:val="00130D8C"/>
    <w:rsid w:val="001401ED"/>
    <w:rsid w:val="001445D6"/>
    <w:rsid w:val="0015233A"/>
    <w:rsid w:val="001645B6"/>
    <w:rsid w:val="00173B2F"/>
    <w:rsid w:val="00184121"/>
    <w:rsid w:val="0018477B"/>
    <w:rsid w:val="001856EA"/>
    <w:rsid w:val="0019401D"/>
    <w:rsid w:val="001A04D0"/>
    <w:rsid w:val="001D1F1E"/>
    <w:rsid w:val="001D709A"/>
    <w:rsid w:val="001E255C"/>
    <w:rsid w:val="001E3B51"/>
    <w:rsid w:val="001E76F2"/>
    <w:rsid w:val="001F2B66"/>
    <w:rsid w:val="001F2D2F"/>
    <w:rsid w:val="001F45AD"/>
    <w:rsid w:val="001F58A9"/>
    <w:rsid w:val="00201DEB"/>
    <w:rsid w:val="002045D7"/>
    <w:rsid w:val="00211225"/>
    <w:rsid w:val="00212479"/>
    <w:rsid w:val="002135AC"/>
    <w:rsid w:val="00230665"/>
    <w:rsid w:val="002446AD"/>
    <w:rsid w:val="00254348"/>
    <w:rsid w:val="002659E5"/>
    <w:rsid w:val="002671C2"/>
    <w:rsid w:val="0027063B"/>
    <w:rsid w:val="00284C57"/>
    <w:rsid w:val="002912FF"/>
    <w:rsid w:val="00294855"/>
    <w:rsid w:val="002B42C9"/>
    <w:rsid w:val="002E042A"/>
    <w:rsid w:val="002E79B2"/>
    <w:rsid w:val="003002D5"/>
    <w:rsid w:val="003013B9"/>
    <w:rsid w:val="00301722"/>
    <w:rsid w:val="00302142"/>
    <w:rsid w:val="003046AD"/>
    <w:rsid w:val="003115F7"/>
    <w:rsid w:val="00321248"/>
    <w:rsid w:val="00343A9D"/>
    <w:rsid w:val="00364571"/>
    <w:rsid w:val="0036646A"/>
    <w:rsid w:val="00370A1F"/>
    <w:rsid w:val="0037190F"/>
    <w:rsid w:val="00380534"/>
    <w:rsid w:val="00384DD5"/>
    <w:rsid w:val="0039218D"/>
    <w:rsid w:val="003A1A09"/>
    <w:rsid w:val="003B27C4"/>
    <w:rsid w:val="003B3BEB"/>
    <w:rsid w:val="003B6ABA"/>
    <w:rsid w:val="003C58B5"/>
    <w:rsid w:val="003C78FE"/>
    <w:rsid w:val="003E2636"/>
    <w:rsid w:val="003E66D9"/>
    <w:rsid w:val="00401386"/>
    <w:rsid w:val="004042A1"/>
    <w:rsid w:val="00404B80"/>
    <w:rsid w:val="00416CAF"/>
    <w:rsid w:val="004273E9"/>
    <w:rsid w:val="00433AF4"/>
    <w:rsid w:val="004421F6"/>
    <w:rsid w:val="004440A2"/>
    <w:rsid w:val="004453CF"/>
    <w:rsid w:val="00480063"/>
    <w:rsid w:val="00481697"/>
    <w:rsid w:val="004A5689"/>
    <w:rsid w:val="004B122E"/>
    <w:rsid w:val="004B37B0"/>
    <w:rsid w:val="004B49B6"/>
    <w:rsid w:val="004B5955"/>
    <w:rsid w:val="004B6C7E"/>
    <w:rsid w:val="004C73FA"/>
    <w:rsid w:val="004E0484"/>
    <w:rsid w:val="004E4191"/>
    <w:rsid w:val="004F294D"/>
    <w:rsid w:val="004F35FB"/>
    <w:rsid w:val="004F3D7E"/>
    <w:rsid w:val="0050419F"/>
    <w:rsid w:val="005065F8"/>
    <w:rsid w:val="0053308E"/>
    <w:rsid w:val="00533613"/>
    <w:rsid w:val="00534179"/>
    <w:rsid w:val="005414E7"/>
    <w:rsid w:val="00563D42"/>
    <w:rsid w:val="00567386"/>
    <w:rsid w:val="005719C5"/>
    <w:rsid w:val="00575280"/>
    <w:rsid w:val="0058280D"/>
    <w:rsid w:val="00590FDF"/>
    <w:rsid w:val="005A10D8"/>
    <w:rsid w:val="005A4861"/>
    <w:rsid w:val="005A7DBB"/>
    <w:rsid w:val="005B0C44"/>
    <w:rsid w:val="005C399A"/>
    <w:rsid w:val="005C3CAE"/>
    <w:rsid w:val="005D5841"/>
    <w:rsid w:val="005E3B7D"/>
    <w:rsid w:val="005F5697"/>
    <w:rsid w:val="00611B29"/>
    <w:rsid w:val="0062277B"/>
    <w:rsid w:val="00626876"/>
    <w:rsid w:val="006311F6"/>
    <w:rsid w:val="006363AB"/>
    <w:rsid w:val="006369B1"/>
    <w:rsid w:val="00655CC4"/>
    <w:rsid w:val="00691127"/>
    <w:rsid w:val="0069709F"/>
    <w:rsid w:val="006D24E4"/>
    <w:rsid w:val="006D46CD"/>
    <w:rsid w:val="006E47E1"/>
    <w:rsid w:val="00707593"/>
    <w:rsid w:val="00715E5B"/>
    <w:rsid w:val="00717A54"/>
    <w:rsid w:val="0072219B"/>
    <w:rsid w:val="007234C0"/>
    <w:rsid w:val="00725BB9"/>
    <w:rsid w:val="00762502"/>
    <w:rsid w:val="00764DD9"/>
    <w:rsid w:val="00777042"/>
    <w:rsid w:val="00781822"/>
    <w:rsid w:val="00790844"/>
    <w:rsid w:val="007A0518"/>
    <w:rsid w:val="007A18E7"/>
    <w:rsid w:val="007A44CD"/>
    <w:rsid w:val="007B4D75"/>
    <w:rsid w:val="007C73DC"/>
    <w:rsid w:val="007F43AA"/>
    <w:rsid w:val="007F456A"/>
    <w:rsid w:val="008059B2"/>
    <w:rsid w:val="00807C0C"/>
    <w:rsid w:val="00811DEB"/>
    <w:rsid w:val="0081214A"/>
    <w:rsid w:val="00820BDC"/>
    <w:rsid w:val="00835D4E"/>
    <w:rsid w:val="00844141"/>
    <w:rsid w:val="00844F93"/>
    <w:rsid w:val="0084756B"/>
    <w:rsid w:val="00860EE8"/>
    <w:rsid w:val="008720C1"/>
    <w:rsid w:val="00872E95"/>
    <w:rsid w:val="00875942"/>
    <w:rsid w:val="00876511"/>
    <w:rsid w:val="00876CD6"/>
    <w:rsid w:val="00877E0C"/>
    <w:rsid w:val="008801BA"/>
    <w:rsid w:val="00880AE9"/>
    <w:rsid w:val="00893DF0"/>
    <w:rsid w:val="0089752B"/>
    <w:rsid w:val="008A3E23"/>
    <w:rsid w:val="008A67EA"/>
    <w:rsid w:val="008A7A5A"/>
    <w:rsid w:val="008B186E"/>
    <w:rsid w:val="008B3B00"/>
    <w:rsid w:val="008B6ECF"/>
    <w:rsid w:val="008C415C"/>
    <w:rsid w:val="008C4789"/>
    <w:rsid w:val="008C5A16"/>
    <w:rsid w:val="008D110B"/>
    <w:rsid w:val="008E1D7E"/>
    <w:rsid w:val="008F077D"/>
    <w:rsid w:val="008F0ADF"/>
    <w:rsid w:val="008F5DBD"/>
    <w:rsid w:val="008F6E32"/>
    <w:rsid w:val="00944CA1"/>
    <w:rsid w:val="009464E5"/>
    <w:rsid w:val="009571DA"/>
    <w:rsid w:val="00977390"/>
    <w:rsid w:val="009A059C"/>
    <w:rsid w:val="009B297E"/>
    <w:rsid w:val="009B504C"/>
    <w:rsid w:val="009C44FA"/>
    <w:rsid w:val="009C758C"/>
    <w:rsid w:val="009E3D0A"/>
    <w:rsid w:val="009F63F6"/>
    <w:rsid w:val="00A03144"/>
    <w:rsid w:val="00A17662"/>
    <w:rsid w:val="00A358E7"/>
    <w:rsid w:val="00A57173"/>
    <w:rsid w:val="00A6181D"/>
    <w:rsid w:val="00A735FF"/>
    <w:rsid w:val="00A74E17"/>
    <w:rsid w:val="00A9113C"/>
    <w:rsid w:val="00A928D8"/>
    <w:rsid w:val="00AA68CB"/>
    <w:rsid w:val="00AC079C"/>
    <w:rsid w:val="00AC1670"/>
    <w:rsid w:val="00AC2651"/>
    <w:rsid w:val="00AC5443"/>
    <w:rsid w:val="00AD5B6E"/>
    <w:rsid w:val="00AD6337"/>
    <w:rsid w:val="00AF479D"/>
    <w:rsid w:val="00AF63BA"/>
    <w:rsid w:val="00B02603"/>
    <w:rsid w:val="00B05704"/>
    <w:rsid w:val="00B05D61"/>
    <w:rsid w:val="00B20F54"/>
    <w:rsid w:val="00B2340C"/>
    <w:rsid w:val="00B235F0"/>
    <w:rsid w:val="00B303FB"/>
    <w:rsid w:val="00B53D71"/>
    <w:rsid w:val="00B562C5"/>
    <w:rsid w:val="00B6005E"/>
    <w:rsid w:val="00B70C76"/>
    <w:rsid w:val="00B815EC"/>
    <w:rsid w:val="00B84A08"/>
    <w:rsid w:val="00BA6C3A"/>
    <w:rsid w:val="00BC24F8"/>
    <w:rsid w:val="00BC28A8"/>
    <w:rsid w:val="00BC7990"/>
    <w:rsid w:val="00BE429A"/>
    <w:rsid w:val="00BF1EDF"/>
    <w:rsid w:val="00BF275F"/>
    <w:rsid w:val="00C06139"/>
    <w:rsid w:val="00C1411F"/>
    <w:rsid w:val="00C24134"/>
    <w:rsid w:val="00C320F5"/>
    <w:rsid w:val="00C46F71"/>
    <w:rsid w:val="00C55FC4"/>
    <w:rsid w:val="00C64713"/>
    <w:rsid w:val="00C64C11"/>
    <w:rsid w:val="00C7037A"/>
    <w:rsid w:val="00C711ED"/>
    <w:rsid w:val="00C7579F"/>
    <w:rsid w:val="00C9585D"/>
    <w:rsid w:val="00C97F21"/>
    <w:rsid w:val="00CA50FC"/>
    <w:rsid w:val="00CB1E28"/>
    <w:rsid w:val="00CC67F1"/>
    <w:rsid w:val="00CC7AEB"/>
    <w:rsid w:val="00CD3145"/>
    <w:rsid w:val="00CD67AB"/>
    <w:rsid w:val="00CE5F6C"/>
    <w:rsid w:val="00CF25A1"/>
    <w:rsid w:val="00CF677B"/>
    <w:rsid w:val="00CF7311"/>
    <w:rsid w:val="00D012AF"/>
    <w:rsid w:val="00D025DB"/>
    <w:rsid w:val="00D0681D"/>
    <w:rsid w:val="00D10A89"/>
    <w:rsid w:val="00D22219"/>
    <w:rsid w:val="00D42752"/>
    <w:rsid w:val="00D562C4"/>
    <w:rsid w:val="00D72CE3"/>
    <w:rsid w:val="00D966B8"/>
    <w:rsid w:val="00D96C4E"/>
    <w:rsid w:val="00DA326E"/>
    <w:rsid w:val="00DA3A94"/>
    <w:rsid w:val="00DB4F19"/>
    <w:rsid w:val="00DC6DC5"/>
    <w:rsid w:val="00DE3F6A"/>
    <w:rsid w:val="00DF11A3"/>
    <w:rsid w:val="00E00A94"/>
    <w:rsid w:val="00E06DC4"/>
    <w:rsid w:val="00E075C5"/>
    <w:rsid w:val="00E10C39"/>
    <w:rsid w:val="00E25190"/>
    <w:rsid w:val="00E27C2A"/>
    <w:rsid w:val="00E35A21"/>
    <w:rsid w:val="00E62607"/>
    <w:rsid w:val="00E70832"/>
    <w:rsid w:val="00E7677E"/>
    <w:rsid w:val="00E80C73"/>
    <w:rsid w:val="00E858CC"/>
    <w:rsid w:val="00E8600A"/>
    <w:rsid w:val="00E87F7B"/>
    <w:rsid w:val="00E91A51"/>
    <w:rsid w:val="00E93F77"/>
    <w:rsid w:val="00E9460C"/>
    <w:rsid w:val="00EA02CF"/>
    <w:rsid w:val="00EA1278"/>
    <w:rsid w:val="00EA37E5"/>
    <w:rsid w:val="00EA58C4"/>
    <w:rsid w:val="00EB0634"/>
    <w:rsid w:val="00ED0E57"/>
    <w:rsid w:val="00EE2E27"/>
    <w:rsid w:val="00EE6D15"/>
    <w:rsid w:val="00EF32F7"/>
    <w:rsid w:val="00EF4572"/>
    <w:rsid w:val="00F0231F"/>
    <w:rsid w:val="00F140D3"/>
    <w:rsid w:val="00F14DEA"/>
    <w:rsid w:val="00F15044"/>
    <w:rsid w:val="00F349AF"/>
    <w:rsid w:val="00F36361"/>
    <w:rsid w:val="00F41590"/>
    <w:rsid w:val="00F50102"/>
    <w:rsid w:val="00F5345C"/>
    <w:rsid w:val="00F547A3"/>
    <w:rsid w:val="00F56E91"/>
    <w:rsid w:val="00F74360"/>
    <w:rsid w:val="00F83576"/>
    <w:rsid w:val="00F83DCE"/>
    <w:rsid w:val="00F97A2C"/>
    <w:rsid w:val="00F97A59"/>
    <w:rsid w:val="00FA13EF"/>
    <w:rsid w:val="00FA2800"/>
    <w:rsid w:val="00FB62A4"/>
    <w:rsid w:val="00FC7C90"/>
    <w:rsid w:val="00FE3B2E"/>
    <w:rsid w:val="00FE3E15"/>
    <w:rsid w:val="00FF182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712A3A7-D738-44F6-8D38-3C643B3BE1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link w:val="10"/>
    <w:uiPriority w:val="9"/>
    <w:qFormat/>
    <w:rsid w:val="00F547A3"/>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3">
    <w:name w:val="heading 3"/>
    <w:basedOn w:val="a"/>
    <w:link w:val="30"/>
    <w:uiPriority w:val="9"/>
    <w:qFormat/>
    <w:rsid w:val="00F547A3"/>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F547A3"/>
    <w:rPr>
      <w:rFonts w:ascii="Times New Roman" w:eastAsia="Times New Roman" w:hAnsi="Times New Roman" w:cs="Times New Roman"/>
      <w:b/>
      <w:bCs/>
      <w:kern w:val="36"/>
      <w:sz w:val="48"/>
      <w:szCs w:val="48"/>
    </w:rPr>
  </w:style>
  <w:style w:type="character" w:customStyle="1" w:styleId="30">
    <w:name w:val="כותרת 3 תו"/>
    <w:basedOn w:val="a0"/>
    <w:link w:val="3"/>
    <w:uiPriority w:val="9"/>
    <w:rsid w:val="00F547A3"/>
    <w:rPr>
      <w:rFonts w:ascii="Times New Roman" w:eastAsia="Times New Roman" w:hAnsi="Times New Roman" w:cs="Times New Roman"/>
      <w:b/>
      <w:bCs/>
      <w:sz w:val="27"/>
      <w:szCs w:val="27"/>
    </w:rPr>
  </w:style>
  <w:style w:type="paragraph" w:styleId="NormalWeb">
    <w:name w:val="Normal (Web)"/>
    <w:basedOn w:val="a"/>
    <w:uiPriority w:val="99"/>
    <w:semiHidden/>
    <w:unhideWhenUsed/>
    <w:rsid w:val="00F547A3"/>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F547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5766312">
      <w:bodyDiv w:val="1"/>
      <w:marLeft w:val="0"/>
      <w:marRight w:val="0"/>
      <w:marTop w:val="0"/>
      <w:marBottom w:val="0"/>
      <w:divBdr>
        <w:top w:val="none" w:sz="0" w:space="0" w:color="auto"/>
        <w:left w:val="none" w:sz="0" w:space="0" w:color="auto"/>
        <w:bottom w:val="none" w:sz="0" w:space="0" w:color="auto"/>
        <w:right w:val="none" w:sz="0" w:space="0" w:color="auto"/>
      </w:divBdr>
      <w:divsChild>
        <w:div w:id="829105402">
          <w:marLeft w:val="0"/>
          <w:marRight w:val="0"/>
          <w:marTop w:val="0"/>
          <w:marBottom w:val="0"/>
          <w:divBdr>
            <w:top w:val="none" w:sz="0" w:space="0" w:color="auto"/>
            <w:left w:val="none" w:sz="0" w:space="0" w:color="auto"/>
            <w:bottom w:val="none" w:sz="0" w:space="0" w:color="auto"/>
            <w:right w:val="none" w:sz="0" w:space="0" w:color="auto"/>
          </w:divBdr>
          <w:divsChild>
            <w:div w:id="869100789">
              <w:marLeft w:val="0"/>
              <w:marRight w:val="0"/>
              <w:marTop w:val="45"/>
              <w:marBottom w:val="0"/>
              <w:divBdr>
                <w:top w:val="none" w:sz="0" w:space="0" w:color="auto"/>
                <w:left w:val="none" w:sz="0" w:space="0" w:color="auto"/>
                <w:bottom w:val="none" w:sz="0" w:space="0" w:color="auto"/>
                <w:right w:val="none" w:sz="0" w:space="0" w:color="auto"/>
              </w:divBdr>
            </w:div>
            <w:div w:id="356082011">
              <w:marLeft w:val="0"/>
              <w:marRight w:val="0"/>
              <w:marTop w:val="0"/>
              <w:marBottom w:val="0"/>
              <w:divBdr>
                <w:top w:val="none" w:sz="0" w:space="0" w:color="auto"/>
                <w:left w:val="none" w:sz="0" w:space="0" w:color="auto"/>
                <w:bottom w:val="none" w:sz="0" w:space="0" w:color="auto"/>
                <w:right w:val="none" w:sz="0" w:space="0" w:color="auto"/>
              </w:divBdr>
            </w:div>
            <w:div w:id="620458231">
              <w:marLeft w:val="0"/>
              <w:marRight w:val="0"/>
              <w:marTop w:val="0"/>
              <w:marBottom w:val="0"/>
              <w:divBdr>
                <w:top w:val="none" w:sz="0" w:space="0" w:color="auto"/>
                <w:left w:val="none" w:sz="0" w:space="0" w:color="auto"/>
                <w:bottom w:val="none" w:sz="0" w:space="0" w:color="auto"/>
                <w:right w:val="none" w:sz="0" w:space="0" w:color="auto"/>
              </w:divBdr>
              <w:divsChild>
                <w:div w:id="323123429">
                  <w:marLeft w:val="0"/>
                  <w:marRight w:val="0"/>
                  <w:marTop w:val="0"/>
                  <w:marBottom w:val="0"/>
                  <w:divBdr>
                    <w:top w:val="none" w:sz="0" w:space="0" w:color="auto"/>
                    <w:left w:val="none" w:sz="0" w:space="0" w:color="auto"/>
                    <w:bottom w:val="none" w:sz="0" w:space="0" w:color="auto"/>
                    <w:right w:val="none" w:sz="0" w:space="0" w:color="auto"/>
                  </w:divBdr>
                  <w:divsChild>
                    <w:div w:id="2015036914">
                      <w:marLeft w:val="0"/>
                      <w:marRight w:val="0"/>
                      <w:marTop w:val="0"/>
                      <w:marBottom w:val="225"/>
                      <w:divBdr>
                        <w:top w:val="none" w:sz="0" w:space="0" w:color="auto"/>
                        <w:left w:val="none" w:sz="0" w:space="0" w:color="auto"/>
                        <w:bottom w:val="none" w:sz="0" w:space="0" w:color="auto"/>
                        <w:right w:val="none" w:sz="0" w:space="0" w:color="auto"/>
                      </w:divBdr>
                      <w:divsChild>
                        <w:div w:id="378096160">
                          <w:marLeft w:val="0"/>
                          <w:marRight w:val="0"/>
                          <w:marTop w:val="0"/>
                          <w:marBottom w:val="0"/>
                          <w:divBdr>
                            <w:top w:val="none" w:sz="0" w:space="0" w:color="auto"/>
                            <w:left w:val="none" w:sz="0" w:space="0" w:color="auto"/>
                            <w:bottom w:val="dashed" w:sz="6" w:space="8" w:color="009EAE"/>
                            <w:right w:val="none" w:sz="0" w:space="0" w:color="auto"/>
                          </w:divBdr>
                        </w:div>
                        <w:div w:id="1326324964">
                          <w:marLeft w:val="0"/>
                          <w:marRight w:val="0"/>
                          <w:marTop w:val="0"/>
                          <w:marBottom w:val="0"/>
                          <w:divBdr>
                            <w:top w:val="none" w:sz="0" w:space="0" w:color="auto"/>
                            <w:left w:val="none" w:sz="0" w:space="0" w:color="auto"/>
                            <w:bottom w:val="none" w:sz="0" w:space="0" w:color="auto"/>
                            <w:right w:val="none" w:sz="0" w:space="0" w:color="auto"/>
                          </w:divBdr>
                        </w:div>
                        <w:div w:id="1922793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185383">
              <w:marLeft w:val="0"/>
              <w:marRight w:val="0"/>
              <w:marTop w:val="0"/>
              <w:marBottom w:val="0"/>
              <w:divBdr>
                <w:top w:val="none" w:sz="0" w:space="0" w:color="auto"/>
                <w:left w:val="none" w:sz="0" w:space="0" w:color="auto"/>
                <w:bottom w:val="none" w:sz="0" w:space="0" w:color="auto"/>
                <w:right w:val="none" w:sz="0" w:space="0" w:color="auto"/>
              </w:divBdr>
            </w:div>
            <w:div w:id="1860387621">
              <w:marLeft w:val="0"/>
              <w:marRight w:val="0"/>
              <w:marTop w:val="0"/>
              <w:marBottom w:val="0"/>
              <w:divBdr>
                <w:top w:val="none" w:sz="0" w:space="0" w:color="auto"/>
                <w:left w:val="none" w:sz="0" w:space="0" w:color="auto"/>
                <w:bottom w:val="none" w:sz="0" w:space="0" w:color="auto"/>
                <w:right w:val="none" w:sz="0" w:space="0" w:color="auto"/>
              </w:divBdr>
            </w:div>
            <w:div w:id="2610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857576">
      <w:bodyDiv w:val="1"/>
      <w:marLeft w:val="0"/>
      <w:marRight w:val="0"/>
      <w:marTop w:val="0"/>
      <w:marBottom w:val="0"/>
      <w:divBdr>
        <w:top w:val="none" w:sz="0" w:space="0" w:color="auto"/>
        <w:left w:val="none" w:sz="0" w:space="0" w:color="auto"/>
        <w:bottom w:val="none" w:sz="0" w:space="0" w:color="auto"/>
        <w:right w:val="none" w:sz="0" w:space="0" w:color="auto"/>
      </w:divBdr>
      <w:divsChild>
        <w:div w:id="207379336">
          <w:marLeft w:val="0"/>
          <w:marRight w:val="0"/>
          <w:marTop w:val="0"/>
          <w:marBottom w:val="150"/>
          <w:divBdr>
            <w:top w:val="none" w:sz="0" w:space="0" w:color="auto"/>
            <w:left w:val="none" w:sz="0" w:space="0" w:color="auto"/>
            <w:bottom w:val="none" w:sz="0" w:space="0" w:color="auto"/>
            <w:right w:val="none" w:sz="0" w:space="0" w:color="auto"/>
          </w:divBdr>
        </w:div>
        <w:div w:id="1902128377">
          <w:marLeft w:val="0"/>
          <w:marRight w:val="0"/>
          <w:marTop w:val="0"/>
          <w:marBottom w:val="0"/>
          <w:divBdr>
            <w:top w:val="none" w:sz="0" w:space="0" w:color="auto"/>
            <w:left w:val="none" w:sz="0" w:space="0" w:color="auto"/>
            <w:bottom w:val="none" w:sz="0" w:space="0" w:color="auto"/>
            <w:right w:val="none" w:sz="0" w:space="0" w:color="auto"/>
          </w:divBdr>
          <w:divsChild>
            <w:div w:id="1193297714">
              <w:marLeft w:val="0"/>
              <w:marRight w:val="0"/>
              <w:marTop w:val="0"/>
              <w:marBottom w:val="0"/>
              <w:divBdr>
                <w:top w:val="none" w:sz="0" w:space="0" w:color="auto"/>
                <w:left w:val="none" w:sz="0" w:space="0" w:color="auto"/>
                <w:bottom w:val="none" w:sz="0" w:space="0" w:color="auto"/>
                <w:right w:val="none" w:sz="0" w:space="0" w:color="auto"/>
              </w:divBdr>
              <w:divsChild>
                <w:div w:id="579364953">
                  <w:marLeft w:val="0"/>
                  <w:marRight w:val="0"/>
                  <w:marTop w:val="0"/>
                  <w:marBottom w:val="0"/>
                  <w:divBdr>
                    <w:top w:val="none" w:sz="0" w:space="0" w:color="auto"/>
                    <w:left w:val="none" w:sz="0" w:space="0" w:color="auto"/>
                    <w:bottom w:val="none" w:sz="0" w:space="0" w:color="auto"/>
                    <w:right w:val="none" w:sz="0" w:space="0" w:color="auto"/>
                  </w:divBdr>
                  <w:divsChild>
                    <w:div w:id="569538812">
                      <w:marLeft w:val="0"/>
                      <w:marRight w:val="0"/>
                      <w:marTop w:val="0"/>
                      <w:marBottom w:val="0"/>
                      <w:divBdr>
                        <w:top w:val="none" w:sz="0" w:space="0" w:color="auto"/>
                        <w:left w:val="none" w:sz="0" w:space="0" w:color="auto"/>
                        <w:bottom w:val="none" w:sz="0" w:space="0" w:color="auto"/>
                        <w:right w:val="none" w:sz="0" w:space="0" w:color="auto"/>
                      </w:divBdr>
                    </w:div>
                    <w:div w:id="199112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71EAB2C-F4A0-44A6-9F11-757C8A114A2D}"/>
</file>

<file path=customXml/itemProps2.xml><?xml version="1.0" encoding="utf-8"?>
<ds:datastoreItem xmlns:ds="http://schemas.openxmlformats.org/officeDocument/2006/customXml" ds:itemID="{2E2EE267-9FE8-4DBE-91D6-584697B99AC6}"/>
</file>

<file path=customXml/itemProps3.xml><?xml version="1.0" encoding="utf-8"?>
<ds:datastoreItem xmlns:ds="http://schemas.openxmlformats.org/officeDocument/2006/customXml" ds:itemID="{9AE1B6A2-5A5A-44BA-B844-E88152941A53}"/>
</file>

<file path=docProps/app.xml><?xml version="1.0" encoding="utf-8"?>
<Properties xmlns="http://schemas.openxmlformats.org/officeDocument/2006/extended-properties" xmlns:vt="http://schemas.openxmlformats.org/officeDocument/2006/docPropsVTypes">
  <Template>Normal</Template>
  <TotalTime>24</TotalTime>
  <Pages>3</Pages>
  <Words>1415</Words>
  <Characters>7632</Characters>
  <Application>Microsoft Office Word</Application>
  <DocSecurity>0</DocSecurity>
  <Lines>2544</Lines>
  <Paragraphs>822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אסף פרידמן</dc:creator>
  <cp:keywords/>
  <dc:description/>
  <cp:lastModifiedBy>אסף פרידמן</cp:lastModifiedBy>
  <cp:revision>3</cp:revision>
  <dcterms:created xsi:type="dcterms:W3CDTF">2017-06-15T06:07:00Z</dcterms:created>
  <dcterms:modified xsi:type="dcterms:W3CDTF">2017-06-15T06:30:00Z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2018188</vt:r8>
  </property>
</Properties>
</file>