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08E9" w:rsidRPr="003D70EA" w:rsidRDefault="00975561" w:rsidP="00975561">
      <w:pPr>
        <w:pStyle w:val="p00"/>
        <w:bidi/>
        <w:spacing w:before="72" w:beforeAutospacing="0" w:after="0" w:afterAutospacing="0"/>
        <w:ind w:right="1134"/>
        <w:jc w:val="center"/>
        <w:rPr>
          <w:rStyle w:val="big-number"/>
          <w:rFonts w:ascii="Time New Roman" w:hAnsi="Time New Roman"/>
          <w:b/>
          <w:bCs/>
          <w:color w:val="008000"/>
          <w:u w:val="single"/>
          <w:rtl/>
        </w:rPr>
      </w:pPr>
      <w:bookmarkStart w:id="0" w:name="_GoBack"/>
      <w:bookmarkEnd w:id="0"/>
      <w:r w:rsidRPr="003D70EA">
        <w:rPr>
          <w:rStyle w:val="big-number"/>
          <w:rFonts w:ascii="Time New Roman" w:hAnsi="Time New Roman" w:hint="cs"/>
          <w:b/>
          <w:bCs/>
          <w:color w:val="008000"/>
          <w:u w:val="single"/>
          <w:rtl/>
        </w:rPr>
        <w:t>תקציר הצעת ד"ר יהודה כהן, עו"ד לתיקון חוק יסודות המשפט (23.6.17)</w:t>
      </w:r>
    </w:p>
    <w:p w:rsidR="00975561" w:rsidRPr="003D70EA" w:rsidRDefault="00975561" w:rsidP="00975561">
      <w:pPr>
        <w:pStyle w:val="p00"/>
        <w:bidi/>
        <w:spacing w:before="72" w:beforeAutospacing="0" w:after="0" w:afterAutospacing="0"/>
        <w:ind w:right="1134"/>
        <w:jc w:val="center"/>
        <w:rPr>
          <w:rStyle w:val="big-number"/>
          <w:rFonts w:ascii="Time New Roman" w:hAnsi="Time New Roman"/>
          <w:b/>
          <w:bCs/>
          <w:color w:val="008000"/>
          <w:u w:val="single"/>
          <w:rtl/>
        </w:rPr>
      </w:pPr>
    </w:p>
    <w:p w:rsidR="00975561" w:rsidRPr="003D70EA" w:rsidRDefault="00975561" w:rsidP="00975561">
      <w:pPr>
        <w:pStyle w:val="p00"/>
        <w:bidi/>
        <w:spacing w:before="72" w:beforeAutospacing="0" w:after="0" w:afterAutospacing="0"/>
        <w:ind w:right="1134"/>
        <w:jc w:val="center"/>
        <w:rPr>
          <w:rStyle w:val="big-number"/>
          <w:rFonts w:ascii="Time New Roman" w:hAnsi="Time New Roman"/>
          <w:b/>
          <w:bCs/>
          <w:color w:val="008000"/>
          <w:u w:val="single"/>
          <w:rtl/>
        </w:rPr>
      </w:pPr>
    </w:p>
    <w:p w:rsidR="003579DB" w:rsidRPr="003D70EA" w:rsidRDefault="003308E9" w:rsidP="009C7E25">
      <w:pPr>
        <w:pStyle w:val="p00"/>
        <w:numPr>
          <w:ilvl w:val="0"/>
          <w:numId w:val="4"/>
        </w:numPr>
        <w:bidi/>
        <w:spacing w:before="0" w:beforeAutospacing="0" w:after="0" w:afterAutospacing="0" w:line="340" w:lineRule="exact"/>
        <w:ind w:left="480" w:right="284" w:hanging="480"/>
      </w:pPr>
      <w:r w:rsidRPr="003D70EA">
        <w:rPr>
          <w:rStyle w:val="big-number"/>
          <w:rFonts w:ascii="Time New Roman" w:hAnsi="Time New Roman" w:hint="cs"/>
          <w:b/>
          <w:bCs/>
          <w:color w:val="008000"/>
          <w:rtl/>
        </w:rPr>
        <w:t>חוק  יסוד</w:t>
      </w:r>
      <w:r w:rsidR="00DC5207" w:rsidRPr="003D70EA">
        <w:rPr>
          <w:rStyle w:val="big-number"/>
          <w:rFonts w:ascii="Time New Roman" w:hAnsi="Time New Roman" w:hint="cs"/>
          <w:b/>
          <w:bCs/>
          <w:color w:val="008000"/>
          <w:rtl/>
        </w:rPr>
        <w:t>ות</w:t>
      </w:r>
      <w:r w:rsidRPr="003D70EA">
        <w:rPr>
          <w:rStyle w:val="big-number"/>
          <w:rFonts w:ascii="Time New Roman" w:hAnsi="Time New Roman" w:hint="cs"/>
          <w:b/>
          <w:bCs/>
          <w:color w:val="008000"/>
          <w:rtl/>
        </w:rPr>
        <w:t xml:space="preserve"> המשפט אומר:</w:t>
      </w:r>
      <w:r w:rsidR="003579DB" w:rsidRPr="003D70EA">
        <w:rPr>
          <w:rStyle w:val="big-number"/>
          <w:rFonts w:ascii="Time New Roman" w:hAnsi="Time New Roman" w:hint="cs"/>
          <w:b/>
          <w:bCs/>
          <w:color w:val="008000"/>
          <w:rtl/>
        </w:rPr>
        <w:t xml:space="preserve">  </w:t>
      </w:r>
    </w:p>
    <w:p w:rsidR="003579DB" w:rsidRPr="003D70EA" w:rsidRDefault="003308E9" w:rsidP="003579DB">
      <w:pPr>
        <w:pStyle w:val="p00"/>
        <w:bidi/>
        <w:spacing w:before="0" w:beforeAutospacing="0" w:after="0" w:afterAutospacing="0" w:line="340" w:lineRule="exact"/>
        <w:ind w:left="480" w:right="284"/>
      </w:pPr>
      <w:r w:rsidRPr="003D70EA">
        <w:rPr>
          <w:rtl/>
        </w:rPr>
        <w:t xml:space="preserve">ראה בית המשפט </w:t>
      </w:r>
      <w:r w:rsidRPr="003D70EA">
        <w:rPr>
          <w:b/>
          <w:bCs/>
          <w:rtl/>
        </w:rPr>
        <w:t>שאלה משפטית</w:t>
      </w:r>
      <w:r w:rsidRPr="003D70EA">
        <w:rPr>
          <w:rtl/>
        </w:rPr>
        <w:t xml:space="preserve"> הטעונה הכרעה, ולא מצא לה תשובה בדבר חקיקה, בהלכה הפסוקה או בדרך של היקש, יכריע בה לאור</w:t>
      </w:r>
      <w:r w:rsidRPr="003D70EA">
        <w:t xml:space="preserve"> </w:t>
      </w:r>
      <w:r w:rsidRPr="003D70EA">
        <w:rPr>
          <w:rtl/>
        </w:rPr>
        <w:t>עקרונות החירות,</w:t>
      </w:r>
      <w:r w:rsidRPr="003D70EA">
        <w:t xml:space="preserve"> </w:t>
      </w:r>
      <w:r w:rsidRPr="003D70EA">
        <w:rPr>
          <w:rtl/>
        </w:rPr>
        <w:t xml:space="preserve">הצדק, היושר והשלום של </w:t>
      </w:r>
      <w:r w:rsidRPr="003D70EA">
        <w:rPr>
          <w:b/>
          <w:bCs/>
          <w:rtl/>
        </w:rPr>
        <w:t>מורשת ישראל</w:t>
      </w:r>
      <w:r w:rsidRPr="003D70EA">
        <w:t>.</w:t>
      </w:r>
      <w:r w:rsidR="00340E06" w:rsidRPr="003D70EA">
        <w:rPr>
          <w:rFonts w:hint="cs"/>
          <w:rtl/>
        </w:rPr>
        <w:t>"</w:t>
      </w:r>
    </w:p>
    <w:p w:rsidR="003579DB" w:rsidRPr="003D70EA" w:rsidRDefault="003579DB" w:rsidP="00667A96">
      <w:pPr>
        <w:pStyle w:val="p00"/>
        <w:numPr>
          <w:ilvl w:val="0"/>
          <w:numId w:val="4"/>
        </w:numPr>
        <w:bidi/>
        <w:spacing w:before="0" w:beforeAutospacing="0" w:after="0" w:afterAutospacing="0" w:line="340" w:lineRule="exact"/>
        <w:ind w:left="480" w:right="284" w:hanging="480"/>
      </w:pPr>
      <w:r w:rsidRPr="003D70EA">
        <w:rPr>
          <w:rFonts w:hint="cs"/>
          <w:rtl/>
        </w:rPr>
        <w:t>שני דברים מרכזיים יוצאים</w:t>
      </w:r>
      <w:r w:rsidR="003F488C" w:rsidRPr="003D70EA">
        <w:rPr>
          <w:rFonts w:hint="cs"/>
          <w:rtl/>
        </w:rPr>
        <w:t xml:space="preserve"> מזה</w:t>
      </w:r>
      <w:r w:rsidR="00DC5207" w:rsidRPr="003D70EA">
        <w:rPr>
          <w:rFonts w:hint="cs"/>
          <w:rtl/>
        </w:rPr>
        <w:t xml:space="preserve">: </w:t>
      </w:r>
    </w:p>
    <w:p w:rsidR="00DC5207" w:rsidRPr="003D70EA" w:rsidRDefault="00DC5207" w:rsidP="008D0052">
      <w:pPr>
        <w:pStyle w:val="p00"/>
        <w:numPr>
          <w:ilvl w:val="0"/>
          <w:numId w:val="8"/>
        </w:numPr>
        <w:bidi/>
        <w:spacing w:before="0" w:beforeAutospacing="0" w:after="0" w:afterAutospacing="0" w:line="340" w:lineRule="exact"/>
        <w:ind w:right="284"/>
      </w:pPr>
      <w:r w:rsidRPr="003D70EA">
        <w:rPr>
          <w:rFonts w:hint="cs"/>
          <w:rtl/>
        </w:rPr>
        <w:t xml:space="preserve">החוק קובע כי שופטים בישראל ידונו בשאלות משפטיות, </w:t>
      </w:r>
      <w:r w:rsidR="009C7E25" w:rsidRPr="003D70EA">
        <w:rPr>
          <w:rFonts w:hint="cs"/>
          <w:rtl/>
        </w:rPr>
        <w:t>להבדיל משאלות פוליטיות ושאלות של מידה</w:t>
      </w:r>
      <w:r w:rsidR="007C25AC" w:rsidRPr="003D70EA">
        <w:rPr>
          <w:rFonts w:hint="cs"/>
          <w:rtl/>
        </w:rPr>
        <w:t>.</w:t>
      </w:r>
      <w:r w:rsidR="00667A96" w:rsidRPr="003D70EA">
        <w:rPr>
          <w:rFonts w:hint="cs"/>
          <w:rtl/>
        </w:rPr>
        <w:t xml:space="preserve"> מכוח זה נפסלת המידתיות</w:t>
      </w:r>
      <w:r w:rsidR="003F488C" w:rsidRPr="003D70EA">
        <w:rPr>
          <w:rFonts w:hint="cs"/>
          <w:rtl/>
        </w:rPr>
        <w:t xml:space="preserve"> ששופטינו עוסקים בה</w:t>
      </w:r>
      <w:r w:rsidR="00667A96" w:rsidRPr="003D70EA">
        <w:rPr>
          <w:rFonts w:hint="cs"/>
          <w:rtl/>
        </w:rPr>
        <w:t>.</w:t>
      </w:r>
      <w:r w:rsidR="007C25AC" w:rsidRPr="003D70EA">
        <w:rPr>
          <w:rFonts w:hint="cs"/>
          <w:rtl/>
        </w:rPr>
        <w:t xml:space="preserve"> </w:t>
      </w:r>
    </w:p>
    <w:p w:rsidR="00C07E15" w:rsidRPr="003D70EA" w:rsidRDefault="009C7E25" w:rsidP="003D70EA">
      <w:pPr>
        <w:pStyle w:val="p00"/>
        <w:numPr>
          <w:ilvl w:val="0"/>
          <w:numId w:val="8"/>
        </w:numPr>
        <w:bidi/>
        <w:spacing w:before="0" w:beforeAutospacing="0" w:after="0" w:afterAutospacing="0" w:line="340" w:lineRule="exact"/>
        <w:ind w:right="284"/>
      </w:pPr>
      <w:r w:rsidRPr="003D70EA">
        <w:rPr>
          <w:rFonts w:hint="cs"/>
          <w:rtl/>
        </w:rPr>
        <w:t xml:space="preserve">נקבעו 4 מקורות נורמטיביים שכולם חלים על </w:t>
      </w:r>
      <w:r w:rsidRPr="003D70EA">
        <w:rPr>
          <w:rFonts w:hint="cs"/>
          <w:b/>
          <w:bCs/>
          <w:rtl/>
        </w:rPr>
        <w:t>כל שאלה משפטית</w:t>
      </w:r>
      <w:r w:rsidRPr="003D70EA">
        <w:rPr>
          <w:rFonts w:hint="cs"/>
          <w:rtl/>
        </w:rPr>
        <w:t>. ההיקף של כ"א מ</w:t>
      </w:r>
      <w:r w:rsidR="00A839FD" w:rsidRPr="003D70EA">
        <w:rPr>
          <w:rFonts w:hint="cs"/>
          <w:rtl/>
        </w:rPr>
        <w:t xml:space="preserve">ן </w:t>
      </w:r>
      <w:r w:rsidRPr="003D70EA">
        <w:rPr>
          <w:rFonts w:hint="cs"/>
          <w:rtl/>
        </w:rPr>
        <w:t xml:space="preserve">המקורות הוא </w:t>
      </w:r>
      <w:r w:rsidRPr="003D70EA">
        <w:rPr>
          <w:rFonts w:hint="cs"/>
          <w:b/>
          <w:bCs/>
          <w:rtl/>
        </w:rPr>
        <w:t>כל שאלה משפטית</w:t>
      </w:r>
      <w:r w:rsidRPr="003D70EA">
        <w:rPr>
          <w:rFonts w:hint="cs"/>
          <w:rtl/>
        </w:rPr>
        <w:t xml:space="preserve"> באשר היא</w:t>
      </w:r>
      <w:r w:rsidR="00975561" w:rsidRPr="003D70EA">
        <w:rPr>
          <w:rFonts w:hint="cs"/>
          <w:rtl/>
        </w:rPr>
        <w:t xml:space="preserve">. </w:t>
      </w:r>
      <w:r w:rsidRPr="003D70EA">
        <w:rPr>
          <w:rFonts w:hint="cs"/>
          <w:rtl/>
        </w:rPr>
        <w:t>מ</w:t>
      </w:r>
      <w:r w:rsidR="00B75D9E" w:rsidRPr="003D70EA">
        <w:rPr>
          <w:rFonts w:hint="cs"/>
          <w:rtl/>
        </w:rPr>
        <w:t xml:space="preserve">כוח </w:t>
      </w:r>
      <w:r w:rsidRPr="003D70EA">
        <w:rPr>
          <w:rFonts w:hint="cs"/>
          <w:rtl/>
        </w:rPr>
        <w:t>זה נשללת ה</w:t>
      </w:r>
      <w:r w:rsidR="00667A96" w:rsidRPr="003D70EA">
        <w:rPr>
          <w:rFonts w:hint="cs"/>
          <w:rtl/>
        </w:rPr>
        <w:t xml:space="preserve">טענה </w:t>
      </w:r>
      <w:r w:rsidRPr="003D70EA">
        <w:rPr>
          <w:rFonts w:hint="cs"/>
          <w:rtl/>
        </w:rPr>
        <w:t xml:space="preserve">שמורשת ישראל תחול </w:t>
      </w:r>
      <w:r w:rsidR="00A839FD" w:rsidRPr="003D70EA">
        <w:rPr>
          <w:rFonts w:hint="cs"/>
          <w:rtl/>
        </w:rPr>
        <w:t xml:space="preserve">רק </w:t>
      </w:r>
      <w:r w:rsidRPr="003D70EA">
        <w:rPr>
          <w:rFonts w:hint="cs"/>
          <w:rtl/>
        </w:rPr>
        <w:t xml:space="preserve">במקרים </w:t>
      </w:r>
      <w:r w:rsidR="00C07E15" w:rsidRPr="003D70EA">
        <w:rPr>
          <w:rFonts w:hint="cs"/>
          <w:rtl/>
        </w:rPr>
        <w:t xml:space="preserve">מצומצמים של </w:t>
      </w:r>
      <w:proofErr w:type="spellStart"/>
      <w:r w:rsidR="00C07E15" w:rsidRPr="003D70EA">
        <w:rPr>
          <w:rFonts w:hint="cs"/>
          <w:rtl/>
        </w:rPr>
        <w:t>לאקונות</w:t>
      </w:r>
      <w:proofErr w:type="spellEnd"/>
      <w:r w:rsidR="00667A96" w:rsidRPr="003D70EA">
        <w:rPr>
          <w:rFonts w:hint="cs"/>
          <w:rtl/>
        </w:rPr>
        <w:t>.</w:t>
      </w:r>
      <w:r w:rsidR="00A839FD" w:rsidRPr="003D70EA">
        <w:rPr>
          <w:rFonts w:hint="cs"/>
          <w:rtl/>
        </w:rPr>
        <w:t xml:space="preserve"> </w:t>
      </w:r>
    </w:p>
    <w:p w:rsidR="001E0E1C" w:rsidRPr="003D70EA" w:rsidRDefault="00F4300A" w:rsidP="008D0052">
      <w:pPr>
        <w:pStyle w:val="p00"/>
        <w:numPr>
          <w:ilvl w:val="0"/>
          <w:numId w:val="4"/>
        </w:numPr>
        <w:bidi/>
        <w:spacing w:before="0" w:beforeAutospacing="0" w:after="0" w:afterAutospacing="0" w:line="340" w:lineRule="exact"/>
        <w:ind w:right="284"/>
      </w:pPr>
      <w:r w:rsidRPr="003D70EA">
        <w:rPr>
          <w:rFonts w:hint="cs"/>
          <w:rtl/>
        </w:rPr>
        <w:t xml:space="preserve">כעבור 4 שנים </w:t>
      </w:r>
      <w:r w:rsidR="00CB4B5C" w:rsidRPr="003D70EA">
        <w:rPr>
          <w:rFonts w:hint="cs"/>
          <w:rtl/>
        </w:rPr>
        <w:t xml:space="preserve">לקבלת חוק יסודות המשפט </w:t>
      </w:r>
      <w:r w:rsidRPr="003D70EA">
        <w:rPr>
          <w:rFonts w:hint="cs"/>
          <w:rtl/>
        </w:rPr>
        <w:t>קוצץ המושג "הלכה פסוקה" שב</w:t>
      </w:r>
      <w:r w:rsidR="00A839FD" w:rsidRPr="003D70EA">
        <w:rPr>
          <w:rFonts w:hint="cs"/>
          <w:rtl/>
        </w:rPr>
        <w:t xml:space="preserve">אותו </w:t>
      </w:r>
      <w:r w:rsidRPr="003D70EA">
        <w:rPr>
          <w:rFonts w:hint="cs"/>
          <w:rtl/>
        </w:rPr>
        <w:t xml:space="preserve">חוק </w:t>
      </w:r>
      <w:r w:rsidR="003F488C" w:rsidRPr="003D70EA">
        <w:rPr>
          <w:rtl/>
        </w:rPr>
        <w:t>–</w:t>
      </w:r>
      <w:r w:rsidR="003F488C" w:rsidRPr="003D70EA">
        <w:rPr>
          <w:rFonts w:hint="cs"/>
          <w:rtl/>
        </w:rPr>
        <w:t xml:space="preserve"> זאת </w:t>
      </w:r>
      <w:r w:rsidR="003F488C" w:rsidRPr="003D70EA">
        <w:rPr>
          <w:rtl/>
        </w:rPr>
        <w:t>–</w:t>
      </w:r>
      <w:r w:rsidR="003F488C" w:rsidRPr="003D70EA">
        <w:rPr>
          <w:rFonts w:hint="cs"/>
          <w:rtl/>
        </w:rPr>
        <w:t xml:space="preserve"> </w:t>
      </w:r>
      <w:r w:rsidRPr="003D70EA">
        <w:rPr>
          <w:rFonts w:hint="cs"/>
          <w:rtl/>
        </w:rPr>
        <w:t>כפי הוראת סעיף 20 לחוק יסוד השפיטה</w:t>
      </w:r>
      <w:r w:rsidR="003F488C" w:rsidRPr="003D70EA">
        <w:rPr>
          <w:rFonts w:hint="cs"/>
          <w:rtl/>
        </w:rPr>
        <w:t>,</w:t>
      </w:r>
      <w:r w:rsidRPr="003D70EA">
        <w:rPr>
          <w:rFonts w:hint="cs"/>
          <w:rtl/>
        </w:rPr>
        <w:t xml:space="preserve"> שקבע </w:t>
      </w:r>
      <w:r w:rsidRPr="003D70EA">
        <w:rPr>
          <w:rtl/>
        </w:rPr>
        <w:t>–</w:t>
      </w:r>
      <w:r w:rsidRPr="003D70EA">
        <w:rPr>
          <w:rFonts w:hint="cs"/>
          <w:rtl/>
        </w:rPr>
        <w:t xml:space="preserve"> תחת הכותרת </w:t>
      </w:r>
      <w:r w:rsidR="000D2843" w:rsidRPr="003D70EA">
        <w:rPr>
          <w:rFonts w:hint="cs"/>
          <w:b/>
          <w:bCs/>
          <w:rtl/>
        </w:rPr>
        <w:t>ה</w:t>
      </w:r>
      <w:r w:rsidR="000D2843" w:rsidRPr="003D70EA">
        <w:rPr>
          <w:b/>
          <w:bCs/>
          <w:rtl/>
        </w:rPr>
        <w:t>לכה פסוקה</w:t>
      </w:r>
      <w:r w:rsidRPr="003D70EA">
        <w:rPr>
          <w:rFonts w:hint="cs"/>
          <w:rtl/>
        </w:rPr>
        <w:t xml:space="preserve"> </w:t>
      </w:r>
      <w:r w:rsidRPr="003D70EA">
        <w:rPr>
          <w:rtl/>
        </w:rPr>
        <w:t>–</w:t>
      </w:r>
      <w:r w:rsidRPr="003D70EA">
        <w:rPr>
          <w:rFonts w:hint="cs"/>
          <w:rtl/>
        </w:rPr>
        <w:t xml:space="preserve"> </w:t>
      </w:r>
      <w:r w:rsidR="003F488C" w:rsidRPr="003D70EA">
        <w:rPr>
          <w:rFonts w:hint="cs"/>
          <w:rtl/>
        </w:rPr>
        <w:t xml:space="preserve">אותו מושג בדיוק בו מדובר בחוק יסודות המשפט </w:t>
      </w:r>
      <w:r w:rsidR="003F488C" w:rsidRPr="003D70EA">
        <w:rPr>
          <w:rtl/>
        </w:rPr>
        <w:t>–</w:t>
      </w:r>
      <w:r w:rsidR="003F488C" w:rsidRPr="003D70EA">
        <w:rPr>
          <w:rFonts w:hint="cs"/>
          <w:rtl/>
        </w:rPr>
        <w:t xml:space="preserve"> </w:t>
      </w:r>
      <w:r w:rsidRPr="003D70EA">
        <w:rPr>
          <w:rFonts w:hint="cs"/>
          <w:rtl/>
        </w:rPr>
        <w:t>כ</w:t>
      </w:r>
      <w:r w:rsidR="00C07E15" w:rsidRPr="003D70EA">
        <w:rPr>
          <w:rFonts w:hint="cs"/>
          <w:rtl/>
        </w:rPr>
        <w:t>י</w:t>
      </w:r>
      <w:r w:rsidR="003B1745" w:rsidRPr="003D70EA">
        <w:rPr>
          <w:rFonts w:hint="cs"/>
          <w:rtl/>
        </w:rPr>
        <w:t xml:space="preserve"> </w:t>
      </w:r>
      <w:r w:rsidR="000D2843" w:rsidRPr="003D70EA">
        <w:rPr>
          <w:rtl/>
        </w:rPr>
        <w:t xml:space="preserve">הלכה </w:t>
      </w:r>
      <w:r w:rsidR="00A839FD" w:rsidRPr="003D70EA">
        <w:rPr>
          <w:rFonts w:hint="cs"/>
          <w:rtl/>
        </w:rPr>
        <w:t xml:space="preserve">  </w:t>
      </w:r>
      <w:r w:rsidR="000D2843" w:rsidRPr="003D70EA">
        <w:rPr>
          <w:rtl/>
        </w:rPr>
        <w:t xml:space="preserve">שנפסקה </w:t>
      </w:r>
      <w:r w:rsidR="00A839FD" w:rsidRPr="003D70EA">
        <w:rPr>
          <w:rFonts w:hint="cs"/>
          <w:rtl/>
        </w:rPr>
        <w:t xml:space="preserve">   </w:t>
      </w:r>
      <w:r w:rsidR="000D2843" w:rsidRPr="003D70EA">
        <w:rPr>
          <w:rtl/>
        </w:rPr>
        <w:t>בבית המשפט העליון</w:t>
      </w:r>
      <w:r w:rsidR="00A839FD" w:rsidRPr="003D70EA">
        <w:rPr>
          <w:rFonts w:hint="cs"/>
          <w:rtl/>
        </w:rPr>
        <w:t xml:space="preserve"> </w:t>
      </w:r>
      <w:r w:rsidR="00A839FD" w:rsidRPr="003D70EA">
        <w:rPr>
          <w:rtl/>
        </w:rPr>
        <w:t>–</w:t>
      </w:r>
      <w:r w:rsidR="00A839FD" w:rsidRPr="003D70EA">
        <w:rPr>
          <w:rFonts w:hint="cs"/>
          <w:rtl/>
        </w:rPr>
        <w:t xml:space="preserve"> </w:t>
      </w:r>
      <w:r w:rsidR="000D2843" w:rsidRPr="003D70EA">
        <w:rPr>
          <w:rtl/>
        </w:rPr>
        <w:t>מחייבת כל בית משפט, זולת בית המשפט העליון.</w:t>
      </w:r>
      <w:r w:rsidR="003B1745" w:rsidRPr="003D70EA">
        <w:rPr>
          <w:rFonts w:hint="cs"/>
          <w:rtl/>
        </w:rPr>
        <w:t xml:space="preserve"> לכן, בהכרעות המשפטיות החשובות אצלנו</w:t>
      </w:r>
      <w:r w:rsidR="001E0E1C" w:rsidRPr="003D70EA">
        <w:rPr>
          <w:rFonts w:hint="cs"/>
          <w:rtl/>
        </w:rPr>
        <w:t>,</w:t>
      </w:r>
      <w:r w:rsidR="003B1745" w:rsidRPr="003D70EA">
        <w:rPr>
          <w:rFonts w:hint="cs"/>
          <w:rtl/>
        </w:rPr>
        <w:t xml:space="preserve"> </w:t>
      </w:r>
      <w:r w:rsidR="006A5A84" w:rsidRPr="003D70EA">
        <w:rPr>
          <w:rFonts w:hint="cs"/>
          <w:b/>
          <w:bCs/>
          <w:rtl/>
        </w:rPr>
        <w:t>המתקבלות בביהמ"ש העליון</w:t>
      </w:r>
      <w:r w:rsidR="006A5A84" w:rsidRPr="003D70EA">
        <w:rPr>
          <w:rFonts w:hint="cs"/>
          <w:rtl/>
        </w:rPr>
        <w:t xml:space="preserve"> </w:t>
      </w:r>
      <w:r w:rsidR="006A5A84" w:rsidRPr="003D70EA">
        <w:rPr>
          <w:rtl/>
        </w:rPr>
        <w:t>–</w:t>
      </w:r>
      <w:r w:rsidR="006A5A84" w:rsidRPr="003D70EA">
        <w:rPr>
          <w:rFonts w:hint="cs"/>
          <w:rtl/>
        </w:rPr>
        <w:t xml:space="preserve"> </w:t>
      </w:r>
      <w:r w:rsidR="003B1745" w:rsidRPr="003D70EA">
        <w:rPr>
          <w:rFonts w:hint="cs"/>
          <w:rtl/>
        </w:rPr>
        <w:t xml:space="preserve">מתבטל </w:t>
      </w:r>
      <w:r w:rsidR="001E0E1C" w:rsidRPr="003D70EA">
        <w:rPr>
          <w:rFonts w:hint="cs"/>
          <w:rtl/>
        </w:rPr>
        <w:t xml:space="preserve">המקור של </w:t>
      </w:r>
      <w:r w:rsidR="003B1745" w:rsidRPr="003D70EA">
        <w:rPr>
          <w:rFonts w:hint="cs"/>
          <w:rtl/>
        </w:rPr>
        <w:t xml:space="preserve">הלכה פסוקה </w:t>
      </w:r>
      <w:r w:rsidR="003B1745" w:rsidRPr="003D70EA">
        <w:rPr>
          <w:rtl/>
        </w:rPr>
        <w:t>–</w:t>
      </w:r>
      <w:r w:rsidR="003B1745" w:rsidRPr="003D70EA">
        <w:rPr>
          <w:rFonts w:hint="cs"/>
          <w:rtl/>
        </w:rPr>
        <w:t xml:space="preserve"> ונותרו שלושה</w:t>
      </w:r>
      <w:r w:rsidR="003F488C" w:rsidRPr="003D70EA">
        <w:rPr>
          <w:rFonts w:hint="cs"/>
          <w:rtl/>
        </w:rPr>
        <w:t xml:space="preserve"> מקורות </w:t>
      </w:r>
      <w:r w:rsidR="00A839FD" w:rsidRPr="003D70EA">
        <w:rPr>
          <w:rFonts w:hint="cs"/>
          <w:rtl/>
        </w:rPr>
        <w:t>נורמטיביים</w:t>
      </w:r>
      <w:r w:rsidR="00975561" w:rsidRPr="003D70EA">
        <w:rPr>
          <w:rFonts w:hint="cs"/>
          <w:rtl/>
        </w:rPr>
        <w:t>.</w:t>
      </w:r>
    </w:p>
    <w:p w:rsidR="003D70EA" w:rsidRPr="003D70EA" w:rsidRDefault="003D70EA" w:rsidP="003D70EA">
      <w:pPr>
        <w:pStyle w:val="p00"/>
        <w:numPr>
          <w:ilvl w:val="0"/>
          <w:numId w:val="4"/>
        </w:numPr>
        <w:bidi/>
        <w:spacing w:before="0" w:beforeAutospacing="0" w:after="0" w:afterAutospacing="0" w:line="340" w:lineRule="exact"/>
        <w:ind w:right="284"/>
        <w:rPr>
          <w:rtl/>
        </w:rPr>
      </w:pPr>
      <w:r w:rsidRPr="003D70EA">
        <w:rPr>
          <w:rFonts w:hint="cs"/>
          <w:rtl/>
        </w:rPr>
        <w:t xml:space="preserve">נכון להתאים נוסח חוק יסודות המשפט כך שלא יסתור את ס' 20 לחוק השפיטה, ולהשמיט את ה"הלכה הפסוקה". אין זה נכון לסתור חוק יסוד בעת חקיקה או תיקון של חוק רגיל. </w:t>
      </w:r>
    </w:p>
    <w:p w:rsidR="00187CA3" w:rsidRPr="003D70EA" w:rsidRDefault="001E0E1C" w:rsidP="003D70EA">
      <w:pPr>
        <w:pStyle w:val="p00"/>
        <w:numPr>
          <w:ilvl w:val="0"/>
          <w:numId w:val="4"/>
        </w:numPr>
        <w:bidi/>
        <w:spacing w:before="0" w:beforeAutospacing="0" w:after="0" w:afterAutospacing="0" w:line="340" w:lineRule="exact"/>
        <w:ind w:right="284"/>
      </w:pPr>
      <w:r w:rsidRPr="003D70EA">
        <w:rPr>
          <w:rFonts w:hint="cs"/>
          <w:rtl/>
        </w:rPr>
        <w:t xml:space="preserve"> </w:t>
      </w:r>
      <w:r w:rsidR="00C41480" w:rsidRPr="003D70EA">
        <w:rPr>
          <w:rFonts w:hint="cs"/>
          <w:rtl/>
        </w:rPr>
        <w:t xml:space="preserve">הבעיה הגדולה והחשובה היא </w:t>
      </w:r>
      <w:r w:rsidR="00C41480" w:rsidRPr="003D70EA">
        <w:rPr>
          <w:rtl/>
        </w:rPr>
        <w:t>–</w:t>
      </w:r>
      <w:r w:rsidR="00C41480" w:rsidRPr="003D70EA">
        <w:rPr>
          <w:rFonts w:hint="cs"/>
          <w:rtl/>
        </w:rPr>
        <w:t xml:space="preserve"> מה לנו לתקן חוק שמילותיו </w:t>
      </w:r>
      <w:r w:rsidR="00C41480" w:rsidRPr="003D70EA">
        <w:rPr>
          <w:rFonts w:hint="cs"/>
          <w:b/>
          <w:bCs/>
          <w:rtl/>
        </w:rPr>
        <w:t>ברורות</w:t>
      </w:r>
      <w:r w:rsidR="00C41480" w:rsidRPr="003D70EA">
        <w:rPr>
          <w:rFonts w:hint="cs"/>
          <w:rtl/>
        </w:rPr>
        <w:t>, אך הפרשנות שמ</w:t>
      </w:r>
      <w:r w:rsidR="00667A96" w:rsidRPr="003D70EA">
        <w:rPr>
          <w:rFonts w:hint="cs"/>
          <w:rtl/>
        </w:rPr>
        <w:t>ו</w:t>
      </w:r>
      <w:r w:rsidR="00C41480" w:rsidRPr="003D70EA">
        <w:rPr>
          <w:rFonts w:hint="cs"/>
          <w:rtl/>
        </w:rPr>
        <w:t>ענק</w:t>
      </w:r>
      <w:r w:rsidR="00667A96" w:rsidRPr="003D70EA">
        <w:rPr>
          <w:rFonts w:hint="cs"/>
          <w:rtl/>
        </w:rPr>
        <w:t>ת</w:t>
      </w:r>
      <w:r w:rsidR="003F488C" w:rsidRPr="003D70EA">
        <w:rPr>
          <w:rFonts w:hint="cs"/>
          <w:rtl/>
        </w:rPr>
        <w:t xml:space="preserve"> לו</w:t>
      </w:r>
      <w:r w:rsidR="00C41480" w:rsidRPr="003D70EA">
        <w:rPr>
          <w:rFonts w:hint="cs"/>
          <w:rtl/>
        </w:rPr>
        <w:t xml:space="preserve"> </w:t>
      </w:r>
      <w:r w:rsidR="00C41480" w:rsidRPr="003D70EA">
        <w:rPr>
          <w:rtl/>
        </w:rPr>
        <w:t>–</w:t>
      </w:r>
      <w:r w:rsidR="00C41480" w:rsidRPr="003D70EA">
        <w:rPr>
          <w:rFonts w:hint="cs"/>
          <w:rtl/>
        </w:rPr>
        <w:t xml:space="preserve"> סותרת דברים מפורשים שב</w:t>
      </w:r>
      <w:r w:rsidR="003F488C" w:rsidRPr="003D70EA">
        <w:rPr>
          <w:rFonts w:hint="cs"/>
          <w:rtl/>
        </w:rPr>
        <w:t xml:space="preserve">אותו </w:t>
      </w:r>
      <w:r w:rsidR="00C41480" w:rsidRPr="003D70EA">
        <w:rPr>
          <w:rFonts w:hint="cs"/>
          <w:rtl/>
        </w:rPr>
        <w:t xml:space="preserve">חוק. </w:t>
      </w:r>
      <w:r w:rsidR="003F488C" w:rsidRPr="003D70EA">
        <w:rPr>
          <w:rFonts w:hint="cs"/>
          <w:rtl/>
        </w:rPr>
        <w:t xml:space="preserve"> </w:t>
      </w:r>
      <w:r w:rsidR="00053556" w:rsidRPr="003D70EA">
        <w:rPr>
          <w:rFonts w:hint="cs"/>
          <w:rtl/>
        </w:rPr>
        <w:t>אם לגבי "</w:t>
      </w:r>
      <w:r w:rsidR="00053556" w:rsidRPr="003D70EA">
        <w:rPr>
          <w:rFonts w:hint="cs"/>
          <w:b/>
          <w:bCs/>
          <w:rtl/>
        </w:rPr>
        <w:t>עקרונות מורשת ישראל</w:t>
      </w:r>
      <w:r w:rsidR="00053556" w:rsidRPr="003D70EA">
        <w:rPr>
          <w:rFonts w:hint="cs"/>
          <w:rtl/>
        </w:rPr>
        <w:t xml:space="preserve">" נקבע בחוק הקיים </w:t>
      </w:r>
      <w:r w:rsidR="00975561" w:rsidRPr="003D70EA">
        <w:rPr>
          <w:rFonts w:hint="cs"/>
          <w:rtl/>
        </w:rPr>
        <w:t xml:space="preserve">גורלו </w:t>
      </w:r>
      <w:r w:rsidR="003D70EA" w:rsidRPr="003D70EA">
        <w:rPr>
          <w:rFonts w:hint="cs"/>
          <w:rtl/>
        </w:rPr>
        <w:t xml:space="preserve">של החוק </w:t>
      </w:r>
      <w:r w:rsidR="00975561" w:rsidRPr="003D70EA">
        <w:rPr>
          <w:rFonts w:hint="cs"/>
          <w:rtl/>
        </w:rPr>
        <w:t>לא שפר עליו</w:t>
      </w:r>
      <w:r w:rsidR="00A053D8" w:rsidRPr="003D70EA">
        <w:rPr>
          <w:rFonts w:hint="cs"/>
          <w:rtl/>
        </w:rPr>
        <w:t xml:space="preserve"> </w:t>
      </w:r>
      <w:r w:rsidR="00A053D8" w:rsidRPr="003D70EA">
        <w:rPr>
          <w:rtl/>
        </w:rPr>
        <w:t>–</w:t>
      </w:r>
      <w:r w:rsidR="00A053D8" w:rsidRPr="003D70EA">
        <w:rPr>
          <w:rFonts w:hint="cs"/>
          <w:rtl/>
        </w:rPr>
        <w:t xml:space="preserve"> </w:t>
      </w:r>
      <w:r w:rsidR="00053556" w:rsidRPr="003D70EA">
        <w:rPr>
          <w:rFonts w:hint="cs"/>
          <w:rtl/>
        </w:rPr>
        <w:t xml:space="preserve">עתה </w:t>
      </w:r>
      <w:r w:rsidR="00053556" w:rsidRPr="003D70EA">
        <w:rPr>
          <w:rtl/>
        </w:rPr>
        <w:t>–</w:t>
      </w:r>
      <w:r w:rsidR="00053556" w:rsidRPr="003D70EA">
        <w:rPr>
          <w:rFonts w:hint="cs"/>
          <w:rtl/>
        </w:rPr>
        <w:t xml:space="preserve"> </w:t>
      </w:r>
      <w:r w:rsidR="003B1745" w:rsidRPr="003D70EA">
        <w:rPr>
          <w:rFonts w:hint="cs"/>
          <w:rtl/>
        </w:rPr>
        <w:t xml:space="preserve">לעניין </w:t>
      </w:r>
      <w:r w:rsidR="00DD11FC" w:rsidRPr="003D70EA">
        <w:rPr>
          <w:rFonts w:hint="cs"/>
          <w:b/>
          <w:bCs/>
          <w:rtl/>
        </w:rPr>
        <w:t>"</w:t>
      </w:r>
      <w:r w:rsidR="008D0052" w:rsidRPr="003D70EA">
        <w:rPr>
          <w:rFonts w:hint="cs"/>
          <w:b/>
          <w:bCs/>
          <w:rtl/>
        </w:rPr>
        <w:t xml:space="preserve">המשפט </w:t>
      </w:r>
      <w:r w:rsidR="003B1745" w:rsidRPr="003D70EA">
        <w:rPr>
          <w:rFonts w:hint="cs"/>
          <w:b/>
          <w:bCs/>
          <w:rtl/>
        </w:rPr>
        <w:t>העברי</w:t>
      </w:r>
      <w:r w:rsidR="00DD11FC" w:rsidRPr="003D70EA">
        <w:rPr>
          <w:rFonts w:hint="cs"/>
          <w:rtl/>
        </w:rPr>
        <w:t>"</w:t>
      </w:r>
      <w:r w:rsidR="00986736" w:rsidRPr="003D70EA">
        <w:rPr>
          <w:rFonts w:hint="cs"/>
          <w:rtl/>
        </w:rPr>
        <w:t>,</w:t>
      </w:r>
      <w:r w:rsidR="003B1745" w:rsidRPr="003D70EA">
        <w:rPr>
          <w:rFonts w:hint="cs"/>
          <w:rtl/>
        </w:rPr>
        <w:t xml:space="preserve"> </w:t>
      </w:r>
      <w:r w:rsidR="00053556" w:rsidRPr="003D70EA">
        <w:rPr>
          <w:rFonts w:hint="cs"/>
          <w:rtl/>
        </w:rPr>
        <w:t>כפי התיקון המוצע</w:t>
      </w:r>
      <w:r w:rsidR="00A053D8" w:rsidRPr="003D70EA">
        <w:rPr>
          <w:rFonts w:hint="cs"/>
          <w:rtl/>
        </w:rPr>
        <w:t xml:space="preserve">, </w:t>
      </w:r>
      <w:r w:rsidR="00DD11FC" w:rsidRPr="003D70EA">
        <w:rPr>
          <w:rFonts w:hint="cs"/>
          <w:rtl/>
        </w:rPr>
        <w:t xml:space="preserve">שהוא מרחיק לכת מ"מורשת ישראל" </w:t>
      </w:r>
      <w:r w:rsidR="00975561" w:rsidRPr="003D70EA">
        <w:rPr>
          <w:rtl/>
        </w:rPr>
        <w:t>–</w:t>
      </w:r>
      <w:r w:rsidR="00975561" w:rsidRPr="003D70EA">
        <w:rPr>
          <w:rFonts w:hint="cs"/>
          <w:rtl/>
        </w:rPr>
        <w:t xml:space="preserve"> </w:t>
      </w:r>
      <w:r w:rsidR="00187CA3" w:rsidRPr="003D70EA">
        <w:rPr>
          <w:rFonts w:hint="cs"/>
          <w:rtl/>
        </w:rPr>
        <w:t xml:space="preserve">צפוי לתיקון </w:t>
      </w:r>
      <w:r w:rsidR="003F488C" w:rsidRPr="003D70EA">
        <w:rPr>
          <w:rFonts w:hint="cs"/>
          <w:rtl/>
        </w:rPr>
        <w:t xml:space="preserve">זה </w:t>
      </w:r>
      <w:r w:rsidR="00B7514E" w:rsidRPr="003D70EA">
        <w:rPr>
          <w:rFonts w:hint="cs"/>
          <w:rtl/>
        </w:rPr>
        <w:t>גורל קשה</w:t>
      </w:r>
      <w:r w:rsidR="00975561" w:rsidRPr="003D70EA">
        <w:rPr>
          <w:rFonts w:hint="cs"/>
          <w:rtl/>
        </w:rPr>
        <w:t xml:space="preserve"> יותר</w:t>
      </w:r>
      <w:r w:rsidR="003D70EA" w:rsidRPr="003D70EA">
        <w:rPr>
          <w:rFonts w:hint="cs"/>
          <w:rtl/>
        </w:rPr>
        <w:t xml:space="preserve">, והוספת אמצעי </w:t>
      </w:r>
      <w:r w:rsidR="003D70EA">
        <w:rPr>
          <w:rFonts w:hint="cs"/>
          <w:rtl/>
        </w:rPr>
        <w:t xml:space="preserve">מיוחד להכוונת שופטינו העליונים לדבוק בהוראות החוק </w:t>
      </w:r>
      <w:r w:rsidR="003D70EA">
        <w:rPr>
          <w:rtl/>
        </w:rPr>
        <w:t>–</w:t>
      </w:r>
      <w:r w:rsidR="003D70EA">
        <w:rPr>
          <w:rFonts w:hint="cs"/>
          <w:rtl/>
        </w:rPr>
        <w:t xml:space="preserve"> הכרחי. </w:t>
      </w:r>
    </w:p>
    <w:p w:rsidR="00053556" w:rsidRPr="003D70EA" w:rsidRDefault="00053556" w:rsidP="003D70EA">
      <w:pPr>
        <w:pStyle w:val="ae"/>
        <w:numPr>
          <w:ilvl w:val="0"/>
          <w:numId w:val="4"/>
        </w:numPr>
        <w:spacing w:line="360" w:lineRule="auto"/>
        <w:jc w:val="both"/>
        <w:rPr>
          <w:rFonts w:ascii="Times New Roman" w:eastAsia="Times New Roman" w:hAnsi="Times New Roman" w:cs="Times New Roman"/>
          <w:sz w:val="24"/>
          <w:szCs w:val="24"/>
        </w:rPr>
      </w:pPr>
      <w:r w:rsidRPr="003D70EA">
        <w:rPr>
          <w:rFonts w:ascii="Times New Roman" w:eastAsia="Times New Roman" w:hAnsi="Times New Roman" w:cs="Times New Roman" w:hint="cs"/>
          <w:sz w:val="24"/>
          <w:szCs w:val="24"/>
          <w:rtl/>
        </w:rPr>
        <w:t xml:space="preserve">על כן </w:t>
      </w:r>
      <w:r w:rsidRPr="003D70EA">
        <w:rPr>
          <w:rFonts w:ascii="Times New Roman" w:eastAsia="Times New Roman" w:hAnsi="Times New Roman" w:cs="Times New Roman"/>
          <w:sz w:val="24"/>
          <w:szCs w:val="24"/>
          <w:rtl/>
        </w:rPr>
        <w:t>–</w:t>
      </w:r>
      <w:r w:rsidRPr="003D70EA">
        <w:rPr>
          <w:rFonts w:ascii="Times New Roman" w:eastAsia="Times New Roman" w:hAnsi="Times New Roman" w:cs="Times New Roman" w:hint="cs"/>
          <w:sz w:val="24"/>
          <w:szCs w:val="24"/>
          <w:rtl/>
        </w:rPr>
        <w:t xml:space="preserve"> הדרך המוצעת </w:t>
      </w:r>
      <w:r w:rsidR="00DD11FC" w:rsidRPr="003D70EA">
        <w:rPr>
          <w:rFonts w:ascii="Times New Roman" w:eastAsia="Times New Roman" w:hAnsi="Times New Roman" w:cs="Times New Roman" w:hint="cs"/>
          <w:sz w:val="24"/>
          <w:szCs w:val="24"/>
          <w:rtl/>
        </w:rPr>
        <w:t xml:space="preserve">מוסיפה אמצעי </w:t>
      </w:r>
      <w:r w:rsidR="003D70EA">
        <w:rPr>
          <w:rFonts w:ascii="Times New Roman" w:eastAsia="Times New Roman" w:hAnsi="Times New Roman" w:cs="Times New Roman" w:hint="cs"/>
          <w:sz w:val="24"/>
          <w:szCs w:val="24"/>
          <w:rtl/>
        </w:rPr>
        <w:t xml:space="preserve">מיוחד להכוונת </w:t>
      </w:r>
      <w:r w:rsidR="00DD11FC" w:rsidRPr="003D70EA">
        <w:rPr>
          <w:rFonts w:ascii="Times New Roman" w:eastAsia="Times New Roman" w:hAnsi="Times New Roman" w:cs="Times New Roman" w:hint="cs"/>
          <w:sz w:val="24"/>
          <w:szCs w:val="24"/>
          <w:rtl/>
        </w:rPr>
        <w:t>שופטי העליון, ו</w:t>
      </w:r>
      <w:r w:rsidRPr="003D70EA">
        <w:rPr>
          <w:rFonts w:ascii="Times New Roman" w:eastAsia="Times New Roman" w:hAnsi="Times New Roman" w:cs="Times New Roman" w:hint="cs"/>
          <w:sz w:val="24"/>
          <w:szCs w:val="24"/>
          <w:rtl/>
        </w:rPr>
        <w:t xml:space="preserve">היא </w:t>
      </w:r>
      <w:r w:rsidR="00EC30E0" w:rsidRPr="003D70EA">
        <w:rPr>
          <w:rFonts w:ascii="Times New Roman" w:eastAsia="Times New Roman" w:hAnsi="Times New Roman" w:cs="Times New Roman" w:hint="cs"/>
          <w:sz w:val="24"/>
          <w:szCs w:val="24"/>
          <w:rtl/>
        </w:rPr>
        <w:t>בעלת ש</w:t>
      </w:r>
      <w:r w:rsidR="00187CA3" w:rsidRPr="003D70EA">
        <w:rPr>
          <w:rFonts w:ascii="Times New Roman" w:eastAsia="Times New Roman" w:hAnsi="Times New Roman" w:cs="Times New Roman" w:hint="cs"/>
          <w:sz w:val="24"/>
          <w:szCs w:val="24"/>
          <w:rtl/>
        </w:rPr>
        <w:t>ני</w:t>
      </w:r>
      <w:r w:rsidR="00EC30E0" w:rsidRPr="003D70EA">
        <w:rPr>
          <w:rFonts w:ascii="Times New Roman" w:eastAsia="Times New Roman" w:hAnsi="Times New Roman" w:cs="Times New Roman" w:hint="cs"/>
          <w:sz w:val="24"/>
          <w:szCs w:val="24"/>
          <w:rtl/>
        </w:rPr>
        <w:t xml:space="preserve"> ראשים</w:t>
      </w:r>
      <w:r w:rsidRPr="003D70EA">
        <w:rPr>
          <w:rFonts w:ascii="Times New Roman" w:eastAsia="Times New Roman" w:hAnsi="Times New Roman" w:cs="Times New Roman" w:hint="cs"/>
          <w:sz w:val="24"/>
          <w:szCs w:val="24"/>
          <w:rtl/>
        </w:rPr>
        <w:t>:</w:t>
      </w:r>
    </w:p>
    <w:p w:rsidR="00BE6715" w:rsidRPr="003D70EA" w:rsidRDefault="0040476F" w:rsidP="008D0052">
      <w:pPr>
        <w:pStyle w:val="ae"/>
        <w:numPr>
          <w:ilvl w:val="0"/>
          <w:numId w:val="7"/>
        </w:numPr>
        <w:spacing w:line="340" w:lineRule="exact"/>
        <w:ind w:left="1189" w:hanging="426"/>
        <w:jc w:val="both"/>
        <w:rPr>
          <w:rFonts w:ascii="Times New Roman" w:eastAsia="Times New Roman" w:hAnsi="Times New Roman" w:cs="Times New Roman"/>
          <w:sz w:val="24"/>
          <w:szCs w:val="24"/>
        </w:rPr>
      </w:pPr>
      <w:r w:rsidRPr="003D70EA">
        <w:rPr>
          <w:rFonts w:ascii="Times New Roman" w:eastAsia="Times New Roman" w:hAnsi="Times New Roman" w:cs="Times New Roman" w:hint="cs"/>
          <w:sz w:val="24"/>
          <w:szCs w:val="24"/>
          <w:rtl/>
        </w:rPr>
        <w:t xml:space="preserve">שופטי העליון יחויבו </w:t>
      </w:r>
      <w:r w:rsidR="00187CA3" w:rsidRPr="003D70EA">
        <w:rPr>
          <w:rFonts w:ascii="Times New Roman" w:eastAsia="Times New Roman" w:hAnsi="Times New Roman" w:cs="Times New Roman" w:hint="cs"/>
          <w:sz w:val="24"/>
          <w:szCs w:val="24"/>
          <w:rtl/>
        </w:rPr>
        <w:t>ל</w:t>
      </w:r>
      <w:r w:rsidR="00A053D8" w:rsidRPr="003D70EA">
        <w:rPr>
          <w:rFonts w:ascii="Times New Roman" w:eastAsia="Times New Roman" w:hAnsi="Times New Roman" w:cs="Times New Roman" w:hint="cs"/>
          <w:sz w:val="24"/>
          <w:szCs w:val="24"/>
          <w:rtl/>
        </w:rPr>
        <w:t>פרט</w:t>
      </w:r>
      <w:r w:rsidR="00187CA3" w:rsidRPr="003D70EA">
        <w:rPr>
          <w:rFonts w:ascii="Times New Roman" w:eastAsia="Times New Roman" w:hAnsi="Times New Roman" w:cs="Times New Roman" w:hint="cs"/>
          <w:sz w:val="24"/>
          <w:szCs w:val="24"/>
          <w:rtl/>
        </w:rPr>
        <w:t xml:space="preserve"> בנימוקי פסקי הדין שיוציאו </w:t>
      </w:r>
      <w:r w:rsidR="00187CA3" w:rsidRPr="003D70EA">
        <w:rPr>
          <w:rFonts w:ascii="Times New Roman" w:eastAsia="Times New Roman" w:hAnsi="Times New Roman" w:cs="Times New Roman" w:hint="cs"/>
          <w:b/>
          <w:bCs/>
          <w:sz w:val="24"/>
          <w:szCs w:val="24"/>
          <w:rtl/>
        </w:rPr>
        <w:t>מהן</w:t>
      </w:r>
      <w:r w:rsidR="00187CA3" w:rsidRPr="003D70EA">
        <w:rPr>
          <w:rFonts w:ascii="Times New Roman" w:eastAsia="Times New Roman" w:hAnsi="Times New Roman" w:cs="Times New Roman" w:hint="cs"/>
          <w:sz w:val="24"/>
          <w:szCs w:val="24"/>
          <w:rtl/>
        </w:rPr>
        <w:t xml:space="preserve"> השאלות המשפטיות שבהן הם מכריעים, </w:t>
      </w:r>
      <w:r w:rsidR="00A053D8" w:rsidRPr="003D70EA">
        <w:rPr>
          <w:rFonts w:ascii="Times New Roman" w:eastAsia="Times New Roman" w:hAnsi="Times New Roman" w:cs="Times New Roman" w:hint="cs"/>
          <w:sz w:val="24"/>
          <w:szCs w:val="24"/>
          <w:rtl/>
        </w:rPr>
        <w:t>ו</w:t>
      </w:r>
      <w:r w:rsidR="00187CA3" w:rsidRPr="003D70EA">
        <w:rPr>
          <w:rFonts w:ascii="Times New Roman" w:eastAsia="Times New Roman" w:hAnsi="Times New Roman" w:cs="Times New Roman" w:hint="cs"/>
          <w:b/>
          <w:bCs/>
          <w:sz w:val="24"/>
          <w:szCs w:val="24"/>
          <w:rtl/>
        </w:rPr>
        <w:t>באיזה</w:t>
      </w:r>
      <w:r w:rsidR="00187CA3" w:rsidRPr="003D70EA">
        <w:rPr>
          <w:rFonts w:ascii="Times New Roman" w:eastAsia="Times New Roman" w:hAnsi="Times New Roman" w:cs="Times New Roman" w:hint="cs"/>
          <w:sz w:val="24"/>
          <w:szCs w:val="24"/>
          <w:rtl/>
        </w:rPr>
        <w:t xml:space="preserve"> משלוש</w:t>
      </w:r>
      <w:r w:rsidR="00CE46F1" w:rsidRPr="003D70EA">
        <w:rPr>
          <w:rFonts w:ascii="Times New Roman" w:eastAsia="Times New Roman" w:hAnsi="Times New Roman" w:cs="Times New Roman" w:hint="cs"/>
          <w:sz w:val="24"/>
          <w:szCs w:val="24"/>
          <w:rtl/>
        </w:rPr>
        <w:t>ת</w:t>
      </w:r>
      <w:r w:rsidR="00187CA3" w:rsidRPr="003D70EA">
        <w:rPr>
          <w:rFonts w:ascii="Times New Roman" w:eastAsia="Times New Roman" w:hAnsi="Times New Roman" w:cs="Times New Roman" w:hint="cs"/>
          <w:sz w:val="24"/>
          <w:szCs w:val="24"/>
          <w:rtl/>
        </w:rPr>
        <w:t xml:space="preserve"> המקורות </w:t>
      </w:r>
      <w:r w:rsidR="00A04BF8" w:rsidRPr="003D70EA">
        <w:rPr>
          <w:rFonts w:ascii="Times New Roman" w:eastAsia="Times New Roman" w:hAnsi="Times New Roman" w:cs="Times New Roman"/>
          <w:sz w:val="24"/>
          <w:szCs w:val="24"/>
          <w:rtl/>
        </w:rPr>
        <w:t>–</w:t>
      </w:r>
      <w:r w:rsidR="00A04BF8" w:rsidRPr="003D70EA">
        <w:rPr>
          <w:rFonts w:ascii="Times New Roman" w:eastAsia="Times New Roman" w:hAnsi="Times New Roman" w:cs="Times New Roman" w:hint="cs"/>
          <w:sz w:val="24"/>
          <w:szCs w:val="24"/>
          <w:rtl/>
        </w:rPr>
        <w:t xml:space="preserve"> </w:t>
      </w:r>
      <w:r w:rsidR="00187CA3" w:rsidRPr="003D70EA">
        <w:rPr>
          <w:rFonts w:ascii="Times New Roman" w:eastAsia="Times New Roman" w:hAnsi="Times New Roman" w:cs="Times New Roman" w:hint="cs"/>
          <w:sz w:val="24"/>
          <w:szCs w:val="24"/>
          <w:rtl/>
        </w:rPr>
        <w:t xml:space="preserve"> </w:t>
      </w:r>
      <w:r w:rsidR="00CE46F1" w:rsidRPr="003D70EA">
        <w:rPr>
          <w:rFonts w:ascii="Times New Roman" w:eastAsia="Times New Roman" w:hAnsi="Times New Roman" w:cs="Times New Roman" w:hint="cs"/>
          <w:sz w:val="24"/>
          <w:szCs w:val="24"/>
          <w:rtl/>
        </w:rPr>
        <w:t xml:space="preserve">הם </w:t>
      </w:r>
      <w:r w:rsidR="00B7514E" w:rsidRPr="003D70EA">
        <w:rPr>
          <w:rFonts w:ascii="Times New Roman" w:eastAsia="Times New Roman" w:hAnsi="Times New Roman" w:cs="Times New Roman" w:hint="cs"/>
          <w:sz w:val="24"/>
          <w:szCs w:val="24"/>
          <w:rtl/>
        </w:rPr>
        <w:t>מצאו תשובה</w:t>
      </w:r>
      <w:r w:rsidR="00CE46F1" w:rsidRPr="003D70EA">
        <w:rPr>
          <w:rFonts w:ascii="Times New Roman" w:eastAsia="Times New Roman" w:hAnsi="Times New Roman" w:cs="Times New Roman" w:hint="cs"/>
          <w:sz w:val="24"/>
          <w:szCs w:val="24"/>
          <w:rtl/>
        </w:rPr>
        <w:t xml:space="preserve">. </w:t>
      </w:r>
      <w:r w:rsidR="00A053D8" w:rsidRPr="003D70EA">
        <w:rPr>
          <w:rFonts w:ascii="Times New Roman" w:eastAsia="Times New Roman" w:hAnsi="Times New Roman" w:cs="Times New Roman" w:hint="cs"/>
          <w:sz w:val="24"/>
          <w:szCs w:val="24"/>
          <w:rtl/>
        </w:rPr>
        <w:t xml:space="preserve">אם לא מצאו עליהם להיעזר במכון </w:t>
      </w:r>
      <w:proofErr w:type="spellStart"/>
      <w:r w:rsidR="00A053D8" w:rsidRPr="003D70EA">
        <w:rPr>
          <w:rFonts w:ascii="Times New Roman" w:eastAsia="Times New Roman" w:hAnsi="Times New Roman" w:cs="Times New Roman" w:hint="cs"/>
          <w:sz w:val="24"/>
          <w:szCs w:val="24"/>
          <w:rtl/>
        </w:rPr>
        <w:t>להנגשת</w:t>
      </w:r>
      <w:proofErr w:type="spellEnd"/>
      <w:r w:rsidR="00A053D8" w:rsidRPr="003D70EA">
        <w:rPr>
          <w:rFonts w:ascii="Times New Roman" w:eastAsia="Times New Roman" w:hAnsi="Times New Roman" w:cs="Times New Roman" w:hint="cs"/>
          <w:sz w:val="24"/>
          <w:szCs w:val="24"/>
          <w:rtl/>
        </w:rPr>
        <w:t xml:space="preserve"> המשפט העברי</w:t>
      </w:r>
      <w:r w:rsidR="00BE6715" w:rsidRPr="003D70EA">
        <w:rPr>
          <w:rFonts w:ascii="Times New Roman" w:eastAsia="Times New Roman" w:hAnsi="Times New Roman" w:cs="Times New Roman" w:hint="cs"/>
          <w:sz w:val="24"/>
          <w:szCs w:val="24"/>
          <w:rtl/>
        </w:rPr>
        <w:t>.</w:t>
      </w:r>
    </w:p>
    <w:p w:rsidR="00773FDB" w:rsidRPr="003D70EA" w:rsidRDefault="00BE6715" w:rsidP="00CE46F1">
      <w:pPr>
        <w:pStyle w:val="ae"/>
        <w:numPr>
          <w:ilvl w:val="0"/>
          <w:numId w:val="7"/>
        </w:numPr>
        <w:spacing w:line="340" w:lineRule="exact"/>
        <w:ind w:left="1189" w:hanging="426"/>
        <w:jc w:val="both"/>
        <w:rPr>
          <w:rFonts w:ascii="Times New Roman" w:eastAsia="Times New Roman" w:hAnsi="Times New Roman" w:cs="Times New Roman"/>
          <w:sz w:val="24"/>
          <w:szCs w:val="24"/>
        </w:rPr>
      </w:pPr>
      <w:r w:rsidRPr="003D70EA">
        <w:rPr>
          <w:rFonts w:ascii="Times New Roman" w:eastAsia="Times New Roman" w:hAnsi="Times New Roman" w:cs="Times New Roman" w:hint="cs"/>
          <w:sz w:val="24"/>
          <w:szCs w:val="24"/>
          <w:rtl/>
        </w:rPr>
        <w:t>שאר בתי המשפט יוכלו אף הם לעשות כן</w:t>
      </w:r>
      <w:r w:rsidR="00773FDB" w:rsidRPr="003D70EA">
        <w:rPr>
          <w:rFonts w:ascii="Times New Roman" w:eastAsia="Times New Roman" w:hAnsi="Times New Roman" w:cs="Times New Roman" w:hint="cs"/>
          <w:sz w:val="24"/>
          <w:szCs w:val="24"/>
          <w:rtl/>
        </w:rPr>
        <w:t xml:space="preserve">, </w:t>
      </w:r>
      <w:r w:rsidR="00AD0C51" w:rsidRPr="003D70EA">
        <w:rPr>
          <w:rFonts w:ascii="Times New Roman" w:eastAsia="Times New Roman" w:hAnsi="Times New Roman" w:cs="Times New Roman" w:hint="cs"/>
          <w:sz w:val="24"/>
          <w:szCs w:val="24"/>
          <w:rtl/>
        </w:rPr>
        <w:t xml:space="preserve">אך זאת בגדר </w:t>
      </w:r>
      <w:r w:rsidR="00A053D8" w:rsidRPr="003D70EA">
        <w:rPr>
          <w:rFonts w:ascii="Times New Roman" w:eastAsia="Times New Roman" w:hAnsi="Times New Roman" w:cs="Times New Roman" w:hint="cs"/>
          <w:sz w:val="24"/>
          <w:szCs w:val="24"/>
          <w:rtl/>
        </w:rPr>
        <w:t xml:space="preserve">אפשרות ולא </w:t>
      </w:r>
      <w:r w:rsidR="003F488C" w:rsidRPr="003D70EA">
        <w:rPr>
          <w:rFonts w:ascii="Times New Roman" w:eastAsia="Times New Roman" w:hAnsi="Times New Roman" w:cs="Times New Roman" w:hint="cs"/>
          <w:sz w:val="24"/>
          <w:szCs w:val="24"/>
          <w:rtl/>
        </w:rPr>
        <w:t xml:space="preserve">בגדר </w:t>
      </w:r>
      <w:r w:rsidR="00A053D8" w:rsidRPr="003D70EA">
        <w:rPr>
          <w:rFonts w:ascii="Times New Roman" w:eastAsia="Times New Roman" w:hAnsi="Times New Roman" w:cs="Times New Roman" w:hint="cs"/>
          <w:sz w:val="24"/>
          <w:szCs w:val="24"/>
          <w:rtl/>
        </w:rPr>
        <w:t>חובה.</w:t>
      </w:r>
    </w:p>
    <w:p w:rsidR="00773FDB" w:rsidRPr="003D70EA" w:rsidRDefault="001E0E1C" w:rsidP="00986736">
      <w:pPr>
        <w:spacing w:line="340" w:lineRule="exact"/>
        <w:ind w:left="622"/>
        <w:jc w:val="both"/>
        <w:rPr>
          <w:rFonts w:ascii="Times New Roman" w:eastAsia="Times New Roman" w:hAnsi="Times New Roman" w:cs="Times New Roman"/>
          <w:sz w:val="24"/>
          <w:szCs w:val="24"/>
        </w:rPr>
      </w:pPr>
      <w:r w:rsidRPr="003D70EA">
        <w:rPr>
          <w:rFonts w:ascii="Times New Roman" w:eastAsia="Times New Roman" w:hAnsi="Times New Roman" w:cs="Times New Roman" w:hint="cs"/>
          <w:sz w:val="24"/>
          <w:szCs w:val="24"/>
          <w:rtl/>
        </w:rPr>
        <w:t xml:space="preserve">צמצום </w:t>
      </w:r>
      <w:r w:rsidR="00773FDB" w:rsidRPr="003D70EA">
        <w:rPr>
          <w:rFonts w:ascii="Times New Roman" w:eastAsia="Times New Roman" w:hAnsi="Times New Roman" w:cs="Times New Roman" w:hint="cs"/>
          <w:sz w:val="24"/>
          <w:szCs w:val="24"/>
          <w:rtl/>
        </w:rPr>
        <w:t xml:space="preserve">הטלת החיוב לעניין </w:t>
      </w:r>
      <w:r w:rsidR="00A839FD" w:rsidRPr="003D70EA">
        <w:rPr>
          <w:rFonts w:ascii="Times New Roman" w:eastAsia="Times New Roman" w:hAnsi="Times New Roman" w:cs="Times New Roman" w:hint="cs"/>
          <w:sz w:val="24"/>
          <w:szCs w:val="24"/>
          <w:rtl/>
        </w:rPr>
        <w:t>פירוט ב</w:t>
      </w:r>
      <w:r w:rsidR="00773FDB" w:rsidRPr="003D70EA">
        <w:rPr>
          <w:rFonts w:ascii="Times New Roman" w:eastAsia="Times New Roman" w:hAnsi="Times New Roman" w:cs="Times New Roman" w:hint="cs"/>
          <w:sz w:val="24"/>
          <w:szCs w:val="24"/>
          <w:rtl/>
        </w:rPr>
        <w:t xml:space="preserve">נימוקי פסקי הדין </w:t>
      </w:r>
      <w:r w:rsidR="00773FDB" w:rsidRPr="003D70EA">
        <w:rPr>
          <w:rFonts w:ascii="Times New Roman" w:eastAsia="Times New Roman" w:hAnsi="Times New Roman" w:cs="Times New Roman"/>
          <w:sz w:val="24"/>
          <w:szCs w:val="24"/>
          <w:rtl/>
        </w:rPr>
        <w:t>–</w:t>
      </w:r>
      <w:r w:rsidR="00773FDB" w:rsidRPr="003D70EA">
        <w:rPr>
          <w:rFonts w:ascii="Times New Roman" w:eastAsia="Times New Roman" w:hAnsi="Times New Roman" w:cs="Times New Roman" w:hint="cs"/>
          <w:sz w:val="24"/>
          <w:szCs w:val="24"/>
          <w:rtl/>
        </w:rPr>
        <w:t xml:space="preserve"> </w:t>
      </w:r>
      <w:r w:rsidRPr="003D70EA">
        <w:rPr>
          <w:rFonts w:ascii="Times New Roman" w:eastAsia="Times New Roman" w:hAnsi="Times New Roman" w:cs="Times New Roman" w:hint="cs"/>
          <w:sz w:val="24"/>
          <w:szCs w:val="24"/>
          <w:rtl/>
        </w:rPr>
        <w:t>ל</w:t>
      </w:r>
      <w:r w:rsidR="00773FDB" w:rsidRPr="003D70EA">
        <w:rPr>
          <w:rFonts w:ascii="Times New Roman" w:eastAsia="Times New Roman" w:hAnsi="Times New Roman" w:cs="Times New Roman" w:hint="cs"/>
          <w:sz w:val="24"/>
          <w:szCs w:val="24"/>
          <w:rtl/>
        </w:rPr>
        <w:t xml:space="preserve">שופטי העליון בלבד </w:t>
      </w:r>
      <w:r w:rsidR="00773FDB" w:rsidRPr="003D70EA">
        <w:rPr>
          <w:rFonts w:ascii="Times New Roman" w:eastAsia="Times New Roman" w:hAnsi="Times New Roman" w:cs="Times New Roman"/>
          <w:sz w:val="24"/>
          <w:szCs w:val="24"/>
          <w:rtl/>
        </w:rPr>
        <w:t>–</w:t>
      </w:r>
      <w:r w:rsidR="00773FDB" w:rsidRPr="003D70EA">
        <w:rPr>
          <w:rFonts w:ascii="Times New Roman" w:eastAsia="Times New Roman" w:hAnsi="Times New Roman" w:cs="Times New Roman" w:hint="cs"/>
          <w:sz w:val="24"/>
          <w:szCs w:val="24"/>
          <w:rtl/>
        </w:rPr>
        <w:t xml:space="preserve"> בא כדי ש</w:t>
      </w:r>
      <w:r w:rsidRPr="003D70EA">
        <w:rPr>
          <w:rFonts w:ascii="Times New Roman" w:eastAsia="Times New Roman" w:hAnsi="Times New Roman" w:cs="Times New Roman" w:hint="cs"/>
          <w:sz w:val="24"/>
          <w:szCs w:val="24"/>
          <w:rtl/>
        </w:rPr>
        <w:t>לא להיכשל בהטלת גזירה שאין כלל ציבור השופטים יכול לעמוד בה</w:t>
      </w:r>
      <w:r w:rsidR="00773FDB" w:rsidRPr="003D70EA">
        <w:rPr>
          <w:rFonts w:ascii="Times New Roman" w:eastAsia="Times New Roman" w:hAnsi="Times New Roman" w:cs="Times New Roman" w:hint="cs"/>
          <w:sz w:val="24"/>
          <w:szCs w:val="24"/>
          <w:rtl/>
        </w:rPr>
        <w:t>.</w:t>
      </w:r>
    </w:p>
    <w:sectPr w:rsidR="00773FDB" w:rsidRPr="003D70EA" w:rsidSect="004E3EE8">
      <w:footerReference w:type="default" r:id="rId7"/>
      <w:pgSz w:w="11905" w:h="16837" w:code="9"/>
      <w:pgMar w:top="720" w:right="567" w:bottom="720" w:left="510" w:header="720" w:footer="720" w:gutter="0"/>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0CB" w:rsidRDefault="000A20CB" w:rsidP="003308E9">
      <w:pPr>
        <w:spacing w:after="0" w:line="240" w:lineRule="auto"/>
      </w:pPr>
      <w:r>
        <w:separator/>
      </w:r>
    </w:p>
  </w:endnote>
  <w:endnote w:type="continuationSeparator" w:id="0">
    <w:p w:rsidR="000A20CB" w:rsidRDefault="000A20CB" w:rsidP="00330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91554101"/>
      <w:docPartObj>
        <w:docPartGallery w:val="Page Numbers (Bottom of Page)"/>
        <w:docPartUnique/>
      </w:docPartObj>
    </w:sdtPr>
    <w:sdtEndPr>
      <w:rPr>
        <w:cs/>
      </w:rPr>
    </w:sdtEndPr>
    <w:sdtContent>
      <w:p w:rsidR="00C10E63" w:rsidRDefault="00C10E63">
        <w:pPr>
          <w:pStyle w:val="ac"/>
          <w:jc w:val="center"/>
          <w:rPr>
            <w:rtl/>
            <w:cs/>
          </w:rPr>
        </w:pPr>
        <w:r>
          <w:fldChar w:fldCharType="begin"/>
        </w:r>
        <w:r>
          <w:rPr>
            <w:rtl/>
            <w:cs/>
          </w:rPr>
          <w:instrText>PAGE   \* MERGEFORMAT</w:instrText>
        </w:r>
        <w:r>
          <w:fldChar w:fldCharType="separate"/>
        </w:r>
        <w:r w:rsidR="00DE3D92" w:rsidRPr="00DE3D92">
          <w:rPr>
            <w:noProof/>
            <w:rtl/>
            <w:lang w:val="he-IL"/>
          </w:rPr>
          <w:t>1</w:t>
        </w:r>
        <w:r>
          <w:fldChar w:fldCharType="end"/>
        </w:r>
      </w:p>
    </w:sdtContent>
  </w:sdt>
  <w:p w:rsidR="00C10E63" w:rsidRDefault="00C10E6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0CB" w:rsidRDefault="000A20CB" w:rsidP="003308E9">
      <w:pPr>
        <w:spacing w:after="0" w:line="240" w:lineRule="auto"/>
      </w:pPr>
      <w:r>
        <w:separator/>
      </w:r>
    </w:p>
  </w:footnote>
  <w:footnote w:type="continuationSeparator" w:id="0">
    <w:p w:rsidR="000A20CB" w:rsidRDefault="000A20CB" w:rsidP="003308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84382"/>
    <w:multiLevelType w:val="hybridMultilevel"/>
    <w:tmpl w:val="C26C5AA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B3B8A"/>
    <w:multiLevelType w:val="hybridMultilevel"/>
    <w:tmpl w:val="B4E40392"/>
    <w:lvl w:ilvl="0" w:tplc="67CEC5C2">
      <w:start w:val="1"/>
      <w:numFmt w:val="hebrew1"/>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2C4B86"/>
    <w:multiLevelType w:val="hybridMultilevel"/>
    <w:tmpl w:val="D03661A0"/>
    <w:lvl w:ilvl="0" w:tplc="94CAA7FA">
      <w:start w:val="1"/>
      <w:numFmt w:val="decimal"/>
      <w:lvlText w:val="%1."/>
      <w:lvlJc w:val="left"/>
      <w:pPr>
        <w:ind w:left="720" w:hanging="360"/>
      </w:pPr>
      <w:rPr>
        <w:rFonts w:ascii="Times New Roman" w:hAnsi="Times New Roman"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A3058"/>
    <w:multiLevelType w:val="hybridMultilevel"/>
    <w:tmpl w:val="AF303F7A"/>
    <w:lvl w:ilvl="0" w:tplc="A8F2C102">
      <w:start w:val="1"/>
      <w:numFmt w:val="hebrew1"/>
      <w:lvlText w:val="(%1)"/>
      <w:lvlJc w:val="left"/>
      <w:pPr>
        <w:ind w:left="720" w:hanging="360"/>
      </w:pPr>
      <w:rPr>
        <w:rFonts w:ascii="Times New Roman" w:eastAsia="Times New Roman" w:hAnsi="Times New Roman" w:cs="Times New Roman"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30B95"/>
    <w:multiLevelType w:val="hybridMultilevel"/>
    <w:tmpl w:val="E50A3726"/>
    <w:lvl w:ilvl="0" w:tplc="5CEC1F6C">
      <w:start w:val="1"/>
      <w:numFmt w:val="hebrew1"/>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15:restartNumberingAfterBreak="0">
    <w:nsid w:val="2D5C5BB6"/>
    <w:multiLevelType w:val="hybridMultilevel"/>
    <w:tmpl w:val="0B1EE9AA"/>
    <w:lvl w:ilvl="0" w:tplc="CFD6F9C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226EE4"/>
    <w:multiLevelType w:val="hybridMultilevel"/>
    <w:tmpl w:val="6EC4E8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E956F7C"/>
    <w:multiLevelType w:val="hybridMultilevel"/>
    <w:tmpl w:val="974E003E"/>
    <w:lvl w:ilvl="0" w:tplc="1E9EEFF2">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
  </w:num>
  <w:num w:numId="2">
    <w:abstractNumId w:val="6"/>
  </w:num>
  <w:num w:numId="3">
    <w:abstractNumId w:val="1"/>
  </w:num>
  <w:num w:numId="4">
    <w:abstractNumId w:val="2"/>
  </w:num>
  <w:num w:numId="5">
    <w:abstractNumId w:val="5"/>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843"/>
    <w:rsid w:val="00013413"/>
    <w:rsid w:val="000310DB"/>
    <w:rsid w:val="00053556"/>
    <w:rsid w:val="000566AF"/>
    <w:rsid w:val="000A20CB"/>
    <w:rsid w:val="000C4546"/>
    <w:rsid w:val="000C7C3A"/>
    <w:rsid w:val="000D2843"/>
    <w:rsid w:val="000F2860"/>
    <w:rsid w:val="00134BC2"/>
    <w:rsid w:val="00187CA3"/>
    <w:rsid w:val="001B51B7"/>
    <w:rsid w:val="001D28FA"/>
    <w:rsid w:val="001E0E1C"/>
    <w:rsid w:val="001F5682"/>
    <w:rsid w:val="00293F01"/>
    <w:rsid w:val="00297126"/>
    <w:rsid w:val="002C1490"/>
    <w:rsid w:val="002D0CBA"/>
    <w:rsid w:val="002D6AEF"/>
    <w:rsid w:val="003308E9"/>
    <w:rsid w:val="00340E06"/>
    <w:rsid w:val="00347CB7"/>
    <w:rsid w:val="003579DB"/>
    <w:rsid w:val="00361DB1"/>
    <w:rsid w:val="003A581B"/>
    <w:rsid w:val="003B1745"/>
    <w:rsid w:val="003D70EA"/>
    <w:rsid w:val="003F488C"/>
    <w:rsid w:val="0040476F"/>
    <w:rsid w:val="004E3EE8"/>
    <w:rsid w:val="00511CD6"/>
    <w:rsid w:val="00544386"/>
    <w:rsid w:val="00651D39"/>
    <w:rsid w:val="00653226"/>
    <w:rsid w:val="00667A96"/>
    <w:rsid w:val="006A5A84"/>
    <w:rsid w:val="006D1950"/>
    <w:rsid w:val="006F2568"/>
    <w:rsid w:val="00773FDB"/>
    <w:rsid w:val="007A7562"/>
    <w:rsid w:val="007B3C92"/>
    <w:rsid w:val="007B482F"/>
    <w:rsid w:val="007C25AC"/>
    <w:rsid w:val="007C2B73"/>
    <w:rsid w:val="007D48BA"/>
    <w:rsid w:val="007F040B"/>
    <w:rsid w:val="00820A33"/>
    <w:rsid w:val="0084173C"/>
    <w:rsid w:val="008D0052"/>
    <w:rsid w:val="00975561"/>
    <w:rsid w:val="00986736"/>
    <w:rsid w:val="009C7E25"/>
    <w:rsid w:val="00A04BF8"/>
    <w:rsid w:val="00A053D8"/>
    <w:rsid w:val="00A606A9"/>
    <w:rsid w:val="00A839FD"/>
    <w:rsid w:val="00AB2AE0"/>
    <w:rsid w:val="00AD0C51"/>
    <w:rsid w:val="00B7514E"/>
    <w:rsid w:val="00B75D9E"/>
    <w:rsid w:val="00BE11EB"/>
    <w:rsid w:val="00BE6715"/>
    <w:rsid w:val="00C07E15"/>
    <w:rsid w:val="00C10E63"/>
    <w:rsid w:val="00C25ECE"/>
    <w:rsid w:val="00C41480"/>
    <w:rsid w:val="00C52209"/>
    <w:rsid w:val="00CB4B5C"/>
    <w:rsid w:val="00CC766F"/>
    <w:rsid w:val="00CE46F1"/>
    <w:rsid w:val="00D2001B"/>
    <w:rsid w:val="00D72972"/>
    <w:rsid w:val="00D90EC5"/>
    <w:rsid w:val="00DC5207"/>
    <w:rsid w:val="00DD11FC"/>
    <w:rsid w:val="00DE3D92"/>
    <w:rsid w:val="00EB2256"/>
    <w:rsid w:val="00EC30E0"/>
    <w:rsid w:val="00F03800"/>
    <w:rsid w:val="00F4300A"/>
    <w:rsid w:val="00F60F12"/>
    <w:rsid w:val="00F71329"/>
    <w:rsid w:val="00FA1004"/>
    <w:rsid w:val="00FC20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D77E93-7789-4596-9C46-AF8707B9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basedOn w:val="a"/>
    <w:rsid w:val="000D284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0D2843"/>
  </w:style>
  <w:style w:type="character" w:customStyle="1" w:styleId="apple-converted-space">
    <w:name w:val="apple-converted-space"/>
    <w:basedOn w:val="a0"/>
    <w:rsid w:val="000D2843"/>
  </w:style>
  <w:style w:type="character" w:customStyle="1" w:styleId="default">
    <w:name w:val="default"/>
    <w:basedOn w:val="a0"/>
    <w:rsid w:val="000D2843"/>
  </w:style>
  <w:style w:type="character" w:styleId="a3">
    <w:name w:val="footnote reference"/>
    <w:uiPriority w:val="99"/>
    <w:semiHidden/>
    <w:rsid w:val="003308E9"/>
    <w:rPr>
      <w:rFonts w:ascii="Times New Roman" w:hAnsi="Times New Roman" w:cs="David"/>
      <w:position w:val="2"/>
      <w:sz w:val="16"/>
      <w:szCs w:val="16"/>
      <w:vertAlign w:val="superscript"/>
    </w:rPr>
  </w:style>
  <w:style w:type="paragraph" w:styleId="a4">
    <w:name w:val="footnote text"/>
    <w:basedOn w:val="a5"/>
    <w:link w:val="a6"/>
    <w:uiPriority w:val="99"/>
    <w:semiHidden/>
    <w:rsid w:val="003308E9"/>
    <w:pPr>
      <w:pBdr>
        <w:top w:val="none" w:sz="0" w:space="0" w:color="auto"/>
        <w:left w:val="none" w:sz="0" w:space="0" w:color="auto"/>
        <w:bottom w:val="none" w:sz="0" w:space="0" w:color="auto"/>
        <w:right w:val="none" w:sz="0" w:space="0" w:color="auto"/>
      </w:pBdr>
      <w:tabs>
        <w:tab w:val="left" w:pos="113"/>
        <w:tab w:val="left" w:pos="992"/>
        <w:tab w:val="left" w:pos="1418"/>
        <w:tab w:val="left" w:pos="1843"/>
        <w:tab w:val="left" w:pos="6360"/>
      </w:tabs>
      <w:spacing w:after="0" w:line="180" w:lineRule="exact"/>
      <w:ind w:left="0" w:right="0"/>
      <w:jc w:val="both"/>
    </w:pPr>
    <w:rPr>
      <w:rFonts w:ascii="Times New Roman" w:eastAsia="Times New Roman" w:hAnsi="Times New Roman" w:cs="David"/>
      <w:i w:val="0"/>
      <w:iCs w:val="0"/>
      <w:noProof/>
      <w:snapToGrid w:val="0"/>
      <w:color w:val="auto"/>
      <w:sz w:val="15"/>
      <w:szCs w:val="15"/>
    </w:rPr>
  </w:style>
  <w:style w:type="character" w:customStyle="1" w:styleId="a6">
    <w:name w:val="טקסט הערת שוליים תו"/>
    <w:basedOn w:val="a0"/>
    <w:link w:val="a4"/>
    <w:uiPriority w:val="99"/>
    <w:semiHidden/>
    <w:rsid w:val="003308E9"/>
    <w:rPr>
      <w:rFonts w:ascii="Times New Roman" w:eastAsia="Times New Roman" w:hAnsi="Times New Roman" w:cs="David"/>
      <w:noProof/>
      <w:snapToGrid w:val="0"/>
      <w:sz w:val="15"/>
      <w:szCs w:val="15"/>
    </w:rPr>
  </w:style>
  <w:style w:type="paragraph" w:styleId="a5">
    <w:name w:val="Block Text"/>
    <w:basedOn w:val="a"/>
    <w:uiPriority w:val="99"/>
    <w:semiHidden/>
    <w:unhideWhenUsed/>
    <w:rsid w:val="003308E9"/>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eastAsiaTheme="minorEastAsia"/>
      <w:i/>
      <w:iCs/>
      <w:color w:val="5B9BD5" w:themeColor="accent1"/>
    </w:rPr>
  </w:style>
  <w:style w:type="paragraph" w:customStyle="1" w:styleId="a7">
    <w:name w:val="מוזח"/>
    <w:basedOn w:val="a8"/>
    <w:rsid w:val="003308E9"/>
    <w:pPr>
      <w:tabs>
        <w:tab w:val="left" w:pos="992"/>
        <w:tab w:val="left" w:pos="1538"/>
      </w:tabs>
      <w:spacing w:before="120" w:line="270" w:lineRule="exact"/>
      <w:ind w:left="284" w:right="284"/>
      <w:jc w:val="both"/>
    </w:pPr>
    <w:rPr>
      <w:rFonts w:ascii="Times New Roman" w:eastAsia="Times New Roman" w:hAnsi="Times New Roman" w:cs="David"/>
      <w:noProof/>
      <w:sz w:val="20"/>
      <w:szCs w:val="21"/>
      <w:lang w:eastAsia="he-IL"/>
    </w:rPr>
  </w:style>
  <w:style w:type="paragraph" w:styleId="a8">
    <w:name w:val="Body Text"/>
    <w:basedOn w:val="a"/>
    <w:link w:val="a9"/>
    <w:uiPriority w:val="99"/>
    <w:semiHidden/>
    <w:unhideWhenUsed/>
    <w:rsid w:val="003308E9"/>
    <w:pPr>
      <w:spacing w:after="120"/>
    </w:pPr>
  </w:style>
  <w:style w:type="character" w:customStyle="1" w:styleId="a9">
    <w:name w:val="גוף טקסט תו"/>
    <w:basedOn w:val="a0"/>
    <w:link w:val="a8"/>
    <w:uiPriority w:val="99"/>
    <w:semiHidden/>
    <w:rsid w:val="003308E9"/>
  </w:style>
  <w:style w:type="paragraph" w:customStyle="1" w:styleId="Style2">
    <w:name w:val="Style2"/>
    <w:basedOn w:val="a"/>
    <w:rsid w:val="00F71329"/>
    <w:pPr>
      <w:tabs>
        <w:tab w:val="left" w:pos="992"/>
      </w:tabs>
      <w:spacing w:after="0" w:line="270" w:lineRule="exact"/>
      <w:jc w:val="both"/>
    </w:pPr>
    <w:rPr>
      <w:rFonts w:ascii="Times New Roman" w:eastAsia="Times New Roman" w:hAnsi="Times New Roman" w:cs="David"/>
      <w:noProof/>
      <w:sz w:val="21"/>
      <w:szCs w:val="21"/>
      <w:lang w:eastAsia="he-IL"/>
    </w:rPr>
  </w:style>
  <w:style w:type="paragraph" w:styleId="aa">
    <w:name w:val="header"/>
    <w:basedOn w:val="a"/>
    <w:link w:val="ab"/>
    <w:uiPriority w:val="99"/>
    <w:unhideWhenUsed/>
    <w:rsid w:val="00C10E63"/>
    <w:pPr>
      <w:tabs>
        <w:tab w:val="center" w:pos="4153"/>
        <w:tab w:val="right" w:pos="8306"/>
      </w:tabs>
      <w:spacing w:after="0" w:line="240" w:lineRule="auto"/>
    </w:pPr>
  </w:style>
  <w:style w:type="character" w:customStyle="1" w:styleId="ab">
    <w:name w:val="כותרת עליונה תו"/>
    <w:basedOn w:val="a0"/>
    <w:link w:val="aa"/>
    <w:uiPriority w:val="99"/>
    <w:rsid w:val="00C10E63"/>
  </w:style>
  <w:style w:type="paragraph" w:styleId="ac">
    <w:name w:val="footer"/>
    <w:basedOn w:val="a"/>
    <w:link w:val="ad"/>
    <w:uiPriority w:val="99"/>
    <w:unhideWhenUsed/>
    <w:rsid w:val="00C10E63"/>
    <w:pPr>
      <w:tabs>
        <w:tab w:val="center" w:pos="4153"/>
        <w:tab w:val="right" w:pos="8306"/>
      </w:tabs>
      <w:spacing w:after="0" w:line="240" w:lineRule="auto"/>
    </w:pPr>
  </w:style>
  <w:style w:type="character" w:customStyle="1" w:styleId="ad">
    <w:name w:val="כותרת תחתונה תו"/>
    <w:basedOn w:val="a0"/>
    <w:link w:val="ac"/>
    <w:uiPriority w:val="99"/>
    <w:rsid w:val="00C10E63"/>
  </w:style>
  <w:style w:type="paragraph" w:styleId="ae">
    <w:name w:val="List Paragraph"/>
    <w:basedOn w:val="a"/>
    <w:uiPriority w:val="34"/>
    <w:qFormat/>
    <w:rsid w:val="00053556"/>
    <w:pPr>
      <w:ind w:left="720"/>
      <w:contextualSpacing/>
    </w:pPr>
  </w:style>
  <w:style w:type="paragraph" w:styleId="af">
    <w:name w:val="Balloon Text"/>
    <w:basedOn w:val="a"/>
    <w:link w:val="af0"/>
    <w:uiPriority w:val="99"/>
    <w:semiHidden/>
    <w:unhideWhenUsed/>
    <w:rsid w:val="00820A33"/>
    <w:pPr>
      <w:spacing w:after="0" w:line="240" w:lineRule="auto"/>
    </w:pPr>
    <w:rPr>
      <w:rFonts w:ascii="Tahoma" w:hAnsi="Tahoma" w:cs="Tahoma"/>
      <w:sz w:val="18"/>
      <w:szCs w:val="18"/>
    </w:rPr>
  </w:style>
  <w:style w:type="character" w:customStyle="1" w:styleId="af0">
    <w:name w:val="טקסט בלונים תו"/>
    <w:basedOn w:val="a0"/>
    <w:link w:val="af"/>
    <w:uiPriority w:val="99"/>
    <w:semiHidden/>
    <w:rsid w:val="00820A33"/>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2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4DD046-AA1D-45CB-8EA9-512BEF3427C3}"/>
</file>

<file path=customXml/itemProps2.xml><?xml version="1.0" encoding="utf-8"?>
<ds:datastoreItem xmlns:ds="http://schemas.openxmlformats.org/officeDocument/2006/customXml" ds:itemID="{5AB2C986-90AA-4F37-B149-087FEFD22977}"/>
</file>

<file path=customXml/itemProps3.xml><?xml version="1.0" encoding="utf-8"?>
<ds:datastoreItem xmlns:ds="http://schemas.openxmlformats.org/officeDocument/2006/customXml" ds:itemID="{E01A8FC6-9066-4765-8EB7-6412E2FF3E3C}"/>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1663</Characters>
  <Application>Microsoft Office Word</Application>
  <DocSecurity>4</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Yehuda</dc:creator>
  <cp:keywords/>
  <dc:description/>
  <cp:lastModifiedBy>נוגה יוסף</cp:lastModifiedBy>
  <cp:revision>2</cp:revision>
  <cp:lastPrinted>2017-06-25T06:54:00Z</cp:lastPrinted>
  <dcterms:created xsi:type="dcterms:W3CDTF">2017-06-25T09:53:00Z</dcterms:created>
  <dcterms:modified xsi:type="dcterms:W3CDTF">2017-06-25T09:53:00Z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2018185</vt:r8>
  </property>
</Properties>
</file>