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0BA" w:rsidRPr="00460826" w:rsidRDefault="00C640BA" w:rsidP="00460826">
      <w:pPr>
        <w:bidi/>
        <w:jc w:val="right"/>
        <w:rPr>
          <w:rFonts w:asciiTheme="majorBidi" w:hAnsiTheme="majorBidi" w:cstheme="majorBidi"/>
          <w:sz w:val="24"/>
          <w:szCs w:val="24"/>
          <w:rtl/>
        </w:rPr>
      </w:pPr>
      <w:bookmarkStart w:id="0" w:name="_GoBack"/>
      <w:bookmarkEnd w:id="0"/>
      <w:r w:rsidRPr="00460826">
        <w:rPr>
          <w:rFonts w:asciiTheme="majorBidi" w:hAnsiTheme="majorBidi" w:cstheme="majorBidi"/>
          <w:sz w:val="24"/>
          <w:szCs w:val="24"/>
          <w:rtl/>
        </w:rPr>
        <w:t>27 ביוני 2017</w:t>
      </w:r>
    </w:p>
    <w:p w:rsidR="00C640BA" w:rsidRPr="00460826" w:rsidRDefault="00C640BA" w:rsidP="00460826">
      <w:pPr>
        <w:bidi/>
        <w:jc w:val="both"/>
        <w:rPr>
          <w:rFonts w:asciiTheme="majorBidi" w:hAnsiTheme="majorBidi" w:cstheme="majorBidi"/>
          <w:sz w:val="24"/>
          <w:szCs w:val="24"/>
          <w:rtl/>
        </w:rPr>
      </w:pPr>
    </w:p>
    <w:p w:rsidR="00C640BA" w:rsidRPr="00460826" w:rsidRDefault="00C640BA" w:rsidP="00460826">
      <w:pPr>
        <w:bidi/>
        <w:jc w:val="both"/>
        <w:rPr>
          <w:rFonts w:asciiTheme="majorBidi" w:hAnsiTheme="majorBidi" w:cstheme="majorBidi"/>
          <w:sz w:val="24"/>
          <w:szCs w:val="24"/>
          <w:rtl/>
        </w:rPr>
      </w:pPr>
      <w:r w:rsidRPr="00460826">
        <w:rPr>
          <w:rFonts w:asciiTheme="majorBidi" w:hAnsiTheme="majorBidi" w:cstheme="majorBidi"/>
          <w:sz w:val="24"/>
          <w:szCs w:val="24"/>
          <w:rtl/>
        </w:rPr>
        <w:t>אל: חברי ועדת החוקה חוק ומשפט</w:t>
      </w:r>
    </w:p>
    <w:p w:rsidR="00C640BA" w:rsidRPr="00460826" w:rsidRDefault="00C640BA" w:rsidP="00460826">
      <w:pPr>
        <w:bidi/>
        <w:jc w:val="both"/>
        <w:rPr>
          <w:rFonts w:asciiTheme="majorBidi" w:hAnsiTheme="majorBidi" w:cstheme="majorBidi"/>
          <w:sz w:val="24"/>
          <w:szCs w:val="24"/>
          <w:rtl/>
        </w:rPr>
      </w:pPr>
      <w:r w:rsidRPr="00460826">
        <w:rPr>
          <w:rFonts w:asciiTheme="majorBidi" w:hAnsiTheme="majorBidi" w:cstheme="majorBidi"/>
          <w:sz w:val="24"/>
          <w:szCs w:val="24"/>
          <w:rtl/>
        </w:rPr>
        <w:t>מאת: פרופ' מירי גור-אריה, הפקולטה למשפטים האוניברסיטה העברית</w:t>
      </w:r>
    </w:p>
    <w:p w:rsidR="00C640BA" w:rsidRPr="00460826" w:rsidRDefault="00C640BA" w:rsidP="00460826">
      <w:pPr>
        <w:bidi/>
        <w:jc w:val="both"/>
        <w:rPr>
          <w:rFonts w:asciiTheme="majorBidi" w:hAnsiTheme="majorBidi" w:cstheme="majorBidi"/>
          <w:sz w:val="24"/>
          <w:szCs w:val="24"/>
          <w:rtl/>
        </w:rPr>
      </w:pPr>
    </w:p>
    <w:p w:rsidR="00C640BA" w:rsidRPr="00460826" w:rsidRDefault="00C640BA" w:rsidP="00460826">
      <w:pPr>
        <w:bidi/>
        <w:jc w:val="both"/>
        <w:rPr>
          <w:rFonts w:asciiTheme="majorBidi" w:hAnsiTheme="majorBidi" w:cstheme="majorBidi"/>
          <w:sz w:val="24"/>
          <w:szCs w:val="24"/>
          <w:rtl/>
        </w:rPr>
      </w:pPr>
      <w:r w:rsidRPr="00460826">
        <w:rPr>
          <w:rFonts w:asciiTheme="majorBidi" w:hAnsiTheme="majorBidi" w:cstheme="majorBidi"/>
          <w:sz w:val="24"/>
          <w:szCs w:val="24"/>
          <w:rtl/>
        </w:rPr>
        <w:t>שלום רב,</w:t>
      </w:r>
    </w:p>
    <w:p w:rsidR="00C640BA" w:rsidRPr="00460826" w:rsidRDefault="00C640BA" w:rsidP="00460826">
      <w:pPr>
        <w:bidi/>
        <w:jc w:val="both"/>
        <w:rPr>
          <w:rFonts w:asciiTheme="majorBidi" w:hAnsiTheme="majorBidi" w:cstheme="majorBidi"/>
          <w:sz w:val="24"/>
          <w:szCs w:val="24"/>
          <w:rtl/>
        </w:rPr>
      </w:pPr>
    </w:p>
    <w:p w:rsidR="00F16670" w:rsidRDefault="00F16670" w:rsidP="00460826">
      <w:pPr>
        <w:bidi/>
        <w:jc w:val="center"/>
        <w:rPr>
          <w:rFonts w:asciiTheme="majorBidi" w:hAnsiTheme="majorBidi" w:cstheme="majorBidi"/>
          <w:sz w:val="24"/>
          <w:szCs w:val="24"/>
          <w:rtl/>
        </w:rPr>
      </w:pPr>
    </w:p>
    <w:p w:rsidR="00C640BA" w:rsidRPr="00460826" w:rsidRDefault="00C640BA" w:rsidP="00F16670">
      <w:pPr>
        <w:bidi/>
        <w:jc w:val="center"/>
        <w:rPr>
          <w:rFonts w:asciiTheme="majorBidi" w:hAnsiTheme="majorBidi" w:cstheme="majorBidi"/>
          <w:sz w:val="24"/>
          <w:szCs w:val="24"/>
          <w:rtl/>
        </w:rPr>
      </w:pPr>
      <w:r w:rsidRPr="00460826">
        <w:rPr>
          <w:rFonts w:asciiTheme="majorBidi" w:hAnsiTheme="majorBidi" w:cstheme="majorBidi"/>
          <w:sz w:val="24"/>
          <w:szCs w:val="24"/>
          <w:rtl/>
        </w:rPr>
        <w:t xml:space="preserve">הנדון: </w:t>
      </w:r>
      <w:r w:rsidRPr="00460826">
        <w:rPr>
          <w:rFonts w:asciiTheme="majorBidi" w:hAnsiTheme="majorBidi" w:cstheme="majorBidi"/>
          <w:b/>
          <w:bCs/>
          <w:sz w:val="24"/>
          <w:szCs w:val="24"/>
          <w:rtl/>
        </w:rPr>
        <w:t>הצעה אלטרנטיבית להתפלגות עבירות ההמתה</w:t>
      </w:r>
    </w:p>
    <w:p w:rsidR="00C640BA" w:rsidRPr="00460826" w:rsidRDefault="00C640BA" w:rsidP="00460826">
      <w:pPr>
        <w:bidi/>
        <w:jc w:val="both"/>
        <w:rPr>
          <w:rFonts w:asciiTheme="majorBidi" w:hAnsiTheme="majorBidi" w:cstheme="majorBidi"/>
          <w:sz w:val="24"/>
          <w:szCs w:val="24"/>
          <w:rtl/>
        </w:rPr>
      </w:pPr>
    </w:p>
    <w:p w:rsidR="00C640BA" w:rsidRPr="00460826" w:rsidRDefault="00C640BA" w:rsidP="00460826">
      <w:pPr>
        <w:bidi/>
        <w:jc w:val="both"/>
        <w:rPr>
          <w:rFonts w:asciiTheme="majorBidi" w:hAnsiTheme="majorBidi" w:cstheme="majorBidi"/>
          <w:sz w:val="24"/>
          <w:szCs w:val="24"/>
          <w:rtl/>
        </w:rPr>
      </w:pPr>
      <w:r w:rsidRPr="00460826">
        <w:rPr>
          <w:rFonts w:asciiTheme="majorBidi" w:hAnsiTheme="majorBidi" w:cstheme="majorBidi"/>
          <w:sz w:val="24"/>
          <w:szCs w:val="24"/>
          <w:rtl/>
        </w:rPr>
        <w:t>לצערי, לא אוכל להשתתף בישיבת הועדה ביום רביעי 28 ביוני. בהמשך לדברי בישיבת הועדה ביום 14 ביוני 2017, ולאור שאלות שנשאלתי לאחר הישיבה, להלן עיקרי ההצעה האלטרנטיבית להתפלגות עבירות ההמתה בה אני תומכת.</w:t>
      </w:r>
    </w:p>
    <w:p w:rsidR="00C640BA" w:rsidRPr="00460826" w:rsidRDefault="00C640BA" w:rsidP="00460826">
      <w:pPr>
        <w:bidi/>
        <w:jc w:val="both"/>
        <w:rPr>
          <w:rFonts w:asciiTheme="majorBidi" w:hAnsiTheme="majorBidi" w:cstheme="majorBidi"/>
          <w:sz w:val="24"/>
          <w:szCs w:val="24"/>
          <w:rtl/>
        </w:rPr>
      </w:pPr>
    </w:p>
    <w:p w:rsidR="00C640BA" w:rsidRPr="00460826" w:rsidRDefault="00C640BA" w:rsidP="00460826">
      <w:pPr>
        <w:pStyle w:val="a3"/>
        <w:numPr>
          <w:ilvl w:val="0"/>
          <w:numId w:val="1"/>
        </w:numPr>
        <w:bidi/>
        <w:jc w:val="both"/>
        <w:rPr>
          <w:rFonts w:asciiTheme="majorBidi" w:hAnsiTheme="majorBidi" w:cstheme="majorBidi"/>
          <w:b/>
          <w:bCs/>
          <w:sz w:val="24"/>
          <w:szCs w:val="24"/>
        </w:rPr>
      </w:pPr>
      <w:r w:rsidRPr="00460826">
        <w:rPr>
          <w:rFonts w:asciiTheme="majorBidi" w:hAnsiTheme="majorBidi" w:cstheme="majorBidi"/>
          <w:b/>
          <w:bCs/>
          <w:sz w:val="24"/>
          <w:szCs w:val="24"/>
          <w:rtl/>
        </w:rPr>
        <w:t>אין להתנות את עבירות ההמתה (רצח או עבירה נפרדת) ביסוד נפשי של אדישות.</w:t>
      </w:r>
    </w:p>
    <w:p w:rsidR="00C640BA" w:rsidRPr="00460826" w:rsidRDefault="00C640BA" w:rsidP="00460826">
      <w:pPr>
        <w:pStyle w:val="a3"/>
        <w:bidi/>
        <w:jc w:val="both"/>
        <w:rPr>
          <w:rFonts w:asciiTheme="majorBidi" w:hAnsiTheme="majorBidi" w:cstheme="majorBidi"/>
          <w:sz w:val="24"/>
          <w:szCs w:val="24"/>
          <w:rtl/>
        </w:rPr>
      </w:pPr>
      <w:r w:rsidRPr="00460826">
        <w:rPr>
          <w:rFonts w:asciiTheme="majorBidi" w:hAnsiTheme="majorBidi" w:cstheme="majorBidi"/>
          <w:b/>
          <w:bCs/>
          <w:sz w:val="24"/>
          <w:szCs w:val="24"/>
          <w:rtl/>
        </w:rPr>
        <w:t>הנימוק</w:t>
      </w:r>
      <w:r w:rsidRPr="00460826">
        <w:rPr>
          <w:rFonts w:asciiTheme="majorBidi" w:hAnsiTheme="majorBidi" w:cstheme="majorBidi"/>
          <w:sz w:val="24"/>
          <w:szCs w:val="24"/>
          <w:rtl/>
        </w:rPr>
        <w:t xml:space="preserve"> – אדישות </w:t>
      </w:r>
      <w:r w:rsidR="00460826" w:rsidRPr="00460826">
        <w:rPr>
          <w:rFonts w:asciiTheme="majorBidi" w:hAnsiTheme="majorBidi" w:cstheme="majorBidi"/>
          <w:sz w:val="24"/>
          <w:szCs w:val="24"/>
          <w:rtl/>
        </w:rPr>
        <w:t xml:space="preserve">היא </w:t>
      </w:r>
      <w:r w:rsidRPr="00460826">
        <w:rPr>
          <w:rFonts w:asciiTheme="majorBidi" w:hAnsiTheme="majorBidi" w:cstheme="majorBidi"/>
          <w:sz w:val="24"/>
          <w:szCs w:val="24"/>
          <w:rtl/>
        </w:rPr>
        <w:t xml:space="preserve">מושג ערכי, </w:t>
      </w:r>
      <w:r w:rsidR="00460826" w:rsidRPr="00460826">
        <w:rPr>
          <w:rFonts w:asciiTheme="majorBidi" w:hAnsiTheme="majorBidi" w:cstheme="majorBidi"/>
          <w:sz w:val="24"/>
          <w:szCs w:val="24"/>
          <w:rtl/>
        </w:rPr>
        <w:t>ו</w:t>
      </w:r>
      <w:r w:rsidRPr="00460826">
        <w:rPr>
          <w:rFonts w:asciiTheme="majorBidi" w:hAnsiTheme="majorBidi" w:cstheme="majorBidi"/>
          <w:sz w:val="24"/>
          <w:szCs w:val="24"/>
          <w:rtl/>
        </w:rPr>
        <w:t>בתי המשפט משתמשים בו כ</w:t>
      </w:r>
      <w:r w:rsidR="00333F33" w:rsidRPr="00460826">
        <w:rPr>
          <w:rFonts w:asciiTheme="majorBidi" w:hAnsiTheme="majorBidi" w:cstheme="majorBidi"/>
          <w:sz w:val="24"/>
          <w:szCs w:val="24"/>
          <w:rtl/>
        </w:rPr>
        <w:t>אשר</w:t>
      </w:r>
      <w:r w:rsidRPr="00460826">
        <w:rPr>
          <w:rFonts w:asciiTheme="majorBidi" w:hAnsiTheme="majorBidi" w:cstheme="majorBidi"/>
          <w:sz w:val="24"/>
          <w:szCs w:val="24"/>
          <w:rtl/>
        </w:rPr>
        <w:t xml:space="preserve"> הם רוצים להביע גינוי לזלול בחיי אדם, בהקשרים רבים אופן השימוש בו אינו תואם את ההגדרה הפורמלית של אדישות. מאחר שאין עבירה אחרת בחוק העונשין הדורשת אדישות, החשש הוא שדווקא כאשר מדובר בחיי אדם, הנטייה תהיה להרחיב את משמעות המושג.</w:t>
      </w:r>
    </w:p>
    <w:p w:rsidR="00C640BA" w:rsidRPr="00460826" w:rsidRDefault="00C640BA" w:rsidP="00460826">
      <w:pPr>
        <w:bidi/>
        <w:jc w:val="both"/>
        <w:rPr>
          <w:rFonts w:asciiTheme="majorBidi" w:hAnsiTheme="majorBidi" w:cstheme="majorBidi"/>
          <w:sz w:val="24"/>
          <w:szCs w:val="24"/>
          <w:rtl/>
        </w:rPr>
      </w:pPr>
    </w:p>
    <w:p w:rsidR="00C640BA" w:rsidRPr="00460826" w:rsidRDefault="00C640BA" w:rsidP="00460826">
      <w:pPr>
        <w:pStyle w:val="a3"/>
        <w:numPr>
          <w:ilvl w:val="0"/>
          <w:numId w:val="1"/>
        </w:numPr>
        <w:bidi/>
        <w:jc w:val="both"/>
        <w:rPr>
          <w:rFonts w:asciiTheme="majorBidi" w:hAnsiTheme="majorBidi" w:cstheme="majorBidi"/>
          <w:sz w:val="24"/>
          <w:szCs w:val="24"/>
        </w:rPr>
      </w:pPr>
      <w:r w:rsidRPr="00460826">
        <w:rPr>
          <w:rFonts w:asciiTheme="majorBidi" w:hAnsiTheme="majorBidi" w:cstheme="majorBidi"/>
          <w:sz w:val="24"/>
          <w:szCs w:val="24"/>
          <w:rtl/>
        </w:rPr>
        <w:t>בהתאם להצעה בה אני תומכת, עבירות ההמתה יתפלגו לשלוש עבירות עיקרית, בהתאם ליסוד הנפשי המאפיין אותן</w:t>
      </w:r>
      <w:r w:rsidR="00460826" w:rsidRPr="00460826">
        <w:rPr>
          <w:rFonts w:asciiTheme="majorBidi" w:hAnsiTheme="majorBidi" w:cstheme="majorBidi"/>
          <w:sz w:val="24"/>
          <w:szCs w:val="24"/>
          <w:rtl/>
        </w:rPr>
        <w:t>.</w:t>
      </w:r>
    </w:p>
    <w:p w:rsidR="00C640BA" w:rsidRPr="00460826" w:rsidRDefault="00C640BA" w:rsidP="00460826">
      <w:pPr>
        <w:pStyle w:val="a3"/>
        <w:bidi/>
        <w:jc w:val="both"/>
        <w:rPr>
          <w:rFonts w:asciiTheme="majorBidi" w:hAnsiTheme="majorBidi" w:cstheme="majorBidi"/>
          <w:sz w:val="24"/>
          <w:szCs w:val="24"/>
          <w:rtl/>
        </w:rPr>
      </w:pPr>
      <w:r w:rsidRPr="00460826">
        <w:rPr>
          <w:rFonts w:asciiTheme="majorBidi" w:hAnsiTheme="majorBidi" w:cstheme="majorBidi"/>
          <w:b/>
          <w:bCs/>
          <w:sz w:val="24"/>
          <w:szCs w:val="24"/>
          <w:rtl/>
        </w:rPr>
        <w:t>עבירת הרצח הבסיסית</w:t>
      </w:r>
      <w:r w:rsidRPr="00460826">
        <w:rPr>
          <w:rFonts w:asciiTheme="majorBidi" w:hAnsiTheme="majorBidi" w:cstheme="majorBidi"/>
          <w:sz w:val="24"/>
          <w:szCs w:val="24"/>
          <w:rtl/>
        </w:rPr>
        <w:t xml:space="preserve"> – יסוד נפשי של </w:t>
      </w:r>
      <w:r w:rsidRPr="00460826">
        <w:rPr>
          <w:rFonts w:asciiTheme="majorBidi" w:hAnsiTheme="majorBidi" w:cstheme="majorBidi"/>
          <w:b/>
          <w:bCs/>
          <w:sz w:val="24"/>
          <w:szCs w:val="24"/>
          <w:rtl/>
        </w:rPr>
        <w:t>כוונה</w:t>
      </w:r>
      <w:r w:rsidRPr="00460826">
        <w:rPr>
          <w:rFonts w:asciiTheme="majorBidi" w:hAnsiTheme="majorBidi" w:cstheme="majorBidi"/>
          <w:sz w:val="24"/>
          <w:szCs w:val="24"/>
          <w:rtl/>
        </w:rPr>
        <w:t xml:space="preserve"> (כעמדת </w:t>
      </w:r>
      <w:r w:rsidR="00460826" w:rsidRPr="00460826">
        <w:rPr>
          <w:rFonts w:asciiTheme="majorBidi" w:hAnsiTheme="majorBidi" w:cstheme="majorBidi"/>
          <w:sz w:val="24"/>
          <w:szCs w:val="24"/>
          <w:rtl/>
        </w:rPr>
        <w:t>הסנגוריה הציבורית – דעת מיעוט</w:t>
      </w:r>
      <w:r w:rsidRPr="00460826">
        <w:rPr>
          <w:rFonts w:asciiTheme="majorBidi" w:hAnsiTheme="majorBidi" w:cstheme="majorBidi"/>
          <w:sz w:val="24"/>
          <w:szCs w:val="24"/>
          <w:rtl/>
        </w:rPr>
        <w:t xml:space="preserve"> בוועדת קרמניצר). העונש </w:t>
      </w:r>
      <w:proofErr w:type="spellStart"/>
      <w:r w:rsidRPr="00460826">
        <w:rPr>
          <w:rFonts w:asciiTheme="majorBidi" w:hAnsiTheme="majorBidi" w:cstheme="majorBidi"/>
          <w:sz w:val="24"/>
          <w:szCs w:val="24"/>
          <w:rtl/>
        </w:rPr>
        <w:t>המירבי</w:t>
      </w:r>
      <w:proofErr w:type="spellEnd"/>
      <w:r w:rsidRPr="00460826">
        <w:rPr>
          <w:rFonts w:asciiTheme="majorBidi" w:hAnsiTheme="majorBidi" w:cstheme="majorBidi"/>
          <w:sz w:val="24"/>
          <w:szCs w:val="24"/>
          <w:rtl/>
        </w:rPr>
        <w:t xml:space="preserve"> – מאסר עולם שאינו חובה (יהיה צורך לקבוע  במפורש כי סעיף 41 לחוק העונשין, הקובע כי מאסר עולם שאינו חובה לא יעלה על 20 שנות מאסר, לא יחול על הרצח הבסיסי).</w:t>
      </w:r>
    </w:p>
    <w:p w:rsidR="00C640BA" w:rsidRPr="00460826" w:rsidRDefault="00C640BA" w:rsidP="00460826">
      <w:pPr>
        <w:pStyle w:val="a3"/>
        <w:bidi/>
        <w:jc w:val="both"/>
        <w:rPr>
          <w:rFonts w:asciiTheme="majorBidi" w:hAnsiTheme="majorBidi" w:cstheme="majorBidi"/>
          <w:sz w:val="24"/>
          <w:szCs w:val="24"/>
          <w:rtl/>
        </w:rPr>
      </w:pPr>
      <w:r w:rsidRPr="00460826">
        <w:rPr>
          <w:rFonts w:asciiTheme="majorBidi" w:hAnsiTheme="majorBidi" w:cstheme="majorBidi"/>
          <w:b/>
          <w:bCs/>
          <w:sz w:val="24"/>
          <w:szCs w:val="24"/>
          <w:rtl/>
        </w:rPr>
        <w:t xml:space="preserve">רצח מוחמר </w:t>
      </w:r>
      <w:r w:rsidRPr="00460826">
        <w:rPr>
          <w:rFonts w:asciiTheme="majorBidi" w:hAnsiTheme="majorBidi" w:cstheme="majorBidi"/>
          <w:sz w:val="24"/>
          <w:szCs w:val="24"/>
          <w:rtl/>
        </w:rPr>
        <w:t xml:space="preserve">– יסוד נפשי של </w:t>
      </w:r>
      <w:r w:rsidRPr="00460826">
        <w:rPr>
          <w:rFonts w:asciiTheme="majorBidi" w:hAnsiTheme="majorBidi" w:cstheme="majorBidi"/>
          <w:b/>
          <w:bCs/>
          <w:sz w:val="24"/>
          <w:szCs w:val="24"/>
          <w:rtl/>
        </w:rPr>
        <w:t>כוונה תחילה</w:t>
      </w:r>
      <w:r w:rsidRPr="00460826">
        <w:rPr>
          <w:rFonts w:asciiTheme="majorBidi" w:hAnsiTheme="majorBidi" w:cstheme="majorBidi"/>
          <w:sz w:val="24"/>
          <w:szCs w:val="24"/>
          <w:rtl/>
        </w:rPr>
        <w:t xml:space="preserve"> (כפי שזו מאופיינת בתזכיר החוק, בצד צורות נוספות של רצח מוחמר כמוצע בתזכיר החוק). העונש – מאסר עולם חובה.</w:t>
      </w:r>
    </w:p>
    <w:p w:rsidR="00C640BA" w:rsidRPr="00460826" w:rsidRDefault="00C640BA" w:rsidP="00460826">
      <w:pPr>
        <w:pStyle w:val="a3"/>
        <w:bidi/>
        <w:jc w:val="both"/>
        <w:rPr>
          <w:rFonts w:asciiTheme="majorBidi" w:hAnsiTheme="majorBidi" w:cstheme="majorBidi"/>
          <w:sz w:val="24"/>
          <w:szCs w:val="24"/>
          <w:rtl/>
        </w:rPr>
      </w:pPr>
      <w:r w:rsidRPr="00460826">
        <w:rPr>
          <w:rFonts w:asciiTheme="majorBidi" w:hAnsiTheme="majorBidi" w:cstheme="majorBidi"/>
          <w:b/>
          <w:bCs/>
          <w:sz w:val="24"/>
          <w:szCs w:val="24"/>
          <w:rtl/>
        </w:rPr>
        <w:t xml:space="preserve">הריגה – </w:t>
      </w:r>
      <w:r w:rsidRPr="00460826">
        <w:rPr>
          <w:rFonts w:asciiTheme="majorBidi" w:hAnsiTheme="majorBidi" w:cstheme="majorBidi"/>
          <w:sz w:val="24"/>
          <w:szCs w:val="24"/>
          <w:rtl/>
        </w:rPr>
        <w:t>יסוד נפשי</w:t>
      </w:r>
      <w:r w:rsidRPr="00460826">
        <w:rPr>
          <w:rFonts w:asciiTheme="majorBidi" w:hAnsiTheme="majorBidi" w:cstheme="majorBidi"/>
          <w:b/>
          <w:bCs/>
          <w:sz w:val="24"/>
          <w:szCs w:val="24"/>
          <w:rtl/>
        </w:rPr>
        <w:t xml:space="preserve"> </w:t>
      </w:r>
      <w:r w:rsidRPr="00460826">
        <w:rPr>
          <w:rFonts w:asciiTheme="majorBidi" w:hAnsiTheme="majorBidi" w:cstheme="majorBidi"/>
          <w:sz w:val="24"/>
          <w:szCs w:val="24"/>
          <w:rtl/>
        </w:rPr>
        <w:t>של</w:t>
      </w:r>
      <w:r w:rsidRPr="00460826">
        <w:rPr>
          <w:rFonts w:asciiTheme="majorBidi" w:hAnsiTheme="majorBidi" w:cstheme="majorBidi"/>
          <w:b/>
          <w:bCs/>
          <w:sz w:val="24"/>
          <w:szCs w:val="24"/>
          <w:rtl/>
        </w:rPr>
        <w:t xml:space="preserve"> פזיזות (</w:t>
      </w:r>
      <w:r w:rsidR="00333F33" w:rsidRPr="00460826">
        <w:rPr>
          <w:rFonts w:asciiTheme="majorBidi" w:hAnsiTheme="majorBidi" w:cstheme="majorBidi"/>
          <w:b/>
          <w:bCs/>
          <w:sz w:val="24"/>
          <w:szCs w:val="24"/>
          <w:rtl/>
        </w:rPr>
        <w:t xml:space="preserve">אדישות  או קלות דעת) – </w:t>
      </w:r>
      <w:r w:rsidR="00333F33" w:rsidRPr="00460826">
        <w:rPr>
          <w:rFonts w:asciiTheme="majorBidi" w:hAnsiTheme="majorBidi" w:cstheme="majorBidi"/>
          <w:sz w:val="24"/>
          <w:szCs w:val="24"/>
          <w:rtl/>
        </w:rPr>
        <w:t xml:space="preserve">העונש </w:t>
      </w:r>
      <w:proofErr w:type="spellStart"/>
      <w:r w:rsidR="00333F33" w:rsidRPr="00460826">
        <w:rPr>
          <w:rFonts w:asciiTheme="majorBidi" w:hAnsiTheme="majorBidi" w:cstheme="majorBidi"/>
          <w:sz w:val="24"/>
          <w:szCs w:val="24"/>
          <w:rtl/>
        </w:rPr>
        <w:t>המירבי</w:t>
      </w:r>
      <w:proofErr w:type="spellEnd"/>
      <w:r w:rsidR="00333F33" w:rsidRPr="00460826">
        <w:rPr>
          <w:rFonts w:asciiTheme="majorBidi" w:hAnsiTheme="majorBidi" w:cstheme="majorBidi"/>
          <w:sz w:val="24"/>
          <w:szCs w:val="24"/>
          <w:rtl/>
        </w:rPr>
        <w:t xml:space="preserve"> 20 שנות מאסר.</w:t>
      </w:r>
    </w:p>
    <w:p w:rsidR="00333F33" w:rsidRPr="00460826" w:rsidRDefault="00333F33" w:rsidP="00F16670">
      <w:pPr>
        <w:pStyle w:val="a3"/>
        <w:bidi/>
        <w:jc w:val="both"/>
        <w:rPr>
          <w:rFonts w:asciiTheme="majorBidi" w:hAnsiTheme="majorBidi" w:cstheme="majorBidi"/>
          <w:sz w:val="24"/>
          <w:szCs w:val="24"/>
          <w:rtl/>
        </w:rPr>
      </w:pPr>
      <w:r w:rsidRPr="00460826">
        <w:rPr>
          <w:rFonts w:asciiTheme="majorBidi" w:hAnsiTheme="majorBidi" w:cstheme="majorBidi"/>
          <w:sz w:val="24"/>
          <w:szCs w:val="24"/>
          <w:rtl/>
        </w:rPr>
        <w:t xml:space="preserve">הערה </w:t>
      </w:r>
      <w:r w:rsidRPr="00460826">
        <w:rPr>
          <w:rFonts w:asciiTheme="majorBidi" w:hAnsiTheme="majorBidi" w:cstheme="majorBidi"/>
          <w:b/>
          <w:bCs/>
          <w:sz w:val="24"/>
          <w:szCs w:val="24"/>
          <w:rtl/>
        </w:rPr>
        <w:t>–</w:t>
      </w:r>
      <w:r w:rsidRPr="00460826">
        <w:rPr>
          <w:rFonts w:asciiTheme="majorBidi" w:hAnsiTheme="majorBidi" w:cstheme="majorBidi"/>
          <w:sz w:val="24"/>
          <w:szCs w:val="24"/>
          <w:rtl/>
        </w:rPr>
        <w:t xml:space="preserve"> היחס בין עבירת הרצח הבסיסי (כוונה) לבין עבירת ההריגה (פזיזות) תואם את היחס בין עבירות החבלה הגופנית (</w:t>
      </w:r>
      <w:r w:rsidR="00F16670">
        <w:rPr>
          <w:rFonts w:asciiTheme="majorBidi" w:hAnsiTheme="majorBidi" w:cstheme="majorBidi" w:hint="cs"/>
          <w:sz w:val="24"/>
          <w:szCs w:val="24"/>
          <w:rtl/>
        </w:rPr>
        <w:t xml:space="preserve"> סעיף  </w:t>
      </w:r>
      <w:r w:rsidRPr="00460826">
        <w:rPr>
          <w:rFonts w:asciiTheme="majorBidi" w:hAnsiTheme="majorBidi" w:cstheme="majorBidi"/>
          <w:sz w:val="24"/>
          <w:szCs w:val="24"/>
          <w:rtl/>
        </w:rPr>
        <w:t xml:space="preserve">329 </w:t>
      </w:r>
      <w:r w:rsidR="00F16670">
        <w:rPr>
          <w:rFonts w:asciiTheme="majorBidi" w:hAnsiTheme="majorBidi" w:cstheme="majorBidi" w:hint="cs"/>
          <w:sz w:val="24"/>
          <w:szCs w:val="24"/>
          <w:rtl/>
        </w:rPr>
        <w:t xml:space="preserve">לחוק העונשין </w:t>
      </w:r>
      <w:r w:rsidRPr="00460826">
        <w:rPr>
          <w:rFonts w:asciiTheme="majorBidi" w:hAnsiTheme="majorBidi" w:cstheme="majorBidi"/>
          <w:sz w:val="24"/>
          <w:szCs w:val="24"/>
          <w:rtl/>
        </w:rPr>
        <w:t xml:space="preserve">– גרימת חבלה חמורה בכוונה, </w:t>
      </w:r>
      <w:r w:rsidR="00F16670">
        <w:rPr>
          <w:rFonts w:asciiTheme="majorBidi" w:hAnsiTheme="majorBidi" w:cstheme="majorBidi" w:hint="cs"/>
          <w:sz w:val="24"/>
          <w:szCs w:val="24"/>
          <w:rtl/>
        </w:rPr>
        <w:t xml:space="preserve"> סעיף </w:t>
      </w:r>
      <w:r w:rsidRPr="00460826">
        <w:rPr>
          <w:rFonts w:asciiTheme="majorBidi" w:hAnsiTheme="majorBidi" w:cstheme="majorBidi"/>
          <w:sz w:val="24"/>
          <w:szCs w:val="24"/>
          <w:rtl/>
        </w:rPr>
        <w:t xml:space="preserve">333 </w:t>
      </w:r>
      <w:r w:rsidR="00F16670">
        <w:rPr>
          <w:rFonts w:asciiTheme="majorBidi" w:hAnsiTheme="majorBidi" w:cstheme="majorBidi" w:hint="cs"/>
          <w:sz w:val="24"/>
          <w:szCs w:val="24"/>
          <w:rtl/>
        </w:rPr>
        <w:t xml:space="preserve">לחוק, </w:t>
      </w:r>
      <w:r w:rsidRPr="00460826">
        <w:rPr>
          <w:rFonts w:asciiTheme="majorBidi" w:hAnsiTheme="majorBidi" w:cstheme="majorBidi"/>
          <w:sz w:val="24"/>
          <w:szCs w:val="24"/>
          <w:rtl/>
        </w:rPr>
        <w:t>גרימת חבלה חמורה בפזיזות).</w:t>
      </w:r>
    </w:p>
    <w:p w:rsidR="00333F33" w:rsidRPr="00460826" w:rsidRDefault="00333F33" w:rsidP="00460826">
      <w:pPr>
        <w:bidi/>
        <w:jc w:val="both"/>
        <w:rPr>
          <w:rFonts w:asciiTheme="majorBidi" w:hAnsiTheme="majorBidi" w:cstheme="majorBidi"/>
          <w:sz w:val="24"/>
          <w:szCs w:val="24"/>
          <w:rtl/>
        </w:rPr>
      </w:pPr>
    </w:p>
    <w:p w:rsidR="00333F33" w:rsidRDefault="00333F33" w:rsidP="00460826">
      <w:pPr>
        <w:pStyle w:val="a3"/>
        <w:numPr>
          <w:ilvl w:val="0"/>
          <w:numId w:val="1"/>
        </w:numPr>
        <w:bidi/>
        <w:jc w:val="both"/>
        <w:rPr>
          <w:rFonts w:asciiTheme="majorBidi" w:hAnsiTheme="majorBidi" w:cstheme="majorBidi"/>
          <w:sz w:val="24"/>
          <w:szCs w:val="24"/>
        </w:rPr>
      </w:pPr>
      <w:r w:rsidRPr="00460826">
        <w:rPr>
          <w:rFonts w:asciiTheme="majorBidi" w:hAnsiTheme="majorBidi" w:cstheme="majorBidi"/>
          <w:sz w:val="24"/>
          <w:szCs w:val="24"/>
          <w:rtl/>
        </w:rPr>
        <w:t xml:space="preserve">בנוסף, יש מקום להוסיף שני הסדרים, המיועדים להתמודד – בין השאר – עם </w:t>
      </w:r>
      <w:r w:rsidR="00460826">
        <w:rPr>
          <w:rFonts w:asciiTheme="majorBidi" w:hAnsiTheme="majorBidi" w:cstheme="majorBidi"/>
          <w:sz w:val="24"/>
          <w:szCs w:val="24"/>
          <w:rtl/>
        </w:rPr>
        <w:t>מקרי אלימות שהביאו למוות, ו</w:t>
      </w:r>
      <w:r w:rsidR="00460826" w:rsidRPr="00460826">
        <w:rPr>
          <w:rFonts w:asciiTheme="majorBidi" w:hAnsiTheme="majorBidi" w:cstheme="majorBidi"/>
          <w:sz w:val="24"/>
          <w:szCs w:val="24"/>
          <w:rtl/>
        </w:rPr>
        <w:t>לאפשר הרשעה ברצח במקרים המתאימים.</w:t>
      </w:r>
      <w:r w:rsidR="0041413A" w:rsidRPr="00460826">
        <w:rPr>
          <w:rFonts w:asciiTheme="majorBidi" w:hAnsiTheme="majorBidi" w:cstheme="majorBidi"/>
          <w:sz w:val="24"/>
          <w:szCs w:val="24"/>
          <w:rtl/>
        </w:rPr>
        <w:t xml:space="preserve"> </w:t>
      </w:r>
    </w:p>
    <w:p w:rsidR="00F16670" w:rsidRPr="00460826" w:rsidRDefault="00F16670" w:rsidP="00F16670">
      <w:pPr>
        <w:pStyle w:val="a3"/>
        <w:bidi/>
        <w:jc w:val="both"/>
        <w:rPr>
          <w:rFonts w:asciiTheme="majorBidi" w:hAnsiTheme="majorBidi" w:cstheme="majorBidi"/>
          <w:sz w:val="24"/>
          <w:szCs w:val="24"/>
        </w:rPr>
      </w:pPr>
    </w:p>
    <w:p w:rsidR="00333F33" w:rsidRPr="00460826" w:rsidRDefault="00333F33" w:rsidP="00460826">
      <w:pPr>
        <w:pStyle w:val="a3"/>
        <w:numPr>
          <w:ilvl w:val="0"/>
          <w:numId w:val="2"/>
        </w:numPr>
        <w:bidi/>
        <w:jc w:val="both"/>
        <w:rPr>
          <w:rFonts w:asciiTheme="majorBidi" w:hAnsiTheme="majorBidi" w:cstheme="majorBidi"/>
          <w:b/>
          <w:bCs/>
          <w:sz w:val="24"/>
          <w:szCs w:val="24"/>
        </w:rPr>
      </w:pPr>
      <w:r w:rsidRPr="00460826">
        <w:rPr>
          <w:rFonts w:asciiTheme="majorBidi" w:hAnsiTheme="majorBidi" w:cstheme="majorBidi"/>
          <w:b/>
          <w:bCs/>
          <w:sz w:val="24"/>
          <w:szCs w:val="24"/>
          <w:rtl/>
        </w:rPr>
        <w:t>החלת הלכת הצפיות במסגרת עבירת הרצח הבסיסית.</w:t>
      </w:r>
    </w:p>
    <w:p w:rsidR="00333F33" w:rsidRPr="00460826" w:rsidRDefault="00333F33" w:rsidP="00F16670">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הסבר – הלכת הצפיות מאפשרת לייחס יסוד נפשי של</w:t>
      </w:r>
      <w:r w:rsidR="00460826" w:rsidRPr="00460826">
        <w:rPr>
          <w:rFonts w:asciiTheme="majorBidi" w:hAnsiTheme="majorBidi" w:cstheme="majorBidi"/>
          <w:sz w:val="24"/>
          <w:szCs w:val="24"/>
          <w:rtl/>
        </w:rPr>
        <w:t xml:space="preserve"> כוננה גם למי שלא חפץ בהתרחשות ה</w:t>
      </w:r>
      <w:r w:rsidRPr="00460826">
        <w:rPr>
          <w:rFonts w:asciiTheme="majorBidi" w:hAnsiTheme="majorBidi" w:cstheme="majorBidi"/>
          <w:sz w:val="24"/>
          <w:szCs w:val="24"/>
          <w:rtl/>
        </w:rPr>
        <w:t>תוצאה באם הוא צפה את התרחשות התוצאה "כאפשרות קרובה לוודאי"</w:t>
      </w:r>
      <w:r w:rsidR="00F16670">
        <w:rPr>
          <w:rFonts w:asciiTheme="majorBidi" w:hAnsiTheme="majorBidi" w:cstheme="majorBidi" w:hint="cs"/>
          <w:sz w:val="24"/>
          <w:szCs w:val="24"/>
          <w:rtl/>
        </w:rPr>
        <w:t xml:space="preserve"> (סעיף 20(ב) לחוק העונשין)</w:t>
      </w:r>
      <w:r w:rsidRPr="00460826">
        <w:rPr>
          <w:rFonts w:asciiTheme="majorBidi" w:hAnsiTheme="majorBidi" w:cstheme="majorBidi"/>
          <w:sz w:val="24"/>
          <w:szCs w:val="24"/>
          <w:rtl/>
        </w:rPr>
        <w:t>. הפסיקה החילה את הלכת הצפיות על עבירות כוונה שונות, אבל לא על עבירת הרצח. הנימוק לאי-החלתה על רצח היה כפול: לא ראוי להטיל אות קיין של רוצח בהעדר רצון בתוצאה , וכן יסוד נפשי של כוונה תחילה מחייב רצון בתוצאה ו</w:t>
      </w:r>
      <w:r w:rsidR="00F16670">
        <w:rPr>
          <w:rFonts w:asciiTheme="majorBidi" w:hAnsiTheme="majorBidi" w:cstheme="majorBidi" w:hint="cs"/>
          <w:sz w:val="24"/>
          <w:szCs w:val="24"/>
          <w:rtl/>
        </w:rPr>
        <w:t>לא</w:t>
      </w:r>
      <w:r w:rsidRPr="00460826">
        <w:rPr>
          <w:rFonts w:asciiTheme="majorBidi" w:hAnsiTheme="majorBidi" w:cstheme="majorBidi"/>
          <w:sz w:val="24"/>
          <w:szCs w:val="24"/>
          <w:rtl/>
        </w:rPr>
        <w:t xml:space="preserve"> ניתן להמיר </w:t>
      </w:r>
      <w:r w:rsidR="00F16670">
        <w:rPr>
          <w:rFonts w:asciiTheme="majorBidi" w:hAnsiTheme="majorBidi" w:cstheme="majorBidi" w:hint="cs"/>
          <w:sz w:val="24"/>
          <w:szCs w:val="24"/>
          <w:rtl/>
        </w:rPr>
        <w:t xml:space="preserve">אותו </w:t>
      </w:r>
      <w:r w:rsidRPr="00460826">
        <w:rPr>
          <w:rFonts w:asciiTheme="majorBidi" w:hAnsiTheme="majorBidi" w:cstheme="majorBidi"/>
          <w:sz w:val="24"/>
          <w:szCs w:val="24"/>
          <w:rtl/>
        </w:rPr>
        <w:t>בהלכת הצפיות. הנחת המוצא של תזכיר החוק, לפיה עבירת הרצח הבסיסית היא חמורה, אבל לא הצורה החמורה ביותר של המתה, בצד ההסתפקות ביסוד נפשי של כוונה, מצדיקים להחיל את הלכת הצפיות גם על עבירת הרצח הבסיסית.</w:t>
      </w:r>
    </w:p>
    <w:p w:rsidR="00333F33" w:rsidRDefault="00333F33" w:rsidP="00460826">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המקרה הטיפוסי – אם כי לא היחיד – שלגביו ניתן יהיה להחיל את הלכת הצפיות בהקשר להמתה יהיה המקרה של אלימות חמורה. יש להניח כי לא יהיה קושי להוכיח כי מי שנקט באלימות חמורה צפה כא</w:t>
      </w:r>
      <w:r w:rsidR="00460826" w:rsidRPr="00460826">
        <w:rPr>
          <w:rFonts w:asciiTheme="majorBidi" w:hAnsiTheme="majorBidi" w:cstheme="majorBidi"/>
          <w:sz w:val="24"/>
          <w:szCs w:val="24"/>
          <w:rtl/>
        </w:rPr>
        <w:t>פש</w:t>
      </w:r>
      <w:r w:rsidRPr="00460826">
        <w:rPr>
          <w:rFonts w:asciiTheme="majorBidi" w:hAnsiTheme="majorBidi" w:cstheme="majorBidi"/>
          <w:sz w:val="24"/>
          <w:szCs w:val="24"/>
          <w:rtl/>
        </w:rPr>
        <w:t>רות קרובה לוודאי שבאלימות תסתיים במוות, ולכן ניתן לייחס לו כוונה גם אם מטרתו לא הייתה לגרום למוות. ככל שהאלימות תהיה חמורה יותר, כך יקל להוכיח את הצפייה בדרגה הגבוהה הנדרשת.</w:t>
      </w:r>
    </w:p>
    <w:p w:rsidR="00460826" w:rsidRDefault="00460826" w:rsidP="00460826">
      <w:pPr>
        <w:pStyle w:val="a3"/>
        <w:bidi/>
        <w:ind w:left="1080"/>
        <w:jc w:val="both"/>
        <w:rPr>
          <w:rFonts w:asciiTheme="majorBidi" w:hAnsiTheme="majorBidi" w:cstheme="majorBidi"/>
          <w:sz w:val="24"/>
          <w:szCs w:val="24"/>
          <w:rtl/>
        </w:rPr>
      </w:pPr>
    </w:p>
    <w:p w:rsidR="00333F33" w:rsidRPr="00460826" w:rsidRDefault="00333F33" w:rsidP="00460826">
      <w:pPr>
        <w:pStyle w:val="a3"/>
        <w:numPr>
          <w:ilvl w:val="0"/>
          <w:numId w:val="2"/>
        </w:numPr>
        <w:bidi/>
        <w:jc w:val="both"/>
        <w:rPr>
          <w:rFonts w:asciiTheme="majorBidi" w:hAnsiTheme="majorBidi" w:cstheme="majorBidi"/>
          <w:b/>
          <w:bCs/>
          <w:sz w:val="24"/>
          <w:szCs w:val="24"/>
        </w:rPr>
      </w:pPr>
      <w:r w:rsidRPr="00460826">
        <w:rPr>
          <w:rFonts w:asciiTheme="majorBidi" w:hAnsiTheme="majorBidi" w:cstheme="majorBidi"/>
          <w:b/>
          <w:bCs/>
          <w:sz w:val="24"/>
          <w:szCs w:val="24"/>
          <w:rtl/>
        </w:rPr>
        <w:t>המתה בפזיזות אגב ביצוע עבירה אחרת של אלימות (או עבירה אחרת נגד הגוף)</w:t>
      </w:r>
      <w:r w:rsidR="0041413A" w:rsidRPr="00460826">
        <w:rPr>
          <w:rFonts w:asciiTheme="majorBidi" w:hAnsiTheme="majorBidi" w:cstheme="majorBidi"/>
          <w:b/>
          <w:bCs/>
          <w:sz w:val="24"/>
          <w:szCs w:val="24"/>
          <w:rtl/>
        </w:rPr>
        <w:t xml:space="preserve"> תיכלל בעבירת הרצח הבסיסית</w:t>
      </w:r>
      <w:r w:rsidRPr="00460826">
        <w:rPr>
          <w:rFonts w:asciiTheme="majorBidi" w:hAnsiTheme="majorBidi" w:cstheme="majorBidi"/>
          <w:b/>
          <w:bCs/>
          <w:sz w:val="24"/>
          <w:szCs w:val="24"/>
          <w:rtl/>
        </w:rPr>
        <w:t>.</w:t>
      </w:r>
    </w:p>
    <w:p w:rsidR="00333F33" w:rsidRPr="00460826" w:rsidRDefault="001D1E82" w:rsidP="00460826">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ח</w:t>
      </w:r>
      <w:r w:rsidR="00F16670">
        <w:rPr>
          <w:rFonts w:asciiTheme="majorBidi" w:hAnsiTheme="majorBidi" w:cstheme="majorBidi"/>
          <w:sz w:val="24"/>
          <w:szCs w:val="24"/>
          <w:rtl/>
        </w:rPr>
        <w:t>וק העונשין מאפשר להרשיע ברצח, א</w:t>
      </w:r>
      <w:r w:rsidR="00F16670">
        <w:rPr>
          <w:rFonts w:asciiTheme="majorBidi" w:hAnsiTheme="majorBidi" w:cstheme="majorBidi" w:hint="cs"/>
          <w:sz w:val="24"/>
          <w:szCs w:val="24"/>
          <w:rtl/>
        </w:rPr>
        <w:t>ת</w:t>
      </w:r>
      <w:r w:rsidRPr="00460826">
        <w:rPr>
          <w:rFonts w:asciiTheme="majorBidi" w:hAnsiTheme="majorBidi" w:cstheme="majorBidi"/>
          <w:sz w:val="24"/>
          <w:szCs w:val="24"/>
          <w:rtl/>
        </w:rPr>
        <w:t xml:space="preserve"> מי שהמית בפזיזות ב</w:t>
      </w:r>
      <w:r w:rsidR="0041413A" w:rsidRPr="00460826">
        <w:rPr>
          <w:rFonts w:asciiTheme="majorBidi" w:hAnsiTheme="majorBidi" w:cstheme="majorBidi"/>
          <w:sz w:val="24"/>
          <w:szCs w:val="24"/>
          <w:rtl/>
        </w:rPr>
        <w:t>א</w:t>
      </w:r>
      <w:r w:rsidRPr="00460826">
        <w:rPr>
          <w:rFonts w:asciiTheme="majorBidi" w:hAnsiTheme="majorBidi" w:cstheme="majorBidi"/>
          <w:sz w:val="24"/>
          <w:szCs w:val="24"/>
          <w:rtl/>
        </w:rPr>
        <w:t xml:space="preserve">ם ההמתה נעשתה אגב ביצוע עבירה אחרת, כאמור בסעיף 300(א)(3) לחוק. למעשה, מדבר בצורה מוחמרת של הריגה, המסווגת כרצח. כדי להצדיק את ההחמרה לרצח הפסיקה במשפטנו דרשה כי העבירה במהלכה נגרם המוות תהיה עבירה שונה/נפרדת. דהיינו – ההתנהגות </w:t>
      </w:r>
      <w:r w:rsidR="00F72600" w:rsidRPr="00460826">
        <w:rPr>
          <w:rFonts w:asciiTheme="majorBidi" w:hAnsiTheme="majorBidi" w:cstheme="majorBidi"/>
          <w:sz w:val="24"/>
          <w:szCs w:val="24"/>
          <w:rtl/>
        </w:rPr>
        <w:t>שגרמה למוות תהיה</w:t>
      </w:r>
      <w:r w:rsidRPr="00460826">
        <w:rPr>
          <w:rFonts w:asciiTheme="majorBidi" w:hAnsiTheme="majorBidi" w:cstheme="majorBidi"/>
          <w:sz w:val="24"/>
          <w:szCs w:val="24"/>
          <w:rtl/>
        </w:rPr>
        <w:t xml:space="preserve"> נוספת להתנהגות המרכיבה את העבירה האחרת.</w:t>
      </w:r>
    </w:p>
    <w:p w:rsidR="001D1E82" w:rsidRPr="00460826" w:rsidRDefault="001D1E82" w:rsidP="00460826">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תזכיר החוק מציע להחיל החמרה דומה אם כי שונה במקצת בתנאיה. במקרים בהם ההמתה המכוונת (או מתוך אדישות</w:t>
      </w:r>
      <w:r w:rsidR="00460826" w:rsidRPr="00460826">
        <w:rPr>
          <w:rFonts w:asciiTheme="majorBidi" w:hAnsiTheme="majorBidi" w:cstheme="majorBidi"/>
          <w:sz w:val="24"/>
          <w:szCs w:val="24"/>
          <w:rtl/>
        </w:rPr>
        <w:t>)</w:t>
      </w:r>
      <w:r w:rsidRPr="00460826">
        <w:rPr>
          <w:rFonts w:asciiTheme="majorBidi" w:hAnsiTheme="majorBidi" w:cstheme="majorBidi"/>
          <w:sz w:val="24"/>
          <w:szCs w:val="24"/>
          <w:rtl/>
        </w:rPr>
        <w:t xml:space="preserve"> נעשתה "במטרה לאפשר ביצוע של עבירה אחרת או להקל על ביצועה..." ההמתה תוחמר לרצח בנסיבות מחמירות [סעיף  301(א)(2) לתזכיר</w:t>
      </w:r>
      <w:r w:rsidR="0041413A" w:rsidRPr="00460826">
        <w:rPr>
          <w:rFonts w:asciiTheme="majorBidi" w:hAnsiTheme="majorBidi" w:cstheme="majorBidi"/>
          <w:sz w:val="24"/>
          <w:szCs w:val="24"/>
          <w:rtl/>
        </w:rPr>
        <w:t>]</w:t>
      </w:r>
      <w:r w:rsidRPr="00460826">
        <w:rPr>
          <w:rFonts w:asciiTheme="majorBidi" w:hAnsiTheme="majorBidi" w:cstheme="majorBidi"/>
          <w:sz w:val="24"/>
          <w:szCs w:val="24"/>
          <w:rtl/>
        </w:rPr>
        <w:t>. הוספת המטרה בהקשר זה נועדה ליצור "זיקה" בין העבירה האחרת לבין ההמתה. זיקה במישור הנפשי היא הגיונית כאשר ההמתה היא מכוונת, שאז היא מתיישבת היטב עם המטרה להבטיח ביצועה של העבירה האחרת או אם מטרות נוספות</w:t>
      </w:r>
      <w:r w:rsidR="00460826" w:rsidRPr="00460826">
        <w:rPr>
          <w:rFonts w:asciiTheme="majorBidi" w:hAnsiTheme="majorBidi" w:cstheme="majorBidi"/>
          <w:sz w:val="24"/>
          <w:szCs w:val="24"/>
          <w:rtl/>
        </w:rPr>
        <w:t>, כמוצע בתזכיר</w:t>
      </w:r>
      <w:r w:rsidRPr="00460826">
        <w:rPr>
          <w:rFonts w:asciiTheme="majorBidi" w:hAnsiTheme="majorBidi" w:cstheme="majorBidi"/>
          <w:sz w:val="24"/>
          <w:szCs w:val="24"/>
          <w:rtl/>
        </w:rPr>
        <w:t>.</w:t>
      </w:r>
    </w:p>
    <w:p w:rsidR="001D1E82" w:rsidRPr="00460826" w:rsidRDefault="001D1E82" w:rsidP="00460826">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 xml:space="preserve">אני מציעה החמרה דומה במהותה, שתהפוך את ההמתה </w:t>
      </w:r>
      <w:r w:rsidRPr="00F16670">
        <w:rPr>
          <w:rFonts w:asciiTheme="majorBidi" w:hAnsiTheme="majorBidi" w:cstheme="majorBidi"/>
          <w:b/>
          <w:bCs/>
          <w:sz w:val="24"/>
          <w:szCs w:val="24"/>
          <w:rtl/>
        </w:rPr>
        <w:t xml:space="preserve">בפזיזות </w:t>
      </w:r>
      <w:r w:rsidRPr="00460826">
        <w:rPr>
          <w:rFonts w:asciiTheme="majorBidi" w:hAnsiTheme="majorBidi" w:cstheme="majorBidi"/>
          <w:sz w:val="24"/>
          <w:szCs w:val="24"/>
          <w:rtl/>
        </w:rPr>
        <w:t>(הריגה) לעבירת הרצח הבסיסית</w:t>
      </w:r>
      <w:r w:rsidR="0041413A" w:rsidRPr="00460826">
        <w:rPr>
          <w:rFonts w:asciiTheme="majorBidi" w:hAnsiTheme="majorBidi" w:cstheme="majorBidi"/>
          <w:sz w:val="24"/>
          <w:szCs w:val="24"/>
          <w:rtl/>
        </w:rPr>
        <w:t>, במקרים בהם ההמתה נגרמה אגב ביצוע עבירת אלימות (עבירה נגד הגוף). בדומה למצב הקיים היום, הדרישה תהיה כי העבירה האחרת תהיה נפרדת מההמתה עצמה. בניגוד למצב הקיים היום, וברח ההנמקה שבתזכיר החוק, אני מציעה להגביל את העבירה האחרת לעבירה נגד הגוף כדי ליצור זיקה, הפעם במישור העובדתי, בין ההמתה לבין העבירה האחרת.</w:t>
      </w:r>
    </w:p>
    <w:p w:rsidR="0041413A" w:rsidRPr="00460826" w:rsidRDefault="0041413A" w:rsidP="00460826">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 xml:space="preserve">המקרים שיכנסו תחת הרצח הבסיסי (מכוח חלופה </w:t>
      </w:r>
      <w:r w:rsidR="00460826" w:rsidRPr="00460826">
        <w:rPr>
          <w:rFonts w:asciiTheme="majorBidi" w:hAnsiTheme="majorBidi" w:cstheme="majorBidi"/>
          <w:sz w:val="24"/>
          <w:szCs w:val="24"/>
          <w:rtl/>
        </w:rPr>
        <w:t>זו</w:t>
      </w:r>
      <w:r w:rsidRPr="00460826">
        <w:rPr>
          <w:rFonts w:asciiTheme="majorBidi" w:hAnsiTheme="majorBidi" w:cstheme="majorBidi"/>
          <w:sz w:val="24"/>
          <w:szCs w:val="24"/>
          <w:rtl/>
        </w:rPr>
        <w:t xml:space="preserve">) יהיו מקרים כדוגמת פסק-דין </w:t>
      </w:r>
      <w:proofErr w:type="spellStart"/>
      <w:r w:rsidRPr="00460826">
        <w:rPr>
          <w:rFonts w:asciiTheme="majorBidi" w:hAnsiTheme="majorBidi" w:cstheme="majorBidi"/>
          <w:b/>
          <w:bCs/>
          <w:sz w:val="24"/>
          <w:szCs w:val="24"/>
          <w:rtl/>
        </w:rPr>
        <w:t>קארפ</w:t>
      </w:r>
      <w:proofErr w:type="spellEnd"/>
      <w:r w:rsidRPr="00460826">
        <w:rPr>
          <w:rFonts w:asciiTheme="majorBidi" w:hAnsiTheme="majorBidi" w:cstheme="majorBidi"/>
          <w:b/>
          <w:bCs/>
          <w:sz w:val="24"/>
          <w:szCs w:val="24"/>
          <w:rtl/>
        </w:rPr>
        <w:t>,</w:t>
      </w:r>
      <w:r w:rsidRPr="00460826">
        <w:rPr>
          <w:rFonts w:asciiTheme="majorBidi" w:hAnsiTheme="majorBidi" w:cstheme="majorBidi"/>
          <w:sz w:val="24"/>
          <w:szCs w:val="24"/>
          <w:rtl/>
        </w:rPr>
        <w:t xml:space="preserve"> שבהם קורבן </w:t>
      </w:r>
      <w:r w:rsidR="00460826" w:rsidRPr="00460826">
        <w:rPr>
          <w:rFonts w:asciiTheme="majorBidi" w:hAnsiTheme="majorBidi" w:cstheme="majorBidi"/>
          <w:sz w:val="24"/>
          <w:szCs w:val="24"/>
          <w:rtl/>
        </w:rPr>
        <w:t xml:space="preserve">של </w:t>
      </w:r>
      <w:r w:rsidRPr="00460826">
        <w:rPr>
          <w:rFonts w:asciiTheme="majorBidi" w:hAnsiTheme="majorBidi" w:cstheme="majorBidi"/>
          <w:sz w:val="24"/>
          <w:szCs w:val="24"/>
          <w:rtl/>
        </w:rPr>
        <w:t xml:space="preserve">תקיפה אלימה מנסה לברוח, התוקפים רודפים אחריו, ובמהלך המנוסה הקורבן נופל ומת. במקרים מסוג זה, ההמתה נגרמה על-ידי התנהגות נוספת – רדיפה אחר קורבן האלימות – למעשי האלימות עצמה. </w:t>
      </w:r>
      <w:r w:rsidR="00E8597C" w:rsidRPr="00460826">
        <w:rPr>
          <w:rFonts w:asciiTheme="majorBidi" w:hAnsiTheme="majorBidi" w:cstheme="majorBidi"/>
          <w:sz w:val="24"/>
          <w:szCs w:val="24"/>
          <w:rtl/>
        </w:rPr>
        <w:t>בשל השילוב בין העבירות – אלימות והמתה – ניתן להצדיק הרשעה ברצח גם כאשר האלימות ע</w:t>
      </w:r>
      <w:r w:rsidR="00460826" w:rsidRPr="00460826">
        <w:rPr>
          <w:rFonts w:asciiTheme="majorBidi" w:hAnsiTheme="majorBidi" w:cstheme="majorBidi"/>
          <w:sz w:val="24"/>
          <w:szCs w:val="24"/>
          <w:rtl/>
        </w:rPr>
        <w:t>צ</w:t>
      </w:r>
      <w:r w:rsidR="00E8597C" w:rsidRPr="00460826">
        <w:rPr>
          <w:rFonts w:asciiTheme="majorBidi" w:hAnsiTheme="majorBidi" w:cstheme="majorBidi"/>
          <w:sz w:val="24"/>
          <w:szCs w:val="24"/>
          <w:rtl/>
        </w:rPr>
        <w:t>מה לא הייתה ב חמורה, וגם אם הצפייה של אפשרות התרחשות התוצאה הקטלנית לא הייתה בדרגת הסתברות גבוהה.</w:t>
      </w:r>
    </w:p>
    <w:p w:rsidR="00E8597C" w:rsidRPr="00460826" w:rsidRDefault="00E8597C" w:rsidP="00460826">
      <w:pPr>
        <w:pStyle w:val="a3"/>
        <w:bidi/>
        <w:ind w:left="1080"/>
        <w:jc w:val="both"/>
        <w:rPr>
          <w:rFonts w:asciiTheme="majorBidi" w:hAnsiTheme="majorBidi" w:cstheme="majorBidi"/>
          <w:sz w:val="24"/>
          <w:szCs w:val="24"/>
          <w:rtl/>
        </w:rPr>
      </w:pPr>
    </w:p>
    <w:p w:rsidR="00E8597C" w:rsidRPr="00460826" w:rsidRDefault="00E8597C" w:rsidP="00460826">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 xml:space="preserve">אלימות שהסתיימה במוות, ושאינה עונה אחר אחד משני ההסדרים שהוצעו, תיכלל במסגרת ההריגה </w:t>
      </w:r>
      <w:r w:rsidR="00460826" w:rsidRPr="00460826">
        <w:rPr>
          <w:rFonts w:asciiTheme="majorBidi" w:hAnsiTheme="majorBidi" w:cstheme="majorBidi"/>
          <w:sz w:val="24"/>
          <w:szCs w:val="24"/>
          <w:rtl/>
        </w:rPr>
        <w:t>א</w:t>
      </w:r>
      <w:r w:rsidRPr="00460826">
        <w:rPr>
          <w:rFonts w:asciiTheme="majorBidi" w:hAnsiTheme="majorBidi" w:cstheme="majorBidi"/>
          <w:sz w:val="24"/>
          <w:szCs w:val="24"/>
          <w:rtl/>
        </w:rPr>
        <w:t>ם ההמתה עצמה נעשתה בפזיזות.</w:t>
      </w:r>
    </w:p>
    <w:p w:rsidR="00E8597C" w:rsidRPr="00460826" w:rsidRDefault="00E8597C" w:rsidP="00460826">
      <w:pPr>
        <w:pStyle w:val="a3"/>
        <w:bidi/>
        <w:ind w:left="1080"/>
        <w:jc w:val="both"/>
        <w:rPr>
          <w:rFonts w:asciiTheme="majorBidi" w:hAnsiTheme="majorBidi" w:cstheme="majorBidi"/>
          <w:sz w:val="24"/>
          <w:szCs w:val="24"/>
          <w:rtl/>
        </w:rPr>
      </w:pPr>
    </w:p>
    <w:p w:rsidR="00F16670" w:rsidRDefault="00F16670" w:rsidP="00460826">
      <w:pPr>
        <w:pStyle w:val="a3"/>
        <w:bidi/>
        <w:ind w:left="1080"/>
        <w:jc w:val="both"/>
        <w:rPr>
          <w:rFonts w:asciiTheme="majorBidi" w:hAnsiTheme="majorBidi" w:cstheme="majorBidi"/>
          <w:sz w:val="24"/>
          <w:szCs w:val="24"/>
          <w:rtl/>
        </w:rPr>
      </w:pPr>
    </w:p>
    <w:p w:rsidR="00F16670" w:rsidRDefault="00F16670" w:rsidP="00F16670">
      <w:pPr>
        <w:pStyle w:val="a3"/>
        <w:bidi/>
        <w:ind w:left="1080"/>
        <w:jc w:val="both"/>
        <w:rPr>
          <w:rFonts w:asciiTheme="majorBidi" w:hAnsiTheme="majorBidi" w:cstheme="majorBidi"/>
          <w:sz w:val="24"/>
          <w:szCs w:val="24"/>
          <w:rtl/>
        </w:rPr>
      </w:pPr>
    </w:p>
    <w:p w:rsidR="00E8597C" w:rsidRPr="00460826" w:rsidRDefault="00E8597C" w:rsidP="00F16670">
      <w:pPr>
        <w:pStyle w:val="a3"/>
        <w:bidi/>
        <w:ind w:left="1080"/>
        <w:jc w:val="both"/>
        <w:rPr>
          <w:rFonts w:asciiTheme="majorBidi" w:hAnsiTheme="majorBidi" w:cstheme="majorBidi"/>
          <w:sz w:val="24"/>
          <w:szCs w:val="24"/>
          <w:rtl/>
        </w:rPr>
      </w:pPr>
      <w:r w:rsidRPr="00460826">
        <w:rPr>
          <w:rFonts w:asciiTheme="majorBidi" w:hAnsiTheme="majorBidi" w:cstheme="majorBidi"/>
          <w:sz w:val="24"/>
          <w:szCs w:val="24"/>
          <w:rtl/>
        </w:rPr>
        <w:t>בברכה</w:t>
      </w:r>
    </w:p>
    <w:p w:rsidR="00E8597C" w:rsidRPr="00460826" w:rsidRDefault="00E8597C" w:rsidP="00460826">
      <w:pPr>
        <w:pStyle w:val="a3"/>
        <w:bidi/>
        <w:ind w:left="1080"/>
        <w:jc w:val="both"/>
        <w:rPr>
          <w:rFonts w:asciiTheme="majorBidi" w:hAnsiTheme="majorBidi" w:cstheme="majorBidi"/>
          <w:sz w:val="24"/>
          <w:szCs w:val="24"/>
        </w:rPr>
      </w:pPr>
      <w:r w:rsidRPr="00460826">
        <w:rPr>
          <w:rFonts w:asciiTheme="majorBidi" w:hAnsiTheme="majorBidi" w:cstheme="majorBidi"/>
          <w:sz w:val="24"/>
          <w:szCs w:val="24"/>
          <w:rtl/>
        </w:rPr>
        <w:t xml:space="preserve">מירי </w:t>
      </w:r>
      <w:r w:rsidR="00460826" w:rsidRPr="00460826">
        <w:rPr>
          <w:rFonts w:asciiTheme="majorBidi" w:hAnsiTheme="majorBidi" w:cstheme="majorBidi"/>
          <w:sz w:val="24"/>
          <w:szCs w:val="24"/>
          <w:rtl/>
        </w:rPr>
        <w:t>גור</w:t>
      </w:r>
      <w:r w:rsidRPr="00460826">
        <w:rPr>
          <w:rFonts w:asciiTheme="majorBidi" w:hAnsiTheme="majorBidi" w:cstheme="majorBidi"/>
          <w:sz w:val="24"/>
          <w:szCs w:val="24"/>
          <w:rtl/>
        </w:rPr>
        <w:t>-אריה</w:t>
      </w:r>
    </w:p>
    <w:p w:rsidR="00C640BA" w:rsidRPr="00460826" w:rsidRDefault="00C640BA" w:rsidP="00460826">
      <w:pPr>
        <w:pStyle w:val="a3"/>
        <w:bidi/>
        <w:jc w:val="both"/>
        <w:rPr>
          <w:rFonts w:asciiTheme="majorBidi" w:hAnsiTheme="majorBidi" w:cstheme="majorBidi"/>
          <w:b/>
          <w:bCs/>
          <w:sz w:val="24"/>
          <w:szCs w:val="24"/>
          <w:rtl/>
        </w:rPr>
      </w:pPr>
    </w:p>
    <w:sectPr w:rsidR="00C640BA" w:rsidRPr="004608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46A78"/>
    <w:multiLevelType w:val="hybridMultilevel"/>
    <w:tmpl w:val="FAC4BDBA"/>
    <w:lvl w:ilvl="0" w:tplc="7DD0F17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0FE0EB2"/>
    <w:multiLevelType w:val="hybridMultilevel"/>
    <w:tmpl w:val="3DECE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AE3"/>
    <w:rsid w:val="001D1E82"/>
    <w:rsid w:val="00333F33"/>
    <w:rsid w:val="0041413A"/>
    <w:rsid w:val="00460826"/>
    <w:rsid w:val="004C5882"/>
    <w:rsid w:val="00656047"/>
    <w:rsid w:val="006D5B17"/>
    <w:rsid w:val="007A5AE3"/>
    <w:rsid w:val="008A3633"/>
    <w:rsid w:val="00C2577C"/>
    <w:rsid w:val="00C640BA"/>
    <w:rsid w:val="00E8597C"/>
    <w:rsid w:val="00F16670"/>
    <w:rsid w:val="00F726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E6227E-ABB3-554E-88C4-3A978A50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40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E9005F-3536-4D78-B191-0FBA6683E26B}"/>
</file>

<file path=customXml/itemProps2.xml><?xml version="1.0" encoding="utf-8"?>
<ds:datastoreItem xmlns:ds="http://schemas.openxmlformats.org/officeDocument/2006/customXml" ds:itemID="{CB0EF91E-E039-47E3-9FA8-CD84F506DE33}"/>
</file>

<file path=customXml/itemProps3.xml><?xml version="1.0" encoding="utf-8"?>
<ds:datastoreItem xmlns:ds="http://schemas.openxmlformats.org/officeDocument/2006/customXml" ds:itemID="{A3BDDDD1-736D-42F6-BA59-ADDED65EC2FD}"/>
</file>

<file path=docProps/app.xml><?xml version="1.0" encoding="utf-8"?>
<Properties xmlns="http://schemas.openxmlformats.org/officeDocument/2006/extended-properties" xmlns:vt="http://schemas.openxmlformats.org/officeDocument/2006/docPropsVTypes">
  <Template>Normal</Template>
  <TotalTime>0</TotalTime>
  <Pages>2</Pages>
  <Words>742</Words>
  <Characters>3711</Characters>
  <Application>Microsoft Office Word</Application>
  <DocSecurity>0</DocSecurity>
  <Lines>30</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miri.gurarye@gmail.com</dc:creator>
  <cp:keywords/>
  <dc:description/>
  <cp:lastModifiedBy>נוגה יוסף</cp:lastModifiedBy>
  <cp:revision>2</cp:revision>
  <dcterms:created xsi:type="dcterms:W3CDTF">2017-06-27T12:05:00Z</dcterms:created>
  <dcterms:modified xsi:type="dcterms:W3CDTF">2017-06-27T12:05:00Z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2018191</vt:r8>
  </property>
</Properties>
</file>