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2017833</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משה גפני</w:t>
      </w:r>
      <w:r>
        <w:br/>
      </w:r>
      <w:r>
        <w:rPr>
          <w:rFonts w:hint="cs"/>
          <w:b/>
          <w:bCs/>
          <w:rtl/>
        </w:rPr>
        <w:t xml:space="preserve"> </w:t>
      </w:r>
      <w:r>
        <w:tab/>
      </w:r>
      <w:r>
        <w:tab/>
      </w:r>
      <w:r>
        <w:tab/>
      </w:r>
      <w:r>
        <w:tab/>
      </w:r>
      <w:r>
        <w:rPr>
          <w:rFonts w:hint="cs"/>
          <w:b/>
          <w:bCs/>
          <w:rtl/>
        </w:rPr>
        <w:t>איל בן ראובן</w:t>
      </w:r>
      <w:r>
        <w:br/>
      </w:r>
      <w:r>
        <w:rPr>
          <w:rFonts w:hint="cs"/>
          <w:b/>
          <w:bCs/>
          <w:rtl/>
        </w:rPr>
        <w:t xml:space="preserve"> </w:t>
      </w:r>
      <w:r>
        <w:tab/>
      </w:r>
      <w:r>
        <w:tab/>
      </w:r>
      <w:r>
        <w:tab/>
      </w:r>
      <w:r>
        <w:tab/>
      </w:r>
      <w:r>
        <w:rPr>
          <w:rFonts w:hint="cs"/>
          <w:b/>
          <w:bCs/>
          <w:rtl/>
        </w:rPr>
        <w:t xml:space="preserve">אורי </w:t>
      </w:r>
      <w:proofErr w:type="spellStart"/>
      <w:r>
        <w:rPr>
          <w:rFonts w:hint="cs"/>
          <w:b/>
          <w:bCs/>
          <w:rtl/>
        </w:rPr>
        <w:t>מקלב</w:t>
      </w:r>
      <w:proofErr w:type="spellEnd"/>
      <w:r>
        <w:br/>
      </w:r>
      <w:r>
        <w:rPr>
          <w:rFonts w:hint="cs"/>
          <w:b/>
          <w:bCs/>
          <w:rtl/>
        </w:rPr>
        <w:t xml:space="preserve"> </w:t>
      </w:r>
      <w:r>
        <w:tab/>
      </w:r>
      <w:r>
        <w:tab/>
      </w:r>
      <w:r>
        <w:tab/>
      </w:r>
      <w:r>
        <w:tab/>
      </w:r>
      <w:r>
        <w:rPr>
          <w:rFonts w:hint="cs"/>
          <w:b/>
          <w:bCs/>
          <w:rtl/>
        </w:rPr>
        <w:t>מיקי רוזנטל</w:t>
      </w:r>
      <w:r>
        <w:br/>
      </w:r>
      <w:r>
        <w:rPr>
          <w:rFonts w:hint="cs"/>
          <w:b/>
          <w:bCs/>
          <w:rtl/>
        </w:rPr>
        <w:t xml:space="preserve"> </w:t>
      </w:r>
      <w:r>
        <w:tab/>
      </w:r>
      <w:r>
        <w:tab/>
      </w:r>
      <w:r>
        <w:tab/>
      </w:r>
      <w:r>
        <w:tab/>
      </w:r>
      <w:r>
        <w:rPr>
          <w:rFonts w:hint="cs"/>
          <w:b/>
          <w:bCs/>
          <w:rtl/>
        </w:rPr>
        <w:t>זהבה גלאון</w:t>
      </w:r>
      <w:r>
        <w:br/>
      </w:r>
      <w:r>
        <w:rPr>
          <w:rFonts w:hint="cs"/>
          <w:b/>
          <w:bCs/>
          <w:rtl/>
        </w:rPr>
        <w:t xml:space="preserve"> </w:t>
      </w:r>
      <w:r>
        <w:tab/>
      </w:r>
      <w:r>
        <w:tab/>
      </w:r>
      <w:r>
        <w:tab/>
      </w:r>
      <w:r>
        <w:tab/>
      </w:r>
      <w:r>
        <w:rPr>
          <w:rFonts w:hint="cs"/>
          <w:b/>
          <w:bCs/>
          <w:rtl/>
        </w:rPr>
        <w:t>יצחק וקנין</w:t>
      </w:r>
      <w:r>
        <w:br/>
      </w:r>
      <w:r>
        <w:rPr>
          <w:rFonts w:hint="cs"/>
          <w:b/>
          <w:bCs/>
          <w:rtl/>
        </w:rPr>
        <w:t xml:space="preserve"> </w:t>
      </w:r>
      <w:r>
        <w:tab/>
      </w:r>
      <w:r>
        <w:tab/>
      </w:r>
      <w:r>
        <w:tab/>
      </w:r>
      <w:r>
        <w:tab/>
      </w:r>
      <w:r>
        <w:rPr>
          <w:rFonts w:hint="cs"/>
          <w:b/>
          <w:bCs/>
          <w:rtl/>
        </w:rPr>
        <w:t>עודד פורר</w:t>
      </w:r>
      <w:r>
        <w:br/>
      </w:r>
      <w:r>
        <w:rPr>
          <w:rFonts w:hint="cs"/>
          <w:b/>
          <w:bCs/>
          <w:rtl/>
        </w:rPr>
        <w:t xml:space="preserve"> </w:t>
      </w:r>
      <w:r>
        <w:tab/>
      </w:r>
      <w:r>
        <w:tab/>
      </w:r>
      <w:r>
        <w:tab/>
      </w:r>
      <w:r>
        <w:tab/>
      </w:r>
      <w:r>
        <w:rPr>
          <w:rFonts w:hint="cs"/>
          <w:b/>
          <w:bCs/>
          <w:rtl/>
        </w:rPr>
        <w:t>מיקי לוי</w:t>
      </w:r>
      <w:r>
        <w:br/>
      </w:r>
      <w:r>
        <w:rPr>
          <w:rFonts w:hint="cs"/>
          <w:b/>
          <w:bCs/>
          <w:rtl/>
        </w:rPr>
        <w:t xml:space="preserve"> </w:t>
      </w:r>
      <w:r>
        <w:tab/>
      </w:r>
      <w:r>
        <w:tab/>
      </w:r>
      <w:r>
        <w:tab/>
      </w:r>
      <w:r>
        <w:tab/>
      </w:r>
      <w:r>
        <w:rPr>
          <w:rFonts w:hint="cs"/>
          <w:b/>
          <w:bCs/>
          <w:rtl/>
        </w:rPr>
        <w:t>איתן ברושי</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פ/4317/20</w:t>
      </w:r>
      <w:bookmarkEnd w:id="6"/>
    </w:p>
    <w:p w14:paraId="7F6961AD" w14:textId="77777777" w:rsidR="00E13C27" w:rsidRPr="00F67051" w:rsidRDefault="00A443CF" w:rsidP="0021633A">
      <w:pPr>
        <w:pStyle w:val="HeadHatzaotHok"/>
        <w:rPr>
          <w:rtl/>
        </w:rPr>
      </w:pPr>
      <w:bookmarkStart w:id="7" w:name="LGS_Subject"/>
      <w:r>
        <w:rPr>
          <w:rFonts w:hint="cs"/>
          <w:rtl/>
        </w:rPr>
        <w:t xml:space="preserve">הצעת חוק הטבות במס וייעוץ במס (תיקוני חקיקה) (תיקון – הארכת הוראות מעבר), </w:t>
      </w:r>
      <w:proofErr w:type="spellStart"/>
      <w:r>
        <w:rPr>
          <w:rFonts w:hint="cs"/>
          <w:rtl/>
        </w:rPr>
        <w:t>התשע"ז</w:t>
      </w:r>
      <w:proofErr w:type="spellEnd"/>
      <w:r>
        <w:rPr>
          <w:rFonts w:hint="cs"/>
          <w:rtl/>
        </w:rPr>
        <w:t>–2017</w:t>
      </w:r>
      <w:bookmarkEnd w:id="7"/>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B543F7" w14:paraId="24EC824C" w14:textId="77777777" w:rsidTr="002A3925">
        <w:trPr>
          <w:cantSplit/>
          <w:trHeight w:val="60"/>
        </w:trPr>
        <w:tc>
          <w:tcPr>
            <w:tcW w:w="1871" w:type="dxa"/>
          </w:tcPr>
          <w:p w14:paraId="62789221" w14:textId="77777777" w:rsidR="00B543F7" w:rsidRPr="00457B04" w:rsidRDefault="00B543F7" w:rsidP="002A3925">
            <w:pPr>
              <w:pStyle w:val="TableSideHeading"/>
              <w:keepLines w:val="0"/>
            </w:pPr>
            <w:bookmarkStart w:id="8" w:name="_GoBack"/>
            <w:bookmarkEnd w:id="8"/>
            <w:r>
              <w:rPr>
                <w:rtl/>
              </w:rPr>
              <w:t xml:space="preserve">תיקון סעיף </w:t>
            </w:r>
            <w:r>
              <w:rPr>
                <w:rFonts w:hint="cs"/>
                <w:rtl/>
              </w:rPr>
              <w:t>3</w:t>
            </w:r>
          </w:p>
        </w:tc>
        <w:tc>
          <w:tcPr>
            <w:tcW w:w="624" w:type="dxa"/>
          </w:tcPr>
          <w:p w14:paraId="468AD47B" w14:textId="77777777" w:rsidR="00B543F7" w:rsidRPr="00B07193" w:rsidRDefault="00B543F7" w:rsidP="002A3925">
            <w:pPr>
              <w:pStyle w:val="TableText"/>
              <w:keepLines w:val="0"/>
            </w:pPr>
            <w:r w:rsidRPr="00B07193">
              <w:rPr>
                <w:rtl/>
              </w:rPr>
              <w:t>1.</w:t>
            </w:r>
          </w:p>
        </w:tc>
        <w:tc>
          <w:tcPr>
            <w:tcW w:w="7146" w:type="dxa"/>
            <w:gridSpan w:val="2"/>
          </w:tcPr>
          <w:p w14:paraId="57063A04" w14:textId="77777777" w:rsidR="00B543F7" w:rsidRPr="00560938" w:rsidRDefault="00B543F7" w:rsidP="002A3925">
            <w:pPr>
              <w:pStyle w:val="TableBlock"/>
            </w:pPr>
            <w:r w:rsidRPr="00560938">
              <w:rPr>
                <w:rtl/>
              </w:rPr>
              <w:t xml:space="preserve">בחוק </w:t>
            </w:r>
            <w:r>
              <w:rPr>
                <w:rFonts w:hint="cs"/>
                <w:rtl/>
              </w:rPr>
              <w:t xml:space="preserve">הטבות במס וייעוץ במס (תיקוני חקיקה), </w:t>
            </w:r>
            <w:proofErr w:type="spellStart"/>
            <w:r>
              <w:rPr>
                <w:rFonts w:hint="cs"/>
                <w:rtl/>
              </w:rPr>
              <w:t>התשע"ו</w:t>
            </w:r>
            <w:proofErr w:type="spellEnd"/>
            <w:r>
              <w:rPr>
                <w:rFonts w:hint="eastAsia"/>
                <w:rtl/>
              </w:rPr>
              <w:t>–</w:t>
            </w:r>
            <w:r>
              <w:rPr>
                <w:rFonts w:hint="cs"/>
                <w:rtl/>
              </w:rPr>
              <w:t>2015</w:t>
            </w:r>
            <w:r w:rsidRPr="004E3DB3">
              <w:rPr>
                <w:rStyle w:val="a6"/>
                <w:sz w:val="18"/>
                <w:szCs w:val="18"/>
                <w:rtl/>
              </w:rPr>
              <w:footnoteReference w:id="2"/>
            </w:r>
            <w:r>
              <w:rPr>
                <w:rFonts w:hint="cs"/>
                <w:rtl/>
              </w:rPr>
              <w:t xml:space="preserve">, בסעיף 3 </w:t>
            </w:r>
            <w:r>
              <w:rPr>
                <w:rtl/>
              </w:rPr>
              <w:t>–</w:t>
            </w:r>
            <w:r>
              <w:rPr>
                <w:rFonts w:hint="cs"/>
                <w:rtl/>
              </w:rPr>
              <w:t xml:space="preserve"> </w:t>
            </w:r>
          </w:p>
        </w:tc>
      </w:tr>
      <w:tr w:rsidR="00B543F7" w14:paraId="3CCCA72B" w14:textId="77777777" w:rsidTr="002A3925">
        <w:trPr>
          <w:cantSplit/>
          <w:trHeight w:val="60"/>
        </w:trPr>
        <w:tc>
          <w:tcPr>
            <w:tcW w:w="1871" w:type="dxa"/>
          </w:tcPr>
          <w:p w14:paraId="204F6518" w14:textId="77777777" w:rsidR="00B543F7" w:rsidRDefault="00B543F7" w:rsidP="002A3925">
            <w:pPr>
              <w:pStyle w:val="TableSideHeading"/>
              <w:keepLines w:val="0"/>
              <w:rPr>
                <w:rtl/>
              </w:rPr>
            </w:pPr>
          </w:p>
        </w:tc>
        <w:tc>
          <w:tcPr>
            <w:tcW w:w="624" w:type="dxa"/>
          </w:tcPr>
          <w:p w14:paraId="20E60823" w14:textId="77777777" w:rsidR="00B543F7" w:rsidRPr="00B07193" w:rsidRDefault="00B543F7" w:rsidP="002A3925">
            <w:pPr>
              <w:pStyle w:val="TableText"/>
              <w:rPr>
                <w:rtl/>
              </w:rPr>
            </w:pPr>
          </w:p>
        </w:tc>
        <w:tc>
          <w:tcPr>
            <w:tcW w:w="7146" w:type="dxa"/>
            <w:gridSpan w:val="2"/>
          </w:tcPr>
          <w:p w14:paraId="33D2E5F5" w14:textId="77777777" w:rsidR="00B543F7" w:rsidRPr="00560938" w:rsidRDefault="00B543F7" w:rsidP="002A3925">
            <w:pPr>
              <w:pStyle w:val="TableBlock"/>
              <w:rPr>
                <w:rtl/>
              </w:rPr>
            </w:pPr>
            <w:r>
              <w:rPr>
                <w:rFonts w:hint="cs"/>
                <w:rtl/>
              </w:rPr>
              <w:t>(1)</w:t>
            </w:r>
            <w:r>
              <w:rPr>
                <w:rtl/>
              </w:rPr>
              <w:tab/>
            </w:r>
            <w:r>
              <w:rPr>
                <w:rFonts w:hint="cs"/>
                <w:rtl/>
              </w:rPr>
              <w:t xml:space="preserve">בסעיף קטן (ב) </w:t>
            </w:r>
            <w:r>
              <w:rPr>
                <w:rtl/>
              </w:rPr>
              <w:t>–</w:t>
            </w:r>
          </w:p>
        </w:tc>
      </w:tr>
      <w:tr w:rsidR="00B543F7" w14:paraId="6FE0FF47" w14:textId="77777777" w:rsidTr="002A3925">
        <w:trPr>
          <w:cantSplit/>
          <w:trHeight w:val="60"/>
        </w:trPr>
        <w:tc>
          <w:tcPr>
            <w:tcW w:w="1871" w:type="dxa"/>
          </w:tcPr>
          <w:p w14:paraId="1235FB2F" w14:textId="77777777" w:rsidR="00B543F7" w:rsidRDefault="00B543F7" w:rsidP="002A3925">
            <w:pPr>
              <w:pStyle w:val="TableSideHeading"/>
            </w:pPr>
          </w:p>
        </w:tc>
        <w:tc>
          <w:tcPr>
            <w:tcW w:w="624" w:type="dxa"/>
          </w:tcPr>
          <w:p w14:paraId="3BF1F664" w14:textId="77777777" w:rsidR="00B543F7" w:rsidRDefault="00B543F7" w:rsidP="002A3925">
            <w:pPr>
              <w:pStyle w:val="TableText"/>
            </w:pPr>
          </w:p>
        </w:tc>
        <w:tc>
          <w:tcPr>
            <w:tcW w:w="624" w:type="dxa"/>
          </w:tcPr>
          <w:p w14:paraId="4C863CA2" w14:textId="77777777" w:rsidR="00B543F7" w:rsidRDefault="00B543F7" w:rsidP="002A3925">
            <w:pPr>
              <w:pStyle w:val="TableText"/>
            </w:pPr>
          </w:p>
        </w:tc>
        <w:tc>
          <w:tcPr>
            <w:tcW w:w="6522" w:type="dxa"/>
          </w:tcPr>
          <w:p w14:paraId="54D0F8AE" w14:textId="1BC0AC0B" w:rsidR="00B543F7" w:rsidRPr="006659C0" w:rsidRDefault="00B543F7" w:rsidP="002A3925">
            <w:pPr>
              <w:pStyle w:val="TableBlock"/>
              <w:rPr>
                <w:rtl/>
              </w:rPr>
            </w:pPr>
            <w:r>
              <w:rPr>
                <w:rFonts w:hint="cs"/>
                <w:rtl/>
              </w:rPr>
              <w:t>(א)</w:t>
            </w:r>
            <w:r>
              <w:rPr>
                <w:rtl/>
              </w:rPr>
              <w:tab/>
            </w:r>
            <w:r>
              <w:rPr>
                <w:rFonts w:hint="cs"/>
                <w:rtl/>
              </w:rPr>
              <w:t>במקום "בשנות המס 2016 ו-2017" יבוא "בשנות המס 2016, 2017 ו-2018"</w:t>
            </w:r>
            <w:r w:rsidR="00555880">
              <w:rPr>
                <w:rFonts w:hint="cs"/>
                <w:rtl/>
              </w:rPr>
              <w:t>,</w:t>
            </w:r>
            <w:r>
              <w:rPr>
                <w:rFonts w:hint="cs"/>
                <w:rtl/>
              </w:rPr>
              <w:t xml:space="preserve"> ובמקום "שנת המס 2016 או שנת המס 2017" יבוא "שנת המס 2016</w:t>
            </w:r>
            <w:r w:rsidR="00555880">
              <w:rPr>
                <w:rFonts w:hint="cs"/>
                <w:rtl/>
              </w:rPr>
              <w:t>, שנת המס 2017 או שנת המס 2018";</w:t>
            </w:r>
          </w:p>
        </w:tc>
      </w:tr>
      <w:tr w:rsidR="00B543F7" w14:paraId="28C35E73" w14:textId="77777777" w:rsidTr="002A3925">
        <w:trPr>
          <w:cantSplit/>
          <w:trHeight w:val="60"/>
        </w:trPr>
        <w:tc>
          <w:tcPr>
            <w:tcW w:w="1871" w:type="dxa"/>
          </w:tcPr>
          <w:p w14:paraId="25AE3F5B" w14:textId="77777777" w:rsidR="00B543F7" w:rsidRDefault="00B543F7" w:rsidP="002A3925">
            <w:pPr>
              <w:pStyle w:val="TableSideHeading"/>
            </w:pPr>
          </w:p>
        </w:tc>
        <w:tc>
          <w:tcPr>
            <w:tcW w:w="624" w:type="dxa"/>
          </w:tcPr>
          <w:p w14:paraId="28C14394" w14:textId="77777777" w:rsidR="00B543F7" w:rsidRDefault="00B543F7" w:rsidP="002A3925">
            <w:pPr>
              <w:pStyle w:val="TableText"/>
            </w:pPr>
          </w:p>
        </w:tc>
        <w:tc>
          <w:tcPr>
            <w:tcW w:w="624" w:type="dxa"/>
          </w:tcPr>
          <w:p w14:paraId="194A3D1D" w14:textId="77777777" w:rsidR="00B543F7" w:rsidRDefault="00B543F7" w:rsidP="002A3925">
            <w:pPr>
              <w:pStyle w:val="TableText"/>
            </w:pPr>
          </w:p>
        </w:tc>
        <w:tc>
          <w:tcPr>
            <w:tcW w:w="6522" w:type="dxa"/>
          </w:tcPr>
          <w:p w14:paraId="50174BCA" w14:textId="66806AF8" w:rsidR="00B543F7" w:rsidRDefault="00B543F7" w:rsidP="002A3925">
            <w:pPr>
              <w:pStyle w:val="TableBlock"/>
              <w:rPr>
                <w:rtl/>
              </w:rPr>
            </w:pPr>
            <w:r>
              <w:rPr>
                <w:rFonts w:hint="cs"/>
                <w:rtl/>
              </w:rPr>
              <w:t>(ב)</w:t>
            </w:r>
            <w:r>
              <w:rPr>
                <w:rtl/>
              </w:rPr>
              <w:tab/>
            </w:r>
            <w:r>
              <w:rPr>
                <w:rFonts w:hint="cs"/>
                <w:rtl/>
              </w:rPr>
              <w:t xml:space="preserve">המילים "ולא יחולו לעניין זה הוראות סעיף 11(ב)(4) לפקודה" </w:t>
            </w:r>
            <w:r>
              <w:rPr>
                <w:rtl/>
              </w:rPr>
              <w:t>–</w:t>
            </w:r>
            <w:r w:rsidR="00555880">
              <w:rPr>
                <w:rFonts w:hint="cs"/>
                <w:rtl/>
              </w:rPr>
              <w:t xml:space="preserve">  יימחקו;</w:t>
            </w:r>
          </w:p>
        </w:tc>
      </w:tr>
      <w:tr w:rsidR="00B543F7" w14:paraId="523FB057" w14:textId="77777777" w:rsidTr="002A3925">
        <w:trPr>
          <w:cantSplit/>
          <w:trHeight w:val="60"/>
        </w:trPr>
        <w:tc>
          <w:tcPr>
            <w:tcW w:w="1871" w:type="dxa"/>
          </w:tcPr>
          <w:p w14:paraId="6A0B21FD" w14:textId="77777777" w:rsidR="00B543F7" w:rsidRDefault="00B543F7" w:rsidP="002A3925">
            <w:pPr>
              <w:pStyle w:val="TableSideHeading"/>
            </w:pPr>
          </w:p>
        </w:tc>
        <w:tc>
          <w:tcPr>
            <w:tcW w:w="624" w:type="dxa"/>
          </w:tcPr>
          <w:p w14:paraId="4823DA4D" w14:textId="77777777" w:rsidR="00B543F7" w:rsidRDefault="00B543F7" w:rsidP="002A3925">
            <w:pPr>
              <w:pStyle w:val="TableText"/>
            </w:pPr>
          </w:p>
        </w:tc>
        <w:tc>
          <w:tcPr>
            <w:tcW w:w="7146" w:type="dxa"/>
            <w:gridSpan w:val="2"/>
          </w:tcPr>
          <w:p w14:paraId="227A8B53" w14:textId="362DA713" w:rsidR="00B543F7" w:rsidRPr="00C34DE2" w:rsidRDefault="00B543F7" w:rsidP="00555880">
            <w:pPr>
              <w:pStyle w:val="TableBlock"/>
            </w:pPr>
            <w:r>
              <w:rPr>
                <w:rFonts w:hint="cs"/>
                <w:rtl/>
              </w:rPr>
              <w:t>(2)</w:t>
            </w:r>
            <w:r>
              <w:rPr>
                <w:rtl/>
              </w:rPr>
              <w:tab/>
            </w:r>
            <w:r w:rsidR="00555880">
              <w:rPr>
                <w:rFonts w:hint="cs"/>
                <w:rtl/>
              </w:rPr>
              <w:t xml:space="preserve">בסעיף קטן (ג), </w:t>
            </w:r>
            <w:r>
              <w:rPr>
                <w:rFonts w:hint="cs"/>
                <w:rtl/>
              </w:rPr>
              <w:t>במקום "בשנות המס 2016 ו-2017" יבוא "בשנות המס 2016, 2017 ו-2018"</w:t>
            </w:r>
            <w:r w:rsidR="00555880">
              <w:rPr>
                <w:rFonts w:hint="cs"/>
                <w:rtl/>
              </w:rPr>
              <w:t>;</w:t>
            </w:r>
          </w:p>
        </w:tc>
      </w:tr>
      <w:tr w:rsidR="00B543F7" w14:paraId="5A50CFAA" w14:textId="77777777" w:rsidTr="002A3925">
        <w:trPr>
          <w:cantSplit/>
          <w:trHeight w:val="60"/>
        </w:trPr>
        <w:tc>
          <w:tcPr>
            <w:tcW w:w="1871" w:type="dxa"/>
          </w:tcPr>
          <w:p w14:paraId="705CD47E" w14:textId="77777777" w:rsidR="00B543F7" w:rsidRDefault="00B543F7" w:rsidP="002A3925">
            <w:pPr>
              <w:pStyle w:val="TableSideHeading"/>
            </w:pPr>
          </w:p>
        </w:tc>
        <w:tc>
          <w:tcPr>
            <w:tcW w:w="624" w:type="dxa"/>
          </w:tcPr>
          <w:p w14:paraId="3450CC47" w14:textId="77777777" w:rsidR="00B543F7" w:rsidRDefault="00B543F7" w:rsidP="002A3925">
            <w:pPr>
              <w:pStyle w:val="TableText"/>
            </w:pPr>
          </w:p>
        </w:tc>
        <w:tc>
          <w:tcPr>
            <w:tcW w:w="7146" w:type="dxa"/>
            <w:gridSpan w:val="2"/>
          </w:tcPr>
          <w:p w14:paraId="1AB985DB" w14:textId="77777777" w:rsidR="00B543F7" w:rsidRDefault="00B543F7" w:rsidP="002A3925">
            <w:pPr>
              <w:pStyle w:val="TableBlock"/>
              <w:rPr>
                <w:rtl/>
              </w:rPr>
            </w:pPr>
            <w:r>
              <w:rPr>
                <w:rFonts w:hint="cs"/>
                <w:rtl/>
              </w:rPr>
              <w:t>(3)</w:t>
            </w:r>
            <w:r>
              <w:rPr>
                <w:rtl/>
              </w:rPr>
              <w:tab/>
            </w:r>
            <w:r>
              <w:rPr>
                <w:rFonts w:hint="cs"/>
                <w:rtl/>
              </w:rPr>
              <w:t xml:space="preserve">בסעיף קטן (ד) </w:t>
            </w:r>
            <w:r>
              <w:rPr>
                <w:rtl/>
              </w:rPr>
              <w:t>–</w:t>
            </w:r>
          </w:p>
        </w:tc>
      </w:tr>
      <w:tr w:rsidR="00B543F7" w14:paraId="108A8071" w14:textId="77777777" w:rsidTr="002A3925">
        <w:trPr>
          <w:cantSplit/>
          <w:trHeight w:val="60"/>
        </w:trPr>
        <w:tc>
          <w:tcPr>
            <w:tcW w:w="1871" w:type="dxa"/>
          </w:tcPr>
          <w:p w14:paraId="693B93EF" w14:textId="77777777" w:rsidR="00B543F7" w:rsidRDefault="00B543F7" w:rsidP="002A3925">
            <w:pPr>
              <w:pStyle w:val="TableSideHeading"/>
            </w:pPr>
          </w:p>
        </w:tc>
        <w:tc>
          <w:tcPr>
            <w:tcW w:w="624" w:type="dxa"/>
          </w:tcPr>
          <w:p w14:paraId="2DA7163C" w14:textId="77777777" w:rsidR="00B543F7" w:rsidRDefault="00B543F7" w:rsidP="002A3925">
            <w:pPr>
              <w:pStyle w:val="TableText"/>
            </w:pPr>
          </w:p>
        </w:tc>
        <w:tc>
          <w:tcPr>
            <w:tcW w:w="624" w:type="dxa"/>
          </w:tcPr>
          <w:p w14:paraId="7E0CD08A" w14:textId="77777777" w:rsidR="00B543F7" w:rsidRDefault="00B543F7" w:rsidP="002A3925">
            <w:pPr>
              <w:pStyle w:val="TableText"/>
            </w:pPr>
          </w:p>
        </w:tc>
        <w:tc>
          <w:tcPr>
            <w:tcW w:w="6522" w:type="dxa"/>
          </w:tcPr>
          <w:p w14:paraId="4CA928AE" w14:textId="1FC3F225" w:rsidR="00B543F7" w:rsidRDefault="00B543F7" w:rsidP="002A3925">
            <w:pPr>
              <w:pStyle w:val="TableBlock"/>
            </w:pPr>
            <w:r>
              <w:rPr>
                <w:rFonts w:hint="cs"/>
                <w:rtl/>
              </w:rPr>
              <w:t>(א)</w:t>
            </w:r>
            <w:r>
              <w:rPr>
                <w:rtl/>
              </w:rPr>
              <w:tab/>
            </w:r>
            <w:r>
              <w:rPr>
                <w:rFonts w:hint="cs"/>
                <w:rtl/>
              </w:rPr>
              <w:t>במקום "בשנות המס 2016 ו-2017" יבוא "בשנות המס 2016, 2017 ו-2018"</w:t>
            </w:r>
            <w:r w:rsidR="00555880">
              <w:rPr>
                <w:rFonts w:hint="cs"/>
                <w:rtl/>
              </w:rPr>
              <w:t>,</w:t>
            </w:r>
            <w:r>
              <w:rPr>
                <w:rFonts w:hint="cs"/>
                <w:rtl/>
              </w:rPr>
              <w:t xml:space="preserve"> ובמקום "שנת המס 2016 או שנת המס 2017" יבוא "שנת המס 2016, שנת המס 2017 או </w:t>
            </w:r>
            <w:r w:rsidR="00555880">
              <w:rPr>
                <w:rFonts w:hint="cs"/>
                <w:rtl/>
              </w:rPr>
              <w:t>שנת המס 2018";</w:t>
            </w:r>
          </w:p>
        </w:tc>
      </w:tr>
      <w:tr w:rsidR="00B543F7" w14:paraId="340D97D2" w14:textId="77777777" w:rsidTr="002A3925">
        <w:trPr>
          <w:cantSplit/>
          <w:trHeight w:val="60"/>
        </w:trPr>
        <w:tc>
          <w:tcPr>
            <w:tcW w:w="1871" w:type="dxa"/>
          </w:tcPr>
          <w:p w14:paraId="2C6E31BD" w14:textId="77777777" w:rsidR="00B543F7" w:rsidRDefault="00B543F7" w:rsidP="002A3925">
            <w:pPr>
              <w:pStyle w:val="TableSideHeading"/>
            </w:pPr>
          </w:p>
        </w:tc>
        <w:tc>
          <w:tcPr>
            <w:tcW w:w="624" w:type="dxa"/>
          </w:tcPr>
          <w:p w14:paraId="1A76EC77" w14:textId="77777777" w:rsidR="00B543F7" w:rsidRDefault="00B543F7" w:rsidP="002A3925">
            <w:pPr>
              <w:pStyle w:val="TableText"/>
            </w:pPr>
          </w:p>
        </w:tc>
        <w:tc>
          <w:tcPr>
            <w:tcW w:w="624" w:type="dxa"/>
          </w:tcPr>
          <w:p w14:paraId="5F5A4BAC" w14:textId="77777777" w:rsidR="00B543F7" w:rsidRDefault="00B543F7" w:rsidP="002A3925">
            <w:pPr>
              <w:pStyle w:val="TableText"/>
            </w:pPr>
          </w:p>
        </w:tc>
        <w:tc>
          <w:tcPr>
            <w:tcW w:w="6522" w:type="dxa"/>
          </w:tcPr>
          <w:p w14:paraId="2615F966" w14:textId="77777777" w:rsidR="00B543F7" w:rsidRDefault="00B543F7" w:rsidP="002A3925">
            <w:pPr>
              <w:pStyle w:val="TableBlock"/>
              <w:rPr>
                <w:rtl/>
              </w:rPr>
            </w:pPr>
            <w:r>
              <w:rPr>
                <w:rFonts w:hint="cs"/>
                <w:rtl/>
              </w:rPr>
              <w:t>(ב)</w:t>
            </w:r>
            <w:r>
              <w:rPr>
                <w:rtl/>
              </w:rPr>
              <w:tab/>
            </w:r>
            <w:r>
              <w:rPr>
                <w:rFonts w:hint="cs"/>
                <w:rtl/>
              </w:rPr>
              <w:t xml:space="preserve">המילים "ולא יחולו לעניין זה הוראות סעיף 11(ב)(4) לפקודה" </w:t>
            </w:r>
            <w:r>
              <w:rPr>
                <w:rtl/>
              </w:rPr>
              <w:t>–</w:t>
            </w:r>
            <w:r>
              <w:rPr>
                <w:rFonts w:hint="cs"/>
                <w:rtl/>
              </w:rPr>
              <w:t xml:space="preserve">  יימחקו.</w:t>
            </w:r>
          </w:p>
        </w:tc>
      </w:tr>
      <w:tr w:rsidR="00B543F7" w14:paraId="78099C48" w14:textId="77777777" w:rsidTr="002A3925">
        <w:trPr>
          <w:cantSplit/>
          <w:trHeight w:val="60"/>
        </w:trPr>
        <w:tc>
          <w:tcPr>
            <w:tcW w:w="1871" w:type="dxa"/>
          </w:tcPr>
          <w:p w14:paraId="08861DFF" w14:textId="2FB43F13" w:rsidR="00B543F7" w:rsidRDefault="00B543F7" w:rsidP="002A3925">
            <w:pPr>
              <w:pStyle w:val="TableSideHeading"/>
            </w:pPr>
            <w:r>
              <w:rPr>
                <w:rFonts w:hint="cs"/>
                <w:rtl/>
              </w:rPr>
              <w:t>תיקון פקודת מס הכנסה</w:t>
            </w:r>
            <w:r w:rsidR="00555880">
              <w:rPr>
                <w:rFonts w:hint="cs"/>
                <w:rtl/>
              </w:rPr>
              <w:t xml:space="preserve"> </w:t>
            </w:r>
            <w:r w:rsidR="00555880">
              <w:rPr>
                <w:rtl/>
              </w:rPr>
              <w:t>–</w:t>
            </w:r>
            <w:r w:rsidR="00555880">
              <w:rPr>
                <w:rFonts w:hint="cs"/>
                <w:rtl/>
              </w:rPr>
              <w:t xml:space="preserve"> הוראת שעה</w:t>
            </w:r>
          </w:p>
        </w:tc>
        <w:tc>
          <w:tcPr>
            <w:tcW w:w="624" w:type="dxa"/>
          </w:tcPr>
          <w:p w14:paraId="1C3976C9" w14:textId="77777777" w:rsidR="00B543F7" w:rsidRDefault="00B543F7" w:rsidP="002A3925">
            <w:pPr>
              <w:pStyle w:val="TableText"/>
            </w:pPr>
            <w:r>
              <w:rPr>
                <w:rFonts w:hint="cs"/>
                <w:rtl/>
              </w:rPr>
              <w:t>2.</w:t>
            </w:r>
          </w:p>
        </w:tc>
        <w:tc>
          <w:tcPr>
            <w:tcW w:w="7146" w:type="dxa"/>
            <w:gridSpan w:val="2"/>
          </w:tcPr>
          <w:p w14:paraId="638ECADE" w14:textId="30E480C3" w:rsidR="00B543F7" w:rsidRPr="00514C13" w:rsidRDefault="00B543F7" w:rsidP="00555880">
            <w:pPr>
              <w:pStyle w:val="TableBlock"/>
            </w:pPr>
            <w:r>
              <w:rPr>
                <w:rFonts w:hint="cs"/>
                <w:rtl/>
              </w:rPr>
              <w:t>בשנות המס 2017 ו-2018 יקראו את סעיף 11(3א)(ב) לפקודת מס הכנסה</w:t>
            </w:r>
            <w:r>
              <w:rPr>
                <w:rStyle w:val="a6"/>
                <w:rtl/>
              </w:rPr>
              <w:footnoteReference w:id="3"/>
            </w:r>
            <w:r>
              <w:rPr>
                <w:rFonts w:hint="cs"/>
                <w:rtl/>
              </w:rPr>
              <w:t>, כך שבמקום "6000 שקלים חדשים" יבוא "24,000 שקלים חדשים בשנות המס 2017 ו-2018".</w:t>
            </w:r>
          </w:p>
        </w:tc>
      </w:tr>
    </w:tbl>
    <w:p w14:paraId="7F6961CA" w14:textId="77777777" w:rsidR="002D1EE3" w:rsidRDefault="002D1EE3" w:rsidP="002D1EE3">
      <w:pPr>
        <w:pStyle w:val="HeadDivreiHesber"/>
        <w:rPr>
          <w:rtl/>
        </w:rPr>
      </w:pPr>
      <w:r w:rsidRPr="0027450A">
        <w:rPr>
          <w:rFonts w:hint="cs"/>
          <w:rtl/>
        </w:rPr>
        <w:t>דברי הסבר</w:t>
      </w:r>
    </w:p>
    <w:p w14:paraId="64462254" w14:textId="38BFCDDE" w:rsidR="00B543F7" w:rsidRDefault="00B543F7" w:rsidP="00555880">
      <w:pPr>
        <w:pStyle w:val="Hesber"/>
        <w:rPr>
          <w:rtl/>
        </w:rPr>
      </w:pPr>
      <w:r>
        <w:rPr>
          <w:rFonts w:hint="cs"/>
          <w:rtl/>
        </w:rPr>
        <w:t xml:space="preserve">מטרת חוק הטבות במס וייעוץ במס (תיקוני חקיקה), </w:t>
      </w:r>
      <w:proofErr w:type="spellStart"/>
      <w:r>
        <w:rPr>
          <w:rFonts w:hint="cs"/>
          <w:rtl/>
        </w:rPr>
        <w:t>התשע"ו</w:t>
      </w:r>
      <w:proofErr w:type="spellEnd"/>
      <w:r>
        <w:rPr>
          <w:rFonts w:hint="eastAsia"/>
          <w:rtl/>
        </w:rPr>
        <w:t>–</w:t>
      </w:r>
      <w:r>
        <w:rPr>
          <w:rFonts w:hint="cs"/>
          <w:rtl/>
        </w:rPr>
        <w:t>2015</w:t>
      </w:r>
      <w:r w:rsidR="00555880">
        <w:rPr>
          <w:rFonts w:hint="cs"/>
          <w:rtl/>
        </w:rPr>
        <w:t xml:space="preserve"> (להלן </w:t>
      </w:r>
      <w:r w:rsidR="00555880">
        <w:rPr>
          <w:rtl/>
        </w:rPr>
        <w:t>–</w:t>
      </w:r>
      <w:r w:rsidR="00555880">
        <w:rPr>
          <w:rFonts w:hint="cs"/>
          <w:rtl/>
        </w:rPr>
        <w:t xml:space="preserve"> החוק)</w:t>
      </w:r>
      <w:r>
        <w:rPr>
          <w:rFonts w:hint="cs"/>
          <w:rtl/>
        </w:rPr>
        <w:t>, היא לסייע לי</w:t>
      </w:r>
      <w:r w:rsidR="00FA1350">
        <w:rPr>
          <w:rFonts w:hint="cs"/>
          <w:rtl/>
        </w:rPr>
        <w:t>י</w:t>
      </w:r>
      <w:r>
        <w:rPr>
          <w:rFonts w:hint="cs"/>
          <w:rtl/>
        </w:rPr>
        <w:t xml:space="preserve">שובים הנמצאים בפריפריה הדמוגרפית, החברתית והכלכלית </w:t>
      </w:r>
      <w:r w:rsidR="00555880">
        <w:rPr>
          <w:rFonts w:hint="cs"/>
          <w:rtl/>
        </w:rPr>
        <w:t>כדי</w:t>
      </w:r>
      <w:r>
        <w:rPr>
          <w:rFonts w:hint="cs"/>
          <w:rtl/>
        </w:rPr>
        <w:t xml:space="preserve"> לשמר את ההתיישבות במקומות אלה.</w:t>
      </w:r>
    </w:p>
    <w:p w14:paraId="719FD358" w14:textId="77777777" w:rsidR="00B543F7" w:rsidRDefault="00B543F7" w:rsidP="00B543F7">
      <w:pPr>
        <w:pStyle w:val="Hesber"/>
        <w:rPr>
          <w:rtl/>
        </w:rPr>
      </w:pPr>
      <w:r>
        <w:rPr>
          <w:rFonts w:hint="cs"/>
          <w:rtl/>
        </w:rPr>
        <w:t xml:space="preserve">החוק קובע שלושה מסלולים למתן הטבות במס, בהתאם לקריטריונים של מדד ביטחוני, מדד חברתי-כלכלי ומדד פריפריאלי. החוק קובע שהלשכה המרכזית לסטטיסטיקה תפרסם מדד חברתי-כלכלי ומדד פריפריאלי לפי יישובים שבתוך מועצה אזורית מעודכנים עד ליום 1 בינואר 2017. </w:t>
      </w:r>
    </w:p>
    <w:p w14:paraId="1B7BC737" w14:textId="68AC41EC" w:rsidR="00B543F7" w:rsidRDefault="00B543F7" w:rsidP="00B543F7">
      <w:pPr>
        <w:pStyle w:val="Hesber"/>
        <w:rPr>
          <w:rtl/>
        </w:rPr>
      </w:pPr>
      <w:r>
        <w:rPr>
          <w:rFonts w:hint="cs"/>
          <w:rtl/>
        </w:rPr>
        <w:t xml:space="preserve">כיוון שלעתים במועצה אזורית אחת ישנם יישובים מרוחקים יותר לעומת אחרים ועל מנת שלא תהיה פגיעה בהם עד לפרסום המדד הפריפריאלי המעודכן, החוק קובע הוראת שעה לשנים 2016 ו-2017, לפיה תושב של </w:t>
      </w:r>
      <w:r w:rsidR="00FA1350">
        <w:rPr>
          <w:rFonts w:hint="cs"/>
          <w:rtl/>
        </w:rPr>
        <w:t>י</w:t>
      </w:r>
      <w:r>
        <w:rPr>
          <w:rFonts w:hint="cs"/>
          <w:rtl/>
        </w:rPr>
        <w:t>ישוב במועצה אזורית שלפחות מחצית מיישוביה הם יישוב מוטב, יהיה זכאי בשנות המס הללו לאותו זיכוי ממס בשיעור ובתקרה כמו היישוב המוטב.</w:t>
      </w:r>
    </w:p>
    <w:p w14:paraId="76964059" w14:textId="31498AC0" w:rsidR="00B543F7" w:rsidRDefault="00B543F7" w:rsidP="00B543F7">
      <w:pPr>
        <w:pStyle w:val="Hesber"/>
        <w:rPr>
          <w:rtl/>
        </w:rPr>
      </w:pPr>
      <w:r>
        <w:rPr>
          <w:rFonts w:hint="cs"/>
          <w:rtl/>
        </w:rPr>
        <w:t xml:space="preserve">הלשכה המרכזית לסטטיסטיקה פרסמה מדד חברתי-כלכלי מעודכן ביום 26 בדצמבר 2016, אך טרם פרסמה מדד פריפריאלי מעודכן. כתוצאה מכך, נוצר מצב </w:t>
      </w:r>
      <w:r w:rsidR="00555880">
        <w:rPr>
          <w:rFonts w:hint="cs"/>
          <w:rtl/>
        </w:rPr>
        <w:t>ש</w:t>
      </w:r>
      <w:r>
        <w:rPr>
          <w:rFonts w:hint="cs"/>
          <w:rtl/>
        </w:rPr>
        <w:t>בו יישובים מקבלים הטבת מס שאינה מדויקת ביחס למיקומם ועמידתם בקריטריונים. מכיוון שפרסום המדד הפריפריאלי צפוי להתפרסם רק לקראת שנת 2018, מוצע בהצעת חוק זו להאריך את הוראת השעה בשנה נוספת לשנת 2018.</w:t>
      </w:r>
    </w:p>
    <w:p w14:paraId="7D2F9F73" w14:textId="5E8E1979" w:rsidR="00B543F7" w:rsidRDefault="00B543F7" w:rsidP="00555880">
      <w:pPr>
        <w:pStyle w:val="Hesber"/>
        <w:rPr>
          <w:rtl/>
        </w:rPr>
      </w:pPr>
      <w:r>
        <w:rPr>
          <w:rFonts w:hint="cs"/>
          <w:rtl/>
        </w:rPr>
        <w:t xml:space="preserve">הוראת השעה ביחס לתושבי יישוב שאינו יישוב מוטב לפי התיקון החדש, פורשה על ידי רשות המסים כאילו תושב נדרש להתגורר במשך שנה קודם לקבלת ההטבה. זאת, בניגוד לכוונה המקורית שהוראת השעה האמורה תחול גם על תושבים חדשים. לפיכך, מוצע להבהיר גם את הוראת השעה הזו </w:t>
      </w:r>
      <w:proofErr w:type="spellStart"/>
      <w:r>
        <w:rPr>
          <w:rFonts w:hint="cs"/>
          <w:rtl/>
        </w:rPr>
        <w:t>ולהאריכה</w:t>
      </w:r>
      <w:proofErr w:type="spellEnd"/>
      <w:r>
        <w:rPr>
          <w:rFonts w:hint="cs"/>
          <w:rtl/>
        </w:rPr>
        <w:t xml:space="preserve"> בשנה נוספת. </w:t>
      </w:r>
    </w:p>
    <w:p w14:paraId="2704E834" w14:textId="3BA900DE" w:rsidR="00B543F7" w:rsidRDefault="00B543F7" w:rsidP="00555880">
      <w:pPr>
        <w:pStyle w:val="Hesber"/>
        <w:rPr>
          <w:rtl/>
        </w:rPr>
      </w:pPr>
      <w:r>
        <w:rPr>
          <w:rFonts w:hint="cs"/>
          <w:rtl/>
        </w:rPr>
        <w:t>כמו כן, מוצע ל</w:t>
      </w:r>
      <w:r w:rsidR="00555880">
        <w:rPr>
          <w:rFonts w:hint="cs"/>
          <w:rtl/>
        </w:rPr>
        <w:t>תקן את פקודת מס הכנסה ול</w:t>
      </w:r>
      <w:r>
        <w:rPr>
          <w:rFonts w:hint="cs"/>
          <w:rtl/>
        </w:rPr>
        <w:t xml:space="preserve">קבוע </w:t>
      </w:r>
      <w:r w:rsidR="00555880">
        <w:rPr>
          <w:rFonts w:hint="cs"/>
          <w:rtl/>
        </w:rPr>
        <w:t>כ</w:t>
      </w:r>
      <w:r>
        <w:rPr>
          <w:rFonts w:hint="cs"/>
          <w:rtl/>
        </w:rPr>
        <w:t xml:space="preserve">הוראת שעה את הגדלת תקרת ההכנסה מ-6,000 </w:t>
      </w:r>
      <w:r w:rsidR="00555880">
        <w:rPr>
          <w:rFonts w:hint="cs"/>
          <w:rtl/>
        </w:rPr>
        <w:t>שקלים חדשים</w:t>
      </w:r>
      <w:r>
        <w:rPr>
          <w:rFonts w:hint="cs"/>
          <w:rtl/>
        </w:rPr>
        <w:t xml:space="preserve"> ל-24,000 </w:t>
      </w:r>
      <w:r w:rsidR="00555880">
        <w:rPr>
          <w:rFonts w:hint="cs"/>
          <w:rtl/>
        </w:rPr>
        <w:t>שקלים חדשים</w:t>
      </w:r>
      <w:r>
        <w:rPr>
          <w:rFonts w:hint="cs"/>
          <w:rtl/>
        </w:rPr>
        <w:t xml:space="preserve"> לתושבי י</w:t>
      </w:r>
      <w:r w:rsidR="00FA1350">
        <w:rPr>
          <w:rFonts w:hint="cs"/>
          <w:rtl/>
        </w:rPr>
        <w:t>י</w:t>
      </w:r>
      <w:r>
        <w:rPr>
          <w:rFonts w:hint="cs"/>
          <w:rtl/>
        </w:rPr>
        <w:t xml:space="preserve">שובים מוטבים </w:t>
      </w:r>
      <w:proofErr w:type="spellStart"/>
      <w:r>
        <w:rPr>
          <w:rFonts w:hint="cs"/>
          <w:rtl/>
        </w:rPr>
        <w:t>צמודי</w:t>
      </w:r>
      <w:proofErr w:type="spellEnd"/>
      <w:r>
        <w:rPr>
          <w:rFonts w:hint="cs"/>
          <w:rtl/>
        </w:rPr>
        <w:t xml:space="preserve"> גבול עימות בצפון לש</w:t>
      </w:r>
      <w:r w:rsidR="00555880">
        <w:rPr>
          <w:rFonts w:hint="cs"/>
          <w:rtl/>
        </w:rPr>
        <w:t xml:space="preserve">נים 2017 ו-2018; ההנחה </w:t>
      </w:r>
      <w:proofErr w:type="spellStart"/>
      <w:r w:rsidR="00555880">
        <w:rPr>
          <w:rFonts w:hint="cs"/>
          <w:rtl/>
        </w:rPr>
        <w:t>הי</w:t>
      </w:r>
      <w:r>
        <w:rPr>
          <w:rFonts w:hint="cs"/>
          <w:rtl/>
        </w:rPr>
        <w:t>תה</w:t>
      </w:r>
      <w:proofErr w:type="spellEnd"/>
      <w:r>
        <w:rPr>
          <w:rFonts w:hint="cs"/>
          <w:rtl/>
        </w:rPr>
        <w:t xml:space="preserve"> שהמדד הפריפריאלי ידייק את שיעורי ההטבה שהם יקבלו, אך בינתיים הוא טרם נקבע וכתוצאה מכך יישובים אלה נפגעים בשל הפער בשיעור ההטבה לעומת המצב שקדם לתיקון החוק.</w:t>
      </w:r>
    </w:p>
    <w:p w14:paraId="024CDC40" w14:textId="77777777" w:rsidR="00B543F7" w:rsidRDefault="00B543F7" w:rsidP="00B543F7">
      <w:pPr>
        <w:pStyle w:val="Hesber"/>
        <w:rPr>
          <w:rtl/>
        </w:rPr>
      </w:pPr>
      <w:r>
        <w:rPr>
          <w:rFonts w:hint="cs"/>
          <w:rtl/>
        </w:rPr>
        <w:t>ההנחה היא שלאחר פרסום המדד הפריפריאלי עניין זה יוסדר, אך גם כאן מוצע לקבוע עד אז הוראת שעה נוספת.</w:t>
      </w:r>
    </w:p>
    <w:p w14:paraId="6FE07C43" w14:textId="77777777" w:rsidR="00B34FA8" w:rsidRPr="00D73212" w:rsidRDefault="00B34FA8" w:rsidP="00B34FA8">
      <w:pPr>
        <w:pStyle w:val="Hesber"/>
        <w:rPr>
          <w:color w:val="auto"/>
          <w:rtl/>
          <w:lang w:eastAsia="en-US"/>
        </w:rPr>
      </w:pPr>
      <w:r w:rsidRPr="00D73212">
        <w:rPr>
          <w:color w:val="auto"/>
          <w:rtl/>
          <w:lang w:eastAsia="en-US"/>
        </w:rPr>
        <w:t>---------------------------------</w:t>
      </w:r>
    </w:p>
    <w:p w14:paraId="120BFF65" w14:textId="77777777" w:rsidR="00B34FA8" w:rsidRPr="00D73212" w:rsidRDefault="00B34FA8" w:rsidP="00B34FA8">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71518334" w14:textId="77777777" w:rsidR="00B34FA8" w:rsidRPr="00D73212" w:rsidRDefault="00B34FA8" w:rsidP="00B34FA8">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5F2366F6" w14:textId="77777777" w:rsidR="00B34FA8" w:rsidRPr="00317312" w:rsidRDefault="00B34FA8" w:rsidP="00B34FA8">
      <w:pPr>
        <w:pStyle w:val="Hesber"/>
      </w:pPr>
      <w:r>
        <w:rPr>
          <w:rFonts w:hint="cs"/>
          <w:color w:val="auto"/>
          <w:rtl/>
          <w:lang w:eastAsia="en-US"/>
        </w:rPr>
        <w:t>כ"ה בסיוון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19.6</w:t>
      </w:r>
      <w:r w:rsidRPr="00D73212">
        <w:rPr>
          <w:color w:val="auto"/>
          <w:rtl/>
          <w:lang w:eastAsia="en-US"/>
        </w:rPr>
        <w:t>.</w:t>
      </w:r>
      <w:r>
        <w:rPr>
          <w:rFonts w:hint="cs"/>
          <w:color w:val="auto"/>
          <w:rtl/>
          <w:lang w:eastAsia="en-US"/>
        </w:rPr>
        <w:t>17</w:t>
      </w:r>
    </w:p>
    <w:p w14:paraId="7F6961CB" w14:textId="77777777" w:rsidR="00E13C27" w:rsidRPr="00B34FA8" w:rsidRDefault="00E13C27" w:rsidP="00E13C27">
      <w:pPr>
        <w:pStyle w:val="Hesber"/>
        <w:rPr>
          <w:rtl/>
        </w:rPr>
      </w:pPr>
    </w:p>
    <w:sectPr w:rsidR="00E13C27" w:rsidRPr="00B34FA8"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5C3CEC">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23BD7D1B" w14:textId="394C52AC" w:rsidR="00B543F7" w:rsidRDefault="00B543F7" w:rsidP="00555880">
      <w:pPr>
        <w:pStyle w:val="a4"/>
        <w:rPr>
          <w:rtl/>
        </w:rPr>
      </w:pPr>
      <w:r>
        <w:rPr>
          <w:rStyle w:val="a6"/>
        </w:rPr>
        <w:footnoteRef/>
      </w:r>
      <w:r>
        <w:rPr>
          <w:rtl/>
        </w:rPr>
        <w:t xml:space="preserve"> </w:t>
      </w:r>
      <w:r>
        <w:rPr>
          <w:rFonts w:hint="cs"/>
          <w:rtl/>
        </w:rPr>
        <w:t>ס</w:t>
      </w:r>
      <w:r w:rsidR="00555880">
        <w:rPr>
          <w:rFonts w:hint="cs"/>
          <w:rtl/>
        </w:rPr>
        <w:t xml:space="preserve">"ח </w:t>
      </w:r>
      <w:proofErr w:type="spellStart"/>
      <w:r w:rsidR="00555880">
        <w:rPr>
          <w:rFonts w:hint="cs"/>
          <w:rtl/>
        </w:rPr>
        <w:t>התשע"ו</w:t>
      </w:r>
      <w:proofErr w:type="spellEnd"/>
      <w:r w:rsidR="00555880">
        <w:rPr>
          <w:rFonts w:hint="cs"/>
          <w:rtl/>
        </w:rPr>
        <w:t>, עמ' 270.</w:t>
      </w:r>
    </w:p>
  </w:footnote>
  <w:footnote w:id="3">
    <w:p w14:paraId="37752D88" w14:textId="5D9326F4" w:rsidR="00B543F7" w:rsidRPr="00CA5651" w:rsidRDefault="00B543F7" w:rsidP="00B543F7">
      <w:pPr>
        <w:pStyle w:val="a4"/>
        <w:rPr>
          <w:sz w:val="12"/>
          <w:szCs w:val="18"/>
          <w:rtl/>
        </w:rPr>
      </w:pPr>
      <w:r>
        <w:rPr>
          <w:rStyle w:val="a6"/>
        </w:rPr>
        <w:footnoteRef/>
      </w:r>
      <w:r>
        <w:rPr>
          <w:rtl/>
        </w:rPr>
        <w:t xml:space="preserve"> </w:t>
      </w:r>
      <w:r>
        <w:rPr>
          <w:rFonts w:hint="cs"/>
          <w:rtl/>
        </w:rPr>
        <w:t>דיני מדינת ישראל</w:t>
      </w:r>
      <w:r w:rsidR="00555880">
        <w:rPr>
          <w:rFonts w:hint="cs"/>
          <w:rtl/>
        </w:rPr>
        <w:t>,</w:t>
      </w:r>
      <w:r>
        <w:rPr>
          <w:rFonts w:hint="cs"/>
          <w:rtl/>
        </w:rPr>
        <w:t xml:space="preserve"> נוסח חדש 6, עמ' 120.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55880"/>
    <w:rsid w:val="00562A66"/>
    <w:rsid w:val="005B064E"/>
    <w:rsid w:val="005C3CEC"/>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4FA8"/>
    <w:rsid w:val="00B35784"/>
    <w:rsid w:val="00B543F7"/>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1350"/>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B543F7"/>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D488B71E-2ACF-46A6-9870-7ECE6FC8C0F9}"/>
</file>

<file path=customXml/itemProps4.xml><?xml version="1.0" encoding="utf-8"?>
<ds:datastoreItem xmlns:ds="http://schemas.openxmlformats.org/officeDocument/2006/customXml" ds:itemID="{D0AFBBB4-6F77-4607-B59B-050DEBAD4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512</Words>
  <Characters>2662</Characters>
  <Application>Microsoft Office Word</Application>
  <DocSecurity>0</DocSecurity>
  <Lines>22</Lines>
  <Paragraphs>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רשומות</vt:lpstr>
      <vt:lpstr>רשומות</vt:lpstr>
    </vt:vector>
  </TitlesOfParts>
  <Company>Knesset</Company>
  <LinksUpToDate>false</LinksUpToDate>
  <CharactersWithSpaces>3168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אילת וולברג</cp:lastModifiedBy>
  <cp:revision>7</cp:revision>
  <cp:lastPrinted>2013-07-04T08:25:00Z</cp:lastPrinted>
  <dcterms:created xsi:type="dcterms:W3CDTF">2015-04-20T09:58:00Z</dcterms:created>
  <dcterms:modified xsi:type="dcterms:W3CDTF">2017-06-14T11:50:00Z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2019190</vt:r8>
  </property>
</Properties>
</file>