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r w:rsidRPr="0000131B">
        <w:rPr>
          <w:rFonts w:hint="cs"/>
          <w:b w:val="0"/>
          <w:bCs w:val="0"/>
          <w:szCs w:val="20"/>
          <w:rtl/>
        </w:rPr>
        <w:t xml:space="preserve">מספר פנימי: </w:t>
      </w:r>
      <w:bookmarkStart w:id="0" w:name="LGS_Internal_ID"/>
      <w:r>
        <w:rPr>
          <w:rFonts w:hint="cs"/>
          <w:b w:val="0"/>
          <w:bCs w:val="0"/>
          <w:szCs w:val="20"/>
          <w:rtl/>
        </w:rPr>
        <w:t>2012265</w:t>
      </w:r>
      <w:bookmarkEnd w:id="0"/>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1" w:name="LGS_Knesset_Num"/>
      <w:r>
        <w:rPr>
          <w:rFonts w:hint="cs"/>
          <w:sz w:val="28"/>
          <w:szCs w:val="28"/>
          <w:rtl/>
        </w:rPr>
        <w:t>העשרים</w:t>
      </w:r>
      <w:bookmarkEnd w:id="1"/>
    </w:p>
    <w:p w14:paraId="7F6961A3" w14:textId="77777777" w:rsidR="00E13C27" w:rsidRPr="00F67051" w:rsidRDefault="00E13C27" w:rsidP="00E13C27">
      <w:pPr>
        <w:rPr>
          <w:rFonts w:cs="David"/>
          <w:b/>
          <w:bCs/>
          <w:sz w:val="26"/>
          <w:szCs w:val="26"/>
          <w:rtl/>
        </w:rPr>
      </w:pPr>
    </w:p>
    <w:p w14:paraId="7F6961AA" w14:textId="2F1B3B5D" w:rsidR="00E13C27" w:rsidRPr="00CF1AA2" w:rsidRDefault="008F6665" w:rsidP="002D3BC0">
      <w:pPr>
        <w:pStyle w:val="David"/>
        <w:spacing w:line="360" w:lineRule="auto"/>
        <w:ind w:left="3544"/>
        <w:rPr>
          <w:b/>
          <w:bCs/>
          <w:sz w:val="16"/>
          <w:szCs w:val="16"/>
          <w:rtl/>
        </w:rPr>
      </w:pPr>
      <w:bookmarkStart w:id="2" w:name="LGS_Initiators_List"/>
      <w:r>
        <w:rPr>
          <w:b/>
          <w:bCs/>
          <w:rtl/>
        </w:rPr>
        <w:t>יוזמים:      חברי הכנסת</w:t>
      </w:r>
      <w:bookmarkEnd w:id="2"/>
      <w:r w:rsidR="00B35784" w:rsidRPr="00F67051">
        <w:rPr>
          <w:b/>
          <w:bCs/>
        </w:rPr>
        <w:tab/>
      </w:r>
      <w:bookmarkStart w:id="3" w:name="LGS_PM_Names"/>
      <w:r>
        <w:rPr>
          <w:rFonts w:hint="cs"/>
          <w:b/>
          <w:bCs/>
          <w:rtl/>
        </w:rPr>
        <w:t>משה גפני</w:t>
      </w:r>
      <w:r>
        <w:br/>
      </w:r>
      <w:r>
        <w:rPr>
          <w:rFonts w:hint="cs"/>
          <w:b/>
          <w:bCs/>
          <w:rtl/>
        </w:rPr>
        <w:t xml:space="preserve"> </w:t>
      </w:r>
      <w:r>
        <w:tab/>
      </w:r>
      <w:r>
        <w:tab/>
      </w:r>
      <w:r>
        <w:tab/>
      </w:r>
      <w:r>
        <w:tab/>
      </w:r>
      <w:r>
        <w:rPr>
          <w:rFonts w:hint="cs"/>
          <w:b/>
          <w:bCs/>
          <w:rtl/>
        </w:rPr>
        <w:t>חיים ילין</w:t>
      </w:r>
      <w:r>
        <w:br/>
      </w:r>
      <w:r>
        <w:rPr>
          <w:rFonts w:hint="cs"/>
          <w:b/>
          <w:bCs/>
          <w:rtl/>
        </w:rPr>
        <w:t xml:space="preserve"> </w:t>
      </w:r>
      <w:r>
        <w:tab/>
      </w:r>
      <w:r>
        <w:tab/>
      </w:r>
      <w:r>
        <w:tab/>
      </w:r>
      <w:r>
        <w:tab/>
      </w:r>
      <w:r>
        <w:rPr>
          <w:rFonts w:hint="cs"/>
          <w:b/>
          <w:bCs/>
          <w:rtl/>
        </w:rPr>
        <w:t>יצחק וקנין</w:t>
      </w:r>
      <w:r>
        <w:br/>
      </w:r>
      <w:r>
        <w:rPr>
          <w:rFonts w:hint="cs"/>
          <w:b/>
          <w:bCs/>
          <w:rtl/>
        </w:rPr>
        <w:t xml:space="preserve"> </w:t>
      </w:r>
      <w:r>
        <w:tab/>
      </w:r>
      <w:r>
        <w:tab/>
      </w:r>
      <w:r>
        <w:tab/>
      </w:r>
      <w:r>
        <w:tab/>
      </w:r>
      <w:r>
        <w:rPr>
          <w:rFonts w:hint="cs"/>
          <w:b/>
          <w:bCs/>
          <w:rtl/>
        </w:rPr>
        <w:t>עודד פורר</w:t>
      </w:r>
      <w:r>
        <w:br/>
      </w:r>
      <w:r>
        <w:rPr>
          <w:rFonts w:hint="cs"/>
          <w:b/>
          <w:bCs/>
          <w:rtl/>
        </w:rPr>
        <w:t xml:space="preserve"> </w:t>
      </w:r>
      <w:r>
        <w:tab/>
      </w:r>
      <w:r>
        <w:tab/>
      </w:r>
      <w:r>
        <w:tab/>
      </w:r>
      <w:r>
        <w:tab/>
      </w:r>
      <w:r>
        <w:rPr>
          <w:rFonts w:hint="cs"/>
          <w:b/>
          <w:bCs/>
          <w:rtl/>
        </w:rPr>
        <w:t>מיקי רוזנטל</w:t>
      </w:r>
      <w:r>
        <w:br/>
      </w:r>
      <w:r>
        <w:rPr>
          <w:rFonts w:hint="cs"/>
          <w:b/>
          <w:bCs/>
          <w:rtl/>
        </w:rPr>
        <w:t xml:space="preserve"> </w:t>
      </w:r>
      <w:r>
        <w:tab/>
      </w:r>
      <w:r>
        <w:tab/>
      </w:r>
      <w:r>
        <w:tab/>
      </w:r>
      <w:r>
        <w:tab/>
      </w:r>
      <w:r>
        <w:rPr>
          <w:rFonts w:hint="cs"/>
          <w:b/>
          <w:bCs/>
          <w:rtl/>
        </w:rPr>
        <w:t>מיקי לוי</w:t>
      </w:r>
      <w:r>
        <w:br/>
      </w:r>
      <w:r>
        <w:rPr>
          <w:rFonts w:hint="cs"/>
          <w:b/>
          <w:bCs/>
          <w:rtl/>
        </w:rPr>
        <w:t xml:space="preserve"> </w:t>
      </w:r>
      <w:r>
        <w:tab/>
      </w:r>
      <w:r>
        <w:tab/>
      </w:r>
      <w:r>
        <w:tab/>
      </w:r>
      <w:r>
        <w:tab/>
      </w:r>
      <w:r>
        <w:rPr>
          <w:rFonts w:hint="cs"/>
          <w:b/>
          <w:bCs/>
          <w:rtl/>
        </w:rPr>
        <w:t>איתן ברושי</w:t>
      </w:r>
      <w:r>
        <w:br/>
      </w:r>
      <w:r>
        <w:rPr>
          <w:rFonts w:hint="cs"/>
          <w:b/>
          <w:bCs/>
          <w:rtl/>
        </w:rPr>
        <w:t xml:space="preserve"> </w:t>
      </w:r>
      <w:r>
        <w:tab/>
      </w:r>
      <w:r>
        <w:tab/>
      </w:r>
      <w:r>
        <w:tab/>
      </w:r>
      <w:r>
        <w:tab/>
      </w:r>
      <w:r>
        <w:rPr>
          <w:rFonts w:hint="cs"/>
          <w:b/>
          <w:bCs/>
          <w:rtl/>
        </w:rPr>
        <w:t>דוד ביטן</w:t>
      </w:r>
      <w:r>
        <w:br/>
      </w:r>
      <w:r>
        <w:rPr>
          <w:rFonts w:hint="cs"/>
          <w:b/>
          <w:bCs/>
          <w:rtl/>
        </w:rPr>
        <w:t xml:space="preserve"> </w:t>
      </w:r>
      <w:r>
        <w:tab/>
      </w:r>
      <w:r>
        <w:tab/>
      </w:r>
      <w:r>
        <w:tab/>
      </w:r>
      <w:r>
        <w:tab/>
      </w:r>
      <w:r>
        <w:rPr>
          <w:rFonts w:hint="cs"/>
          <w:b/>
          <w:bCs/>
          <w:rtl/>
        </w:rPr>
        <w:t>בצלאל סמוטריץ'</w:t>
      </w:r>
      <w:r>
        <w:br/>
      </w:r>
      <w:r>
        <w:rPr>
          <w:rFonts w:hint="cs"/>
          <w:b/>
          <w:bCs/>
          <w:rtl/>
        </w:rPr>
        <w:t xml:space="preserve"> </w:t>
      </w:r>
      <w:r>
        <w:tab/>
      </w:r>
      <w:r>
        <w:tab/>
      </w:r>
      <w:r>
        <w:tab/>
      </w:r>
      <w:r>
        <w:tab/>
      </w:r>
      <w:r>
        <w:rPr>
          <w:rFonts w:hint="cs"/>
          <w:b/>
          <w:bCs/>
          <w:rtl/>
        </w:rPr>
        <w:t>מכלוף מיקי זוהר</w:t>
      </w:r>
      <w:r>
        <w:br/>
      </w:r>
      <w:r>
        <w:rPr>
          <w:rFonts w:hint="cs"/>
          <w:b/>
          <w:bCs/>
          <w:rtl/>
        </w:rPr>
        <w:t xml:space="preserve"> </w:t>
      </w:r>
      <w:r>
        <w:tab/>
      </w:r>
      <w:r>
        <w:tab/>
      </w:r>
      <w:r>
        <w:tab/>
      </w:r>
      <w:r>
        <w:tab/>
      </w:r>
      <w:r>
        <w:rPr>
          <w:rFonts w:hint="cs"/>
          <w:b/>
          <w:bCs/>
          <w:rtl/>
        </w:rPr>
        <w:t>מנואל טרכטנברג</w:t>
      </w:r>
      <w:bookmarkStart w:id="4" w:name="LGS_Join_List"/>
      <w:bookmarkEnd w:id="3"/>
      <w:r w:rsidR="007D585A">
        <w:rPr>
          <w:rtl/>
        </w:rPr>
        <w:t xml:space="preserve"> </w:t>
      </w:r>
      <w:bookmarkEnd w:id="4"/>
      <w:r w:rsidR="002200A1" w:rsidRPr="00CF1AA2">
        <w:rPr>
          <w:rFonts w:hint="cs"/>
          <w:rtl/>
        </w:rPr>
        <w:tab/>
      </w:r>
      <w:bookmarkStart w:id="5" w:name="LGS_PM_NamesJoin"/>
      <w:r w:rsidR="007D585A">
        <w:rPr>
          <w:rFonts w:hint="cs"/>
          <w:rtl/>
        </w:rPr>
        <w:t xml:space="preserve"> </w:t>
      </w:r>
      <w:bookmarkEnd w:id="5"/>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6" w:name="Private_Number"/>
      <w:r>
        <w:rPr>
          <w:rFonts w:hint="cs"/>
          <w:rtl/>
        </w:rPr>
        <w:t>פ/3893/20</w:t>
      </w:r>
      <w:bookmarkEnd w:id="6"/>
    </w:p>
    <w:p w14:paraId="079FEE07" w14:textId="7D428DB3" w:rsidR="009A2F24" w:rsidRPr="00904591" w:rsidRDefault="009A2F24" w:rsidP="002D3BC0">
      <w:pPr>
        <w:pStyle w:val="David"/>
        <w:spacing w:before="0" w:line="360" w:lineRule="auto"/>
        <w:ind w:left="3544"/>
        <w:rPr>
          <w:sz w:val="4"/>
          <w:szCs w:val="4"/>
          <w:rtl/>
        </w:rPr>
      </w:pPr>
      <w:r w:rsidRPr="00CF1AA2">
        <w:rPr>
          <w:rFonts w:hint="cs"/>
          <w:rtl/>
        </w:rPr>
        <w:tab/>
      </w:r>
      <w:r>
        <w:rPr>
          <w:rFonts w:hint="cs"/>
          <w:rtl/>
        </w:rPr>
        <w:t xml:space="preserve"> </w:t>
      </w:r>
      <w:r w:rsidRPr="00E06736">
        <w:tab/>
      </w:r>
      <w:r w:rsidRPr="00E06736">
        <w:rPr>
          <w:rFonts w:hint="cs"/>
          <w:rtl/>
        </w:rPr>
        <w:tab/>
      </w:r>
      <w:r w:rsidRPr="00E06736">
        <w:rPr>
          <w:rFonts w:hint="cs"/>
          <w:rtl/>
        </w:rPr>
        <w:tab/>
      </w:r>
      <w:r w:rsidRPr="00E06736">
        <w:rPr>
          <w:rFonts w:hint="cs"/>
          <w:rtl/>
        </w:rPr>
        <w:tab/>
      </w:r>
      <w:r>
        <w:t xml:space="preserve">           </w:t>
      </w:r>
    </w:p>
    <w:p w14:paraId="1D7B4468" w14:textId="3F325CA4" w:rsidR="009A2F24" w:rsidRDefault="009A2F24" w:rsidP="003459A8">
      <w:pPr>
        <w:pStyle w:val="David"/>
        <w:spacing w:before="0" w:line="240" w:lineRule="auto"/>
        <w:ind w:left="3544"/>
        <w:rPr>
          <w:rtl/>
        </w:rPr>
      </w:pPr>
      <w:r>
        <w:t xml:space="preserve">          </w:t>
      </w:r>
      <w:r w:rsidR="003459A8">
        <w:t xml:space="preserve">                         </w:t>
      </w:r>
      <w:r>
        <w:t xml:space="preserve"> </w:t>
      </w:r>
    </w:p>
    <w:p w14:paraId="1CFC16A9" w14:textId="77777777" w:rsidR="009A2F24" w:rsidRPr="003459A8" w:rsidRDefault="009A2F24" w:rsidP="009A2F24">
      <w:pPr>
        <w:pStyle w:val="HeadHatzaotHok"/>
        <w:rPr>
          <w:sz w:val="26"/>
          <w:rtl/>
        </w:rPr>
      </w:pPr>
      <w:r w:rsidRPr="003459A8">
        <w:rPr>
          <w:rFonts w:hint="cs"/>
          <w:sz w:val="26"/>
          <w:rtl/>
        </w:rPr>
        <w:t>הצעת חוק סיוע לשדרות וליישובי הנגב המערבי (הוראת שעה) (תיקון – הארכת ההטבות במס לאזור קו עימות דרומי), התשע"ז</w:t>
      </w:r>
      <w:r w:rsidRPr="003459A8">
        <w:rPr>
          <w:rFonts w:hint="eastAsia"/>
          <w:sz w:val="26"/>
          <w:rtl/>
        </w:rPr>
        <w:t>–</w:t>
      </w:r>
      <w:r w:rsidRPr="003459A8">
        <w:rPr>
          <w:rFonts w:hint="cs"/>
          <w:sz w:val="26"/>
          <w:rtl/>
        </w:rPr>
        <w:t>2017</w:t>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9A2F24" w:rsidRPr="003459A8" w14:paraId="6D30D1AB" w14:textId="77777777" w:rsidTr="001C3D25">
        <w:trPr>
          <w:cantSplit/>
          <w:trHeight w:val="60"/>
        </w:trPr>
        <w:tc>
          <w:tcPr>
            <w:tcW w:w="1871" w:type="dxa"/>
          </w:tcPr>
          <w:p w14:paraId="0DFE12CF" w14:textId="17189B59" w:rsidR="009A2F24" w:rsidRPr="003459A8" w:rsidRDefault="009A2F24" w:rsidP="00A71EA2">
            <w:pPr>
              <w:pStyle w:val="TableSideHeading"/>
              <w:rPr>
                <w:sz w:val="26"/>
              </w:rPr>
            </w:pPr>
            <w:r w:rsidRPr="003459A8">
              <w:rPr>
                <w:rFonts w:hint="cs"/>
                <w:sz w:val="26"/>
                <w:rtl/>
              </w:rPr>
              <w:t xml:space="preserve">תיקון סעיף </w:t>
            </w:r>
            <w:r w:rsidR="00A71EA2">
              <w:rPr>
                <w:rFonts w:hint="cs"/>
                <w:sz w:val="26"/>
                <w:rtl/>
              </w:rPr>
              <w:t>7</w:t>
            </w:r>
          </w:p>
        </w:tc>
        <w:tc>
          <w:tcPr>
            <w:tcW w:w="624" w:type="dxa"/>
          </w:tcPr>
          <w:p w14:paraId="672458A0" w14:textId="77777777" w:rsidR="009A2F24" w:rsidRPr="003459A8" w:rsidRDefault="009A2F24" w:rsidP="001C3D25">
            <w:pPr>
              <w:pStyle w:val="TableText"/>
              <w:rPr>
                <w:sz w:val="26"/>
              </w:rPr>
            </w:pPr>
            <w:r w:rsidRPr="003459A8">
              <w:rPr>
                <w:rFonts w:hint="cs"/>
                <w:sz w:val="26"/>
                <w:rtl/>
              </w:rPr>
              <w:t>1.</w:t>
            </w:r>
          </w:p>
        </w:tc>
        <w:tc>
          <w:tcPr>
            <w:tcW w:w="7146" w:type="dxa"/>
          </w:tcPr>
          <w:p w14:paraId="7868F2A0" w14:textId="2FCADD0D" w:rsidR="009A2F24" w:rsidRPr="003459A8" w:rsidRDefault="009A2F24" w:rsidP="002D3BC0">
            <w:pPr>
              <w:pStyle w:val="TableBlock"/>
              <w:rPr>
                <w:sz w:val="26"/>
              </w:rPr>
            </w:pPr>
            <w:r w:rsidRPr="003459A8">
              <w:rPr>
                <w:rStyle w:val="default"/>
                <w:rFonts w:cs="David" w:hint="cs"/>
                <w:sz w:val="26"/>
                <w:rtl/>
              </w:rPr>
              <w:t>בחוק סיוע לשדרות וליישובי הנגב המערבי (הוראת שעה), התשס"ז</w:t>
            </w:r>
            <w:r w:rsidRPr="003459A8">
              <w:rPr>
                <w:rStyle w:val="default"/>
                <w:rFonts w:cs="David" w:hint="eastAsia"/>
                <w:sz w:val="26"/>
                <w:rtl/>
              </w:rPr>
              <w:t>–</w:t>
            </w:r>
            <w:r w:rsidRPr="003459A8">
              <w:rPr>
                <w:rStyle w:val="default"/>
                <w:rFonts w:cs="David" w:hint="cs"/>
                <w:sz w:val="26"/>
                <w:rtl/>
              </w:rPr>
              <w:t>2007</w:t>
            </w:r>
            <w:r w:rsidRPr="003459A8">
              <w:rPr>
                <w:rStyle w:val="a5"/>
                <w:rFonts w:ascii="Times New Roman" w:hAnsi="Times New Roman"/>
                <w:sz w:val="26"/>
                <w:rtl/>
              </w:rPr>
              <w:footnoteReference w:id="2"/>
            </w:r>
            <w:r w:rsidR="00A71EA2">
              <w:rPr>
                <w:rStyle w:val="default"/>
                <w:rFonts w:cs="David" w:hint="cs"/>
                <w:sz w:val="26"/>
                <w:rtl/>
              </w:rPr>
              <w:t xml:space="preserve">, </w:t>
            </w:r>
            <w:r w:rsidR="002D3BC0">
              <w:rPr>
                <w:rStyle w:val="default"/>
                <w:rFonts w:cs="David" w:hint="cs"/>
                <w:sz w:val="26"/>
                <w:rtl/>
              </w:rPr>
              <w:t>ב</w:t>
            </w:r>
            <w:r w:rsidR="00A71EA2" w:rsidRPr="003459A8">
              <w:rPr>
                <w:rStyle w:val="default"/>
                <w:rFonts w:cs="David" w:hint="cs"/>
                <w:sz w:val="26"/>
                <w:rtl/>
              </w:rPr>
              <w:t>סעיף</w:t>
            </w:r>
            <w:r w:rsidR="002D3BC0">
              <w:rPr>
                <w:rStyle w:val="default"/>
                <w:rFonts w:cs="David" w:hint="cs"/>
                <w:sz w:val="26"/>
                <w:rtl/>
              </w:rPr>
              <w:t xml:space="preserve"> 7, </w:t>
            </w:r>
            <w:r w:rsidR="002D3BC0" w:rsidRPr="003459A8">
              <w:rPr>
                <w:rStyle w:val="default"/>
                <w:rFonts w:cs="David" w:hint="cs"/>
                <w:sz w:val="26"/>
                <w:rtl/>
              </w:rPr>
              <w:t>במקום</w:t>
            </w:r>
            <w:r w:rsidR="002D3BC0">
              <w:rPr>
                <w:rStyle w:val="default"/>
                <w:rFonts w:cs="David" w:hint="cs"/>
                <w:sz w:val="26"/>
                <w:rtl/>
              </w:rPr>
              <w:t xml:space="preserve"> סעיף קטן</w:t>
            </w:r>
            <w:r w:rsidR="002D3BC0" w:rsidRPr="003459A8">
              <w:rPr>
                <w:rStyle w:val="default"/>
                <w:rFonts w:cs="David" w:hint="cs"/>
                <w:sz w:val="26"/>
                <w:rtl/>
              </w:rPr>
              <w:t xml:space="preserve"> </w:t>
            </w:r>
            <w:r w:rsidR="00A71EA2" w:rsidRPr="003459A8">
              <w:rPr>
                <w:rStyle w:val="default"/>
                <w:rFonts w:cs="David" w:hint="cs"/>
                <w:sz w:val="26"/>
                <w:rtl/>
              </w:rPr>
              <w:t>(ו) יבוא:</w:t>
            </w:r>
          </w:p>
        </w:tc>
      </w:tr>
      <w:tr w:rsidR="009A2F24" w:rsidRPr="003459A8" w14:paraId="49CA23DF" w14:textId="77777777" w:rsidTr="001C3D25">
        <w:trPr>
          <w:cantSplit/>
          <w:trHeight w:val="60"/>
        </w:trPr>
        <w:tc>
          <w:tcPr>
            <w:tcW w:w="1871" w:type="dxa"/>
          </w:tcPr>
          <w:p w14:paraId="057BF216" w14:textId="77777777" w:rsidR="009A2F24" w:rsidRPr="003459A8" w:rsidRDefault="009A2F24" w:rsidP="001C3D25">
            <w:pPr>
              <w:pStyle w:val="TableSideHeading"/>
              <w:rPr>
                <w:sz w:val="26"/>
                <w:rtl/>
              </w:rPr>
            </w:pPr>
          </w:p>
        </w:tc>
        <w:tc>
          <w:tcPr>
            <w:tcW w:w="624" w:type="dxa"/>
          </w:tcPr>
          <w:p w14:paraId="7F02EB0A" w14:textId="77777777" w:rsidR="009A2F24" w:rsidRPr="003459A8" w:rsidRDefault="009A2F24" w:rsidP="001C3D25">
            <w:pPr>
              <w:pStyle w:val="TableText"/>
              <w:rPr>
                <w:sz w:val="26"/>
                <w:rtl/>
              </w:rPr>
            </w:pPr>
          </w:p>
        </w:tc>
        <w:tc>
          <w:tcPr>
            <w:tcW w:w="7146" w:type="dxa"/>
          </w:tcPr>
          <w:p w14:paraId="2DFFCF8D" w14:textId="34ABCAFD" w:rsidR="009A2F24" w:rsidRPr="003459A8" w:rsidRDefault="009A2F24" w:rsidP="00777D1A">
            <w:pPr>
              <w:pStyle w:val="TableBlock"/>
              <w:rPr>
                <w:rStyle w:val="default"/>
                <w:rFonts w:cs="David"/>
                <w:sz w:val="26"/>
                <w:rtl/>
              </w:rPr>
            </w:pPr>
            <w:r w:rsidRPr="003459A8">
              <w:rPr>
                <w:rStyle w:val="default"/>
                <w:rFonts w:cs="David" w:hint="cs"/>
                <w:sz w:val="26"/>
                <w:rtl/>
              </w:rPr>
              <w:t>"(ו)</w:t>
            </w:r>
            <w:r w:rsidRPr="003459A8">
              <w:rPr>
                <w:rStyle w:val="default"/>
                <w:rFonts w:cs="David"/>
                <w:sz w:val="26"/>
                <w:rtl/>
              </w:rPr>
              <w:tab/>
            </w:r>
            <w:r w:rsidRPr="003459A8">
              <w:rPr>
                <w:rStyle w:val="default"/>
                <w:rFonts w:cs="David" w:hint="cs"/>
                <w:sz w:val="26"/>
                <w:rtl/>
              </w:rPr>
              <w:t>פקודת מס הכנסה</w:t>
            </w:r>
            <w:r w:rsidRPr="003459A8">
              <w:rPr>
                <w:rStyle w:val="a5"/>
                <w:sz w:val="26"/>
                <w:rtl/>
              </w:rPr>
              <w:footnoteReference w:id="3"/>
            </w:r>
            <w:r w:rsidRPr="003459A8">
              <w:rPr>
                <w:rStyle w:val="default"/>
                <w:rFonts w:cs="David" w:hint="cs"/>
                <w:sz w:val="26"/>
                <w:rtl/>
              </w:rPr>
              <w:t xml:space="preserve"> </w:t>
            </w:r>
            <w:r w:rsidR="002D3BC0">
              <w:rPr>
                <w:rStyle w:val="default"/>
                <w:rFonts w:cs="David" w:hint="cs"/>
                <w:sz w:val="26"/>
                <w:rtl/>
              </w:rPr>
              <w:t xml:space="preserve">תיקרא </w:t>
            </w:r>
            <w:r w:rsidRPr="003459A8">
              <w:rPr>
                <w:rStyle w:val="default"/>
                <w:rFonts w:cs="David" w:hint="cs"/>
                <w:sz w:val="26"/>
                <w:rtl/>
              </w:rPr>
              <w:t>בשנות הכספים 2017 עד 2021 כך שבסעיף 11, אחרי סעיף קטן (ב) יבוא:</w:t>
            </w:r>
          </w:p>
        </w:tc>
      </w:tr>
      <w:tr w:rsidR="009A2F24" w:rsidRPr="003459A8" w14:paraId="7B7CCF72" w14:textId="77777777" w:rsidTr="001C3D25">
        <w:trPr>
          <w:cantSplit/>
          <w:trHeight w:val="60"/>
        </w:trPr>
        <w:tc>
          <w:tcPr>
            <w:tcW w:w="1871" w:type="dxa"/>
          </w:tcPr>
          <w:p w14:paraId="6ACEFF12" w14:textId="77777777" w:rsidR="009A2F24" w:rsidRPr="003459A8" w:rsidRDefault="009A2F24" w:rsidP="001C3D25">
            <w:pPr>
              <w:pStyle w:val="TableSideHeading"/>
              <w:rPr>
                <w:sz w:val="26"/>
                <w:rtl/>
              </w:rPr>
            </w:pPr>
          </w:p>
        </w:tc>
        <w:tc>
          <w:tcPr>
            <w:tcW w:w="624" w:type="dxa"/>
          </w:tcPr>
          <w:p w14:paraId="221C464F" w14:textId="77777777" w:rsidR="009A2F24" w:rsidRPr="003459A8" w:rsidRDefault="009A2F24" w:rsidP="001C3D25">
            <w:pPr>
              <w:pStyle w:val="TableText"/>
              <w:rPr>
                <w:sz w:val="26"/>
                <w:rtl/>
              </w:rPr>
            </w:pPr>
          </w:p>
        </w:tc>
        <w:tc>
          <w:tcPr>
            <w:tcW w:w="7146" w:type="dxa"/>
          </w:tcPr>
          <w:p w14:paraId="31C2066A" w14:textId="3E132033" w:rsidR="009A2F24" w:rsidRPr="003459A8" w:rsidRDefault="009A2F24" w:rsidP="002D3BC0">
            <w:pPr>
              <w:pStyle w:val="TableBlock"/>
              <w:rPr>
                <w:rStyle w:val="default"/>
                <w:rFonts w:cs="David"/>
                <w:sz w:val="26"/>
                <w:rtl/>
              </w:rPr>
            </w:pPr>
            <w:r w:rsidRPr="003459A8">
              <w:rPr>
                <w:rStyle w:val="default"/>
                <w:rFonts w:cs="David" w:hint="cs"/>
                <w:sz w:val="26"/>
                <w:rtl/>
              </w:rPr>
              <w:t>(ב1)</w:t>
            </w:r>
            <w:r w:rsidRPr="003459A8">
              <w:rPr>
                <w:rStyle w:val="default"/>
                <w:rFonts w:cs="David"/>
                <w:sz w:val="26"/>
                <w:rtl/>
              </w:rPr>
              <w:tab/>
            </w:r>
            <w:r w:rsidRPr="003459A8">
              <w:rPr>
                <w:rStyle w:val="default"/>
                <w:rFonts w:cs="David" w:hint="cs"/>
                <w:sz w:val="26"/>
                <w:rtl/>
              </w:rPr>
              <w:t xml:space="preserve">מי שהיה במשך </w:t>
            </w:r>
            <w:r w:rsidRPr="003459A8">
              <w:rPr>
                <w:rStyle w:val="default"/>
                <w:rFonts w:cs="David"/>
                <w:sz w:val="26"/>
                <w:rtl/>
              </w:rPr>
              <w:t>כל שנת המס תושב אזור קו עימות דרומי, זכאי באותה שנה לזיכוי ממס בשיעור של 20% מהכנסתו החייבת מיגיעה אישית עד לתקרת הכנסה של 241,080 שקלים חדשים, ובלבד שאם הוא זכאי לזיכוי כאמור וכן לזיכוי אחר לפי הוראות סעיף זה, הברירה בידו לבחור באחד מהם; לעניין זה, "אזור קו עימות דרומי" – כהגדרתו לפי חוק סיוע לשדרות וליישובי הנגב המערבי (הוראת שעה), התשס"ז</w:t>
            </w:r>
            <w:r w:rsidR="002D3BC0">
              <w:rPr>
                <w:rStyle w:val="default"/>
                <w:rFonts w:cs="David" w:hint="cs"/>
                <w:sz w:val="26"/>
                <w:rtl/>
              </w:rPr>
              <w:t>–</w:t>
            </w:r>
            <w:r w:rsidRPr="003459A8">
              <w:rPr>
                <w:rStyle w:val="default"/>
                <w:rFonts w:cs="David"/>
                <w:sz w:val="26"/>
                <w:rtl/>
              </w:rPr>
              <w:t>2007</w:t>
            </w:r>
            <w:r w:rsidRPr="003459A8">
              <w:rPr>
                <w:rStyle w:val="default"/>
                <w:rFonts w:cs="David" w:hint="cs"/>
                <w:sz w:val="26"/>
                <w:rtl/>
              </w:rPr>
              <w:t xml:space="preserve">; </w:t>
            </w:r>
            <w:r w:rsidR="002D3BC0">
              <w:rPr>
                <w:rFonts w:hint="cs"/>
                <w:sz w:val="26"/>
                <w:rtl/>
              </w:rPr>
              <w:t xml:space="preserve">שוכנע שר האוצר, </w:t>
            </w:r>
            <w:r w:rsidRPr="003459A8">
              <w:rPr>
                <w:rFonts w:hint="cs"/>
                <w:sz w:val="26"/>
                <w:rtl/>
              </w:rPr>
              <w:t>באישור ועדת הכספים של הכנסת, כי פסק המצב הביטחוני ששרר באזור קו עימות דרומי בשל סמיכותו לגדר המערכת המקיפה את רצועת עזה ואשר הצדיק את הזיכוי ממס כאמור, רשאי הוא לקבוע כי לגבי אותה שנת כספים לא יחולו הוראות סעיף קטן זה."</w:t>
            </w:r>
          </w:p>
        </w:tc>
      </w:tr>
    </w:tbl>
    <w:p w14:paraId="7E2F386E" w14:textId="77777777" w:rsidR="009A2F24" w:rsidRPr="003459A8" w:rsidRDefault="009A2F24" w:rsidP="009A2F24">
      <w:pPr>
        <w:pStyle w:val="HeadDivreiHesber"/>
        <w:rPr>
          <w:sz w:val="26"/>
          <w:rtl/>
        </w:rPr>
      </w:pPr>
      <w:r w:rsidRPr="003459A8">
        <w:rPr>
          <w:rFonts w:hint="cs"/>
          <w:sz w:val="26"/>
          <w:rtl/>
        </w:rPr>
        <w:t>דברי הסבר</w:t>
      </w:r>
    </w:p>
    <w:p w14:paraId="7494C314" w14:textId="77777777" w:rsidR="009A2F24" w:rsidRPr="003459A8" w:rsidRDefault="009A2F24" w:rsidP="009A2F24">
      <w:pPr>
        <w:pStyle w:val="Hesber"/>
        <w:rPr>
          <w:sz w:val="26"/>
          <w:rtl/>
        </w:rPr>
      </w:pPr>
    </w:p>
    <w:p w14:paraId="0A0CBE7F" w14:textId="2925543C" w:rsidR="009A2F24" w:rsidRPr="002D3BC0" w:rsidRDefault="009A2F24" w:rsidP="002D3BC0">
      <w:pPr>
        <w:pStyle w:val="Hesber"/>
        <w:rPr>
          <w:rtl/>
        </w:rPr>
      </w:pPr>
      <w:r w:rsidRPr="002D3BC0">
        <w:rPr>
          <w:rtl/>
        </w:rPr>
        <w:t xml:space="preserve">מאז שנת 2000 </w:t>
      </w:r>
      <w:r w:rsidRPr="002D3BC0">
        <w:rPr>
          <w:rFonts w:hint="cs"/>
          <w:rtl/>
        </w:rPr>
        <w:t>ה</w:t>
      </w:r>
      <w:r w:rsidRPr="002D3BC0">
        <w:rPr>
          <w:rtl/>
        </w:rPr>
        <w:t xml:space="preserve">מצב הביטחוני באזור שדרות וביישובי הנגב המערבי </w:t>
      </w:r>
      <w:r w:rsidRPr="002D3BC0">
        <w:rPr>
          <w:rFonts w:hint="cs"/>
          <w:rtl/>
        </w:rPr>
        <w:t>ה</w:t>
      </w:r>
      <w:r w:rsidR="002D3BC0" w:rsidRPr="002D3BC0">
        <w:rPr>
          <w:rFonts w:hint="cs"/>
          <w:rtl/>
        </w:rPr>
        <w:t>י</w:t>
      </w:r>
      <w:r w:rsidRPr="002D3BC0">
        <w:rPr>
          <w:rFonts w:hint="cs"/>
          <w:rtl/>
        </w:rPr>
        <w:t xml:space="preserve">דרדר </w:t>
      </w:r>
      <w:r w:rsidRPr="002D3BC0">
        <w:rPr>
          <w:rtl/>
        </w:rPr>
        <w:t>בשל ספיגת ש</w:t>
      </w:r>
      <w:r w:rsidRPr="002D3BC0">
        <w:rPr>
          <w:rFonts w:hint="cs"/>
          <w:rtl/>
        </w:rPr>
        <w:t>יגורים</w:t>
      </w:r>
      <w:r w:rsidRPr="002D3BC0">
        <w:rPr>
          <w:rtl/>
        </w:rPr>
        <w:t xml:space="preserve"> מתחומי רצועת עזה. </w:t>
      </w:r>
    </w:p>
    <w:p w14:paraId="25F4B4BA" w14:textId="60FE7746" w:rsidR="009A2F24" w:rsidRPr="002D3BC0" w:rsidRDefault="002D3BC0" w:rsidP="002D3BC0">
      <w:pPr>
        <w:pStyle w:val="Hesber"/>
        <w:rPr>
          <w:rtl/>
        </w:rPr>
      </w:pPr>
      <w:r w:rsidRPr="002D3BC0">
        <w:rPr>
          <w:rFonts w:hint="cs"/>
          <w:rtl/>
        </w:rPr>
        <w:t xml:space="preserve">בשנת 2007 נחקק חוק </w:t>
      </w:r>
      <w:r w:rsidR="009A2F24" w:rsidRPr="002D3BC0">
        <w:rPr>
          <w:rFonts w:hint="cs"/>
          <w:rtl/>
        </w:rPr>
        <w:t>סי</w:t>
      </w:r>
      <w:r w:rsidRPr="002D3BC0">
        <w:rPr>
          <w:rFonts w:hint="cs"/>
          <w:rtl/>
        </w:rPr>
        <w:t xml:space="preserve">וע לשדרות וליישובי הנגב המערבי </w:t>
      </w:r>
      <w:r w:rsidR="00FA20B0">
        <w:rPr>
          <w:rFonts w:hint="cs"/>
          <w:rtl/>
        </w:rPr>
        <w:t>(</w:t>
      </w:r>
      <w:r w:rsidR="009A2F24" w:rsidRPr="002D3BC0">
        <w:rPr>
          <w:rFonts w:hint="cs"/>
          <w:rtl/>
        </w:rPr>
        <w:t>הוראת שעה</w:t>
      </w:r>
      <w:r w:rsidR="00FA20B0">
        <w:rPr>
          <w:rFonts w:hint="cs"/>
          <w:rtl/>
        </w:rPr>
        <w:t>)</w:t>
      </w:r>
      <w:bookmarkStart w:id="7" w:name="_GoBack"/>
      <w:bookmarkEnd w:id="7"/>
      <w:r w:rsidR="009A2F24" w:rsidRPr="002D3BC0">
        <w:rPr>
          <w:rFonts w:hint="cs"/>
          <w:rtl/>
        </w:rPr>
        <w:t>,</w:t>
      </w:r>
      <w:r w:rsidRPr="002D3BC0">
        <w:rPr>
          <w:rFonts w:hint="cs"/>
          <w:rtl/>
        </w:rPr>
        <w:t xml:space="preserve"> התשס"ז</w:t>
      </w:r>
      <w:r w:rsidRPr="002D3BC0">
        <w:rPr>
          <w:rFonts w:hint="eastAsia"/>
          <w:rtl/>
        </w:rPr>
        <w:t>–</w:t>
      </w:r>
      <w:r w:rsidRPr="002D3BC0">
        <w:rPr>
          <w:rFonts w:hint="cs"/>
          <w:rtl/>
        </w:rPr>
        <w:t>2007,</w:t>
      </w:r>
      <w:r w:rsidR="009A2F24" w:rsidRPr="002D3BC0">
        <w:rPr>
          <w:rFonts w:hint="cs"/>
          <w:rtl/>
        </w:rPr>
        <w:t xml:space="preserve"> ובו נקבע כי שר האוצר, רשאי, באישור ועדת הכספים של הכנסת</w:t>
      </w:r>
      <w:r w:rsidRPr="002D3BC0">
        <w:rPr>
          <w:rFonts w:hint="cs"/>
          <w:rtl/>
        </w:rPr>
        <w:t>,</w:t>
      </w:r>
      <w:r w:rsidR="009A2F24" w:rsidRPr="002D3BC0">
        <w:rPr>
          <w:rFonts w:hint="cs"/>
          <w:rtl/>
        </w:rPr>
        <w:t xml:space="preserve"> להאריך את הוראת השעה בתקופות נוספות שלא יעלו על שנתיים כל אחת. מאז הוארכה הוראת השעה מספר פעמים לאור הימשכות</w:t>
      </w:r>
      <w:r w:rsidR="009A2F24" w:rsidRPr="002D3BC0">
        <w:rPr>
          <w:rFonts w:hint="eastAsia"/>
          <w:rtl/>
        </w:rPr>
        <w:t>ו</w:t>
      </w:r>
      <w:r w:rsidR="009A2F24" w:rsidRPr="002D3BC0">
        <w:rPr>
          <w:rFonts w:hint="cs"/>
          <w:rtl/>
        </w:rPr>
        <w:t xml:space="preserve"> של המצב הביטחוני באזור.</w:t>
      </w:r>
    </w:p>
    <w:p w14:paraId="37C60BF4" w14:textId="4F9072E4" w:rsidR="009A2F24" w:rsidRPr="002D3BC0" w:rsidRDefault="009A2F24" w:rsidP="002D3BC0">
      <w:pPr>
        <w:pStyle w:val="Hesber"/>
        <w:rPr>
          <w:rtl/>
        </w:rPr>
      </w:pPr>
      <w:r w:rsidRPr="002D3BC0">
        <w:rPr>
          <w:rFonts w:hint="cs"/>
          <w:rtl/>
        </w:rPr>
        <w:t xml:space="preserve">בהצעת חוק זו מוצע להאריך את הוראת השעה </w:t>
      </w:r>
      <w:r w:rsidR="002D3BC0" w:rsidRPr="002D3BC0">
        <w:rPr>
          <w:rFonts w:hint="cs"/>
          <w:rtl/>
        </w:rPr>
        <w:t xml:space="preserve">האמורה </w:t>
      </w:r>
      <w:r w:rsidRPr="002D3BC0">
        <w:rPr>
          <w:rFonts w:hint="cs"/>
          <w:rtl/>
        </w:rPr>
        <w:t>עד לסוף שנת 2021, מעבר להוראה שנקבעה בתקנות סיוע לשדרות וליישובי הנגב המערבי (הוראת שעה), התשע"ה</w:t>
      </w:r>
      <w:r w:rsidRPr="002D3BC0">
        <w:rPr>
          <w:rFonts w:hint="eastAsia"/>
          <w:rtl/>
        </w:rPr>
        <w:t>–</w:t>
      </w:r>
      <w:r w:rsidRPr="002D3BC0">
        <w:rPr>
          <w:rFonts w:hint="cs"/>
          <w:rtl/>
        </w:rPr>
        <w:t>2015.</w:t>
      </w:r>
    </w:p>
    <w:p w14:paraId="43C554F3" w14:textId="77777777" w:rsidR="009A2F24" w:rsidRPr="002D3BC0" w:rsidRDefault="009A2F24" w:rsidP="002D3BC0">
      <w:pPr>
        <w:pStyle w:val="Hesber"/>
        <w:rPr>
          <w:rtl/>
        </w:rPr>
      </w:pPr>
      <w:r w:rsidRPr="002D3BC0">
        <w:rPr>
          <w:rFonts w:hint="cs"/>
          <w:rtl/>
        </w:rPr>
        <w:t xml:space="preserve">תיקון זה יאפשר לרשויות המקומיות ולתושבים להמשיך לחיות בשדרות וביישובי הנגב המערבי, תוך ידיעה שהוראת השעה חלה לתקופה ארוכה וידועה מראש עד לשיפור המציאות הביטחונית הקיימת באזור זה. </w:t>
      </w:r>
    </w:p>
    <w:p w14:paraId="0458C8CB" w14:textId="4F8DD3CE" w:rsidR="009A2F24" w:rsidRPr="002D3BC0" w:rsidRDefault="009A2F24" w:rsidP="002D3BC0">
      <w:pPr>
        <w:pStyle w:val="Hesber"/>
        <w:rPr>
          <w:rtl/>
        </w:rPr>
      </w:pPr>
      <w:r w:rsidRPr="002D3BC0">
        <w:rPr>
          <w:rFonts w:hint="cs"/>
          <w:rtl/>
        </w:rPr>
        <w:t>כמו כן, למשך תקופת הוראת השעה, סעיף ב(1) לפקודת מס הכנסה, קובע כי תושב קו עימות דרומי יהיה זכאי לזיכוי ממס בשיעור של 20% מהכנסתו החייבת מיגיעה אישית עד לתקרת הכנסה של 241,080</w:t>
      </w:r>
      <w:r w:rsidR="002D3BC0" w:rsidRPr="002D3BC0">
        <w:rPr>
          <w:rFonts w:hint="cs"/>
          <w:rtl/>
        </w:rPr>
        <w:t xml:space="preserve"> שקלים חדשים</w:t>
      </w:r>
      <w:r w:rsidRPr="002D3BC0">
        <w:rPr>
          <w:rFonts w:hint="cs"/>
          <w:rtl/>
        </w:rPr>
        <w:t xml:space="preserve">.  במידה שהוא זכאי לזיכוי אחר לפי הוראות הסעיף </w:t>
      </w:r>
      <w:r w:rsidRPr="002D3BC0">
        <w:rPr>
          <w:rtl/>
        </w:rPr>
        <w:t>–</w:t>
      </w:r>
      <w:r w:rsidRPr="002D3BC0">
        <w:rPr>
          <w:rFonts w:hint="cs"/>
          <w:rtl/>
        </w:rPr>
        <w:t xml:space="preserve"> עליו לבחור באחת מההטבות, לשם מניעת כפל הטבות.</w:t>
      </w:r>
    </w:p>
    <w:p w14:paraId="5D1BD768" w14:textId="77777777" w:rsidR="009A2F24" w:rsidRPr="003459A8" w:rsidRDefault="009A2F24" w:rsidP="009A2F24">
      <w:pPr>
        <w:spacing w:before="0" w:line="240" w:lineRule="auto"/>
        <w:ind w:left="340" w:firstLine="0"/>
        <w:rPr>
          <w:rFonts w:cs="David"/>
          <w:sz w:val="26"/>
          <w:szCs w:val="26"/>
          <w:rtl/>
        </w:rPr>
      </w:pPr>
    </w:p>
    <w:p w14:paraId="7F6961AE" w14:textId="77777777" w:rsidR="00E13C27" w:rsidRPr="003459A8" w:rsidRDefault="00E13C27" w:rsidP="0021633A">
      <w:pPr>
        <w:pStyle w:val="HeadDivreiHesber"/>
        <w:spacing w:before="0" w:after="0"/>
        <w:rPr>
          <w:sz w:val="26"/>
          <w:rtl/>
        </w:rPr>
      </w:pPr>
    </w:p>
    <w:p w14:paraId="4A085B87" w14:textId="77777777" w:rsidR="002D3BC0" w:rsidRPr="002D3BC0" w:rsidRDefault="002D3BC0" w:rsidP="002D3BC0">
      <w:pPr>
        <w:pStyle w:val="Hesber"/>
        <w:rPr>
          <w:sz w:val="26"/>
          <w:rtl/>
        </w:rPr>
      </w:pPr>
      <w:r w:rsidRPr="002D3BC0">
        <w:rPr>
          <w:sz w:val="26"/>
          <w:rtl/>
        </w:rPr>
        <w:t>---------------------------------</w:t>
      </w:r>
    </w:p>
    <w:p w14:paraId="3DAC2322" w14:textId="77777777" w:rsidR="002D3BC0" w:rsidRPr="002D3BC0" w:rsidRDefault="002D3BC0" w:rsidP="002D3BC0">
      <w:pPr>
        <w:pStyle w:val="Hesber"/>
        <w:rPr>
          <w:sz w:val="26"/>
          <w:rtl/>
        </w:rPr>
      </w:pPr>
      <w:r w:rsidRPr="002D3BC0">
        <w:rPr>
          <w:sz w:val="26"/>
          <w:rtl/>
        </w:rPr>
        <w:t>הוגשה ליו"ר הכנסת והסגנים</w:t>
      </w:r>
    </w:p>
    <w:p w14:paraId="0FCCA812" w14:textId="77777777" w:rsidR="002D3BC0" w:rsidRPr="002D3BC0" w:rsidRDefault="002D3BC0" w:rsidP="002D3BC0">
      <w:pPr>
        <w:pStyle w:val="Hesber"/>
        <w:rPr>
          <w:sz w:val="26"/>
          <w:rtl/>
        </w:rPr>
      </w:pPr>
      <w:r w:rsidRPr="002D3BC0">
        <w:rPr>
          <w:sz w:val="26"/>
          <w:rtl/>
        </w:rPr>
        <w:t>והונחה על שולחן הכנסת ביום</w:t>
      </w:r>
    </w:p>
    <w:p w14:paraId="3958706A" w14:textId="77777777" w:rsidR="002D3BC0" w:rsidRPr="002D3BC0" w:rsidRDefault="002D3BC0" w:rsidP="002D3BC0">
      <w:pPr>
        <w:pStyle w:val="Hesber"/>
        <w:rPr>
          <w:sz w:val="26"/>
          <w:rtl/>
        </w:rPr>
      </w:pPr>
      <w:r w:rsidRPr="002D3BC0">
        <w:rPr>
          <w:sz w:val="26"/>
          <w:rtl/>
        </w:rPr>
        <w:t>כ"ד בשבט התשע"ז - 20.2.17</w:t>
      </w:r>
    </w:p>
    <w:p w14:paraId="7F6961CB" w14:textId="77777777" w:rsidR="00E13C27" w:rsidRPr="003459A8" w:rsidRDefault="00E13C27" w:rsidP="00E13C27">
      <w:pPr>
        <w:pStyle w:val="Hesber"/>
        <w:rPr>
          <w:sz w:val="26"/>
          <w:rtl/>
        </w:rPr>
      </w:pPr>
    </w:p>
    <w:sectPr w:rsidR="00E13C27" w:rsidRPr="003459A8"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14:paraId="7F6961D6" w14:textId="77777777" w:rsidR="002C3041" w:rsidRDefault="002C304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sidR="00FA20B0">
      <w:rPr>
        <w:rStyle w:val="aa"/>
        <w:noProof/>
        <w:rtl/>
      </w:rPr>
      <w:t>2</w:t>
    </w:r>
    <w:r>
      <w:rPr>
        <w:rStyle w:val="aa"/>
        <w:rtl/>
      </w:rPr>
      <w:fldChar w:fldCharType="end"/>
    </w:r>
  </w:p>
  <w:p w14:paraId="7F6961D8" w14:textId="77777777" w:rsidR="002C3041" w:rsidRDefault="002C304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 w:id="2">
    <w:p w14:paraId="10238B73" w14:textId="77777777" w:rsidR="009A2F24" w:rsidRDefault="009A2F24" w:rsidP="009A2F24">
      <w:pPr>
        <w:pStyle w:val="a4"/>
      </w:pPr>
      <w:r>
        <w:rPr>
          <w:rStyle w:val="a5"/>
        </w:rPr>
        <w:footnoteRef/>
      </w:r>
      <w:r>
        <w:rPr>
          <w:rtl/>
        </w:rPr>
        <w:t xml:space="preserve"> </w:t>
      </w:r>
      <w:r>
        <w:rPr>
          <w:rFonts w:hint="cs"/>
          <w:rtl/>
        </w:rPr>
        <w:t>ס"ח התשס"ז, עמ' 459.</w:t>
      </w:r>
    </w:p>
  </w:footnote>
  <w:footnote w:id="3">
    <w:p w14:paraId="3EA96603" w14:textId="77777777" w:rsidR="009A2F24" w:rsidRDefault="009A2F24" w:rsidP="009A2F24">
      <w:pPr>
        <w:pStyle w:val="a4"/>
        <w:rPr>
          <w:rtl/>
        </w:rPr>
      </w:pPr>
      <w:r>
        <w:rPr>
          <w:rStyle w:val="a5"/>
        </w:rPr>
        <w:footnoteRef/>
      </w:r>
      <w:r>
        <w:rPr>
          <w:rtl/>
        </w:rPr>
        <w:t xml:space="preserve"> </w:t>
      </w:r>
      <w:r>
        <w:rPr>
          <w:rFonts w:hint="cs"/>
          <w:rtl/>
        </w:rPr>
        <w:t>דיני מדינת ישראל נוסח חדש 6, עמ' 120.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D3BC0"/>
    <w:rsid w:val="002F1D80"/>
    <w:rsid w:val="003232A2"/>
    <w:rsid w:val="00325C14"/>
    <w:rsid w:val="003459A8"/>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53C9D"/>
    <w:rsid w:val="00562A66"/>
    <w:rsid w:val="005B064E"/>
    <w:rsid w:val="005D51AE"/>
    <w:rsid w:val="0062674B"/>
    <w:rsid w:val="006363B2"/>
    <w:rsid w:val="00644940"/>
    <w:rsid w:val="006818A9"/>
    <w:rsid w:val="006A2D81"/>
    <w:rsid w:val="006C1D0D"/>
    <w:rsid w:val="0070601E"/>
    <w:rsid w:val="00712C72"/>
    <w:rsid w:val="00735FE9"/>
    <w:rsid w:val="00763CAA"/>
    <w:rsid w:val="00765F66"/>
    <w:rsid w:val="00777D1A"/>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2F24"/>
    <w:rsid w:val="009A7257"/>
    <w:rsid w:val="009D6E0A"/>
    <w:rsid w:val="009E1E33"/>
    <w:rsid w:val="00A14672"/>
    <w:rsid w:val="00A26BD6"/>
    <w:rsid w:val="00A443CF"/>
    <w:rsid w:val="00A6611D"/>
    <w:rsid w:val="00A71EA2"/>
    <w:rsid w:val="00A82CB7"/>
    <w:rsid w:val="00A942C1"/>
    <w:rsid w:val="00AA2F03"/>
    <w:rsid w:val="00AC36F7"/>
    <w:rsid w:val="00AC63A4"/>
    <w:rsid w:val="00AD239E"/>
    <w:rsid w:val="00B10265"/>
    <w:rsid w:val="00B16A99"/>
    <w:rsid w:val="00B21211"/>
    <w:rsid w:val="00B35784"/>
    <w:rsid w:val="00B733A7"/>
    <w:rsid w:val="00B75C91"/>
    <w:rsid w:val="00B975AD"/>
    <w:rsid w:val="00BC45FB"/>
    <w:rsid w:val="00BF148D"/>
    <w:rsid w:val="00C23B1A"/>
    <w:rsid w:val="00C310EB"/>
    <w:rsid w:val="00C9176A"/>
    <w:rsid w:val="00CF1AA2"/>
    <w:rsid w:val="00D17774"/>
    <w:rsid w:val="00D472FC"/>
    <w:rsid w:val="00D63620"/>
    <w:rsid w:val="00D8410D"/>
    <w:rsid w:val="00D867D7"/>
    <w:rsid w:val="00DB7060"/>
    <w:rsid w:val="00DE3153"/>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628D6"/>
    <w:rsid w:val="00F67051"/>
    <w:rsid w:val="00F86A1E"/>
    <w:rsid w:val="00FA20B0"/>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E7CC2A52-7C30-40EF-A06A-B08F5CE6E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6">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7">
    <w:name w:val="header"/>
    <w:basedOn w:val="a"/>
    <w:rsid w:val="00B975AD"/>
    <w:pPr>
      <w:tabs>
        <w:tab w:val="center" w:pos="4153"/>
        <w:tab w:val="right" w:pos="8306"/>
      </w:tabs>
    </w:pPr>
  </w:style>
  <w:style w:type="paragraph" w:styleId="a8">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 w:type="character" w:customStyle="1" w:styleId="default">
    <w:name w:val="default"/>
    <w:basedOn w:val="a0"/>
    <w:rsid w:val="009A2F24"/>
    <w:rPr>
      <w:rFonts w:ascii="Times New Roman" w:hAnsi="Times New Roman" w:cs="Times New Roman"/>
      <w:sz w:val="20"/>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4AFE3-9455-419C-8851-785A55F44517}">
  <ds:schemaRefs>
    <ds:schemaRef ds:uri="http://schemas.microsoft.com/office/infopath/2007/PartnerControls"/>
    <ds:schemaRef ds:uri="http://www.w3.org/XML/1998/namespace"/>
    <ds:schemaRef ds:uri="http://purl.org/dc/terms/"/>
    <ds:schemaRef ds:uri="http://schemas.microsoft.com/office/2006/documentManagement/types"/>
    <ds:schemaRef ds:uri="http://schemas.openxmlformats.org/package/2006/metadata/core-properties"/>
    <ds:schemaRef ds:uri="http://schemas.microsoft.com/office/2006/metadata/properties"/>
    <ds:schemaRef ds:uri="http://purl.org/dc/dcmitype/"/>
    <ds:schemaRef ds:uri="http://purl.org/dc/elements/1.1/"/>
  </ds:schemaRefs>
</ds:datastoreItem>
</file>

<file path=customXml/itemProps2.xml><?xml version="1.0" encoding="utf-8"?>
<ds:datastoreItem xmlns:ds="http://schemas.openxmlformats.org/officeDocument/2006/customXml" ds:itemID="{51BECAC9-3613-45E4-80CE-CE0E3DA43970}"/>
</file>

<file path=customXml/itemProps3.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4.xml><?xml version="1.0" encoding="utf-8"?>
<ds:datastoreItem xmlns:ds="http://schemas.openxmlformats.org/officeDocument/2006/customXml" ds:itemID="{F39C113E-8204-4F52-8CF3-F2A1794103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408</Words>
  <Characters>2043</Characters>
  <Application>Microsoft Office Word</Application>
  <DocSecurity>0</DocSecurity>
  <Lines>17</Lines>
  <Paragraphs>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2447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לילך יעיש</cp:lastModifiedBy>
  <cp:revision>9</cp:revision>
  <cp:lastPrinted>2017-02-16T10:51:00Z</cp:lastPrinted>
  <dcterms:created xsi:type="dcterms:W3CDTF">2015-04-20T09:58:00Z</dcterms:created>
  <dcterms:modified xsi:type="dcterms:W3CDTF">2017-02-16T10:51:00Z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2019193</vt:r8>
  </property>
</Properties>
</file>