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2014259</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יוליה מלינובסקי</w:t>
      </w:r>
      <w:r>
        <w:br/>
      </w:r>
      <w:r>
        <w:rPr>
          <w:rFonts w:hint="cs"/>
          <w:b/>
          <w:bCs/>
          <w:rtl/>
        </w:rPr>
        <w:t xml:space="preserve"> </w:t>
      </w:r>
      <w:r>
        <w:tab/>
      </w:r>
      <w:r>
        <w:tab/>
      </w:r>
      <w:r>
        <w:tab/>
      </w:r>
      <w:r>
        <w:tab/>
      </w:r>
      <w:r>
        <w:rPr>
          <w:rFonts w:hint="cs"/>
          <w:b/>
          <w:bCs/>
          <w:rtl/>
        </w:rPr>
        <w:t>רוברט אילטוב</w:t>
      </w:r>
      <w:r>
        <w:br/>
      </w:r>
      <w:r>
        <w:rPr>
          <w:rFonts w:hint="cs"/>
          <w:b/>
          <w:bCs/>
          <w:rtl/>
        </w:rPr>
        <w:t xml:space="preserve"> </w:t>
      </w:r>
      <w:r>
        <w:tab/>
      </w:r>
      <w:r>
        <w:tab/>
      </w:r>
      <w:r>
        <w:tab/>
      </w:r>
      <w:r>
        <w:tab/>
      </w:r>
      <w:r>
        <w:rPr>
          <w:rFonts w:hint="cs"/>
          <w:b/>
          <w:bCs/>
          <w:rtl/>
        </w:rPr>
        <w:t>עודד פורר</w:t>
      </w:r>
      <w:r>
        <w:br/>
      </w:r>
      <w:r>
        <w:rPr>
          <w:rFonts w:hint="cs"/>
          <w:b/>
          <w:bCs/>
          <w:rtl/>
        </w:rPr>
        <w:t xml:space="preserve"> </w:t>
      </w:r>
      <w:r>
        <w:tab/>
      </w:r>
      <w:r>
        <w:tab/>
      </w:r>
      <w:r>
        <w:tab/>
      </w:r>
      <w:r>
        <w:tab/>
      </w:r>
      <w:r>
        <w:rPr>
          <w:rFonts w:hint="cs"/>
          <w:b/>
          <w:bCs/>
          <w:rtl/>
        </w:rPr>
        <w:t>יעקב מרגי</w:t>
      </w:r>
      <w:r>
        <w:br/>
      </w:r>
      <w:r>
        <w:rPr>
          <w:rFonts w:hint="cs"/>
          <w:b/>
          <w:bCs/>
          <w:rtl/>
        </w:rPr>
        <w:t xml:space="preserve"> </w:t>
      </w:r>
      <w:r>
        <w:tab/>
      </w:r>
      <w:r>
        <w:tab/>
      </w:r>
      <w:r>
        <w:tab/>
      </w:r>
      <w:r>
        <w:tab/>
      </w:r>
      <w:r>
        <w:rPr>
          <w:rFonts w:hint="cs"/>
          <w:b/>
          <w:bCs/>
          <w:rtl/>
        </w:rPr>
        <w:t>יהודה גליק</w:t>
      </w:r>
      <w:r>
        <w:br/>
      </w:r>
      <w:r>
        <w:rPr>
          <w:rFonts w:hint="cs"/>
          <w:b/>
          <w:bCs/>
          <w:rtl/>
        </w:rPr>
        <w:t xml:space="preserve"> </w:t>
      </w:r>
      <w:r>
        <w:tab/>
      </w:r>
      <w:r>
        <w:tab/>
      </w:r>
      <w:r>
        <w:tab/>
      </w:r>
      <w:r>
        <w:tab/>
      </w:r>
      <w:r>
        <w:rPr>
          <w:rFonts w:hint="cs"/>
          <w:b/>
          <w:bCs/>
          <w:rtl/>
        </w:rPr>
        <w:t>יעקב פרי</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יוסי יונה</w:t>
      </w:r>
      <w:r>
        <w:br/>
      </w:r>
      <w:r>
        <w:rPr>
          <w:rFonts w:hint="cs"/>
          <w:b/>
          <w:bCs/>
          <w:rtl/>
        </w:rPr>
        <w:t xml:space="preserve"> </w:t>
      </w:r>
      <w:r>
        <w:tab/>
      </w:r>
      <w:r>
        <w:tab/>
      </w:r>
      <w:r>
        <w:tab/>
      </w:r>
      <w:r>
        <w:tab/>
      </w:r>
      <w:r>
        <w:rPr>
          <w:rFonts w:hint="cs"/>
          <w:b/>
          <w:bCs/>
          <w:rtl/>
        </w:rPr>
        <w:t>מרדכי יוגב</w:t>
      </w:r>
      <w:r>
        <w:br/>
      </w:r>
      <w:r>
        <w:rPr>
          <w:rFonts w:hint="cs"/>
          <w:b/>
          <w:bCs/>
          <w:rtl/>
        </w:rPr>
        <w:t xml:space="preserve"> </w:t>
      </w:r>
      <w:r>
        <w:tab/>
      </w:r>
      <w:r>
        <w:tab/>
      </w:r>
      <w:r>
        <w:tab/>
      </w:r>
      <w:r>
        <w:tab/>
      </w:r>
      <w:r>
        <w:rPr>
          <w:rFonts w:hint="cs"/>
          <w:b/>
          <w:bCs/>
          <w:rtl/>
        </w:rPr>
        <w:t>איציק שמולי</w:t>
      </w:r>
      <w:r>
        <w:br/>
      </w:r>
      <w:r>
        <w:rPr>
          <w:rFonts w:hint="cs"/>
          <w:b/>
          <w:bCs/>
          <w:rtl/>
        </w:rPr>
        <w:t xml:space="preserve"> </w:t>
      </w:r>
      <w:r>
        <w:tab/>
      </w:r>
      <w:r>
        <w:tab/>
      </w:r>
      <w:r>
        <w:tab/>
      </w:r>
      <w:r>
        <w:tab/>
      </w:r>
      <w:r>
        <w:rPr>
          <w:rFonts w:hint="cs"/>
          <w:b/>
          <w:bCs/>
          <w:rtl/>
        </w:rPr>
        <w:t>אלי אלאלוף</w:t>
      </w:r>
      <w:r>
        <w:br/>
      </w:r>
      <w:r>
        <w:rPr>
          <w:rFonts w:hint="cs"/>
          <w:b/>
          <w:bCs/>
          <w:rtl/>
        </w:rPr>
        <w:t xml:space="preserve"> </w:t>
      </w:r>
      <w:r>
        <w:tab/>
      </w:r>
      <w:r>
        <w:tab/>
      </w:r>
      <w:r>
        <w:tab/>
      </w:r>
      <w:r>
        <w:tab/>
      </w:r>
      <w:r>
        <w:rPr>
          <w:rFonts w:hint="cs"/>
          <w:b/>
          <w:bCs/>
          <w:rtl/>
        </w:rPr>
        <w:t>איתן כבל</w:t>
      </w:r>
      <w:r>
        <w:br/>
      </w:r>
      <w:r>
        <w:rPr>
          <w:rFonts w:hint="cs"/>
          <w:b/>
          <w:bCs/>
          <w:rtl/>
        </w:rPr>
        <w:t xml:space="preserve"> </w:t>
      </w:r>
      <w:r>
        <w:tab/>
      </w:r>
      <w:r>
        <w:tab/>
      </w:r>
      <w:r>
        <w:tab/>
      </w:r>
      <w:r>
        <w:tab/>
      </w:r>
      <w:r>
        <w:rPr>
          <w:rFonts w:hint="cs"/>
          <w:b/>
          <w:bCs/>
          <w:rtl/>
        </w:rPr>
        <w:t>ניסן סלומינסקי</w:t>
      </w:r>
      <w:r>
        <w:br/>
      </w:r>
      <w:r>
        <w:rPr>
          <w:rFonts w:hint="cs"/>
          <w:b/>
          <w:bCs/>
          <w:rtl/>
        </w:rPr>
        <w:t xml:space="preserve"> </w:t>
      </w:r>
      <w:r>
        <w:tab/>
      </w:r>
      <w:r>
        <w:tab/>
      </w:r>
      <w:r>
        <w:tab/>
      </w:r>
      <w:r>
        <w:tab/>
      </w:r>
      <w:r>
        <w:rPr>
          <w:rFonts w:hint="cs"/>
          <w:b/>
          <w:bCs/>
          <w:rtl/>
        </w:rPr>
        <w:t>יואב קיש</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פ/4075/20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Pr="00F67051" w:rsidRDefault="00A443CF" w:rsidP="0021633A">
      <w:pPr>
        <w:pStyle w:val="HeadHatzaotHok"/>
        <w:rPr>
          <w:rtl/>
        </w:rPr>
      </w:pPr>
      <w:bookmarkStart w:id="8" w:name="LGS_Subject"/>
      <w:r>
        <w:rPr>
          <w:rFonts w:hint="cs"/>
          <w:rtl/>
        </w:rPr>
        <w:t xml:space="preserve">הצעת חוק הרשויות המקומיות (פיקוח על מחירי צהרונים ציבוריים), </w:t>
      </w:r>
      <w:proofErr w:type="spellStart"/>
      <w:r>
        <w:rPr>
          <w:rFonts w:hint="cs"/>
          <w:rtl/>
        </w:rPr>
        <w:t>התשע"ז</w:t>
      </w:r>
      <w:proofErr w:type="spellEnd"/>
      <w:r>
        <w:rPr>
          <w:rFonts w:hint="cs"/>
          <w:rtl/>
        </w:rPr>
        <w:t>–2017</w:t>
      </w:r>
      <w:bookmarkEnd w:id="8"/>
    </w:p>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DE0416" w14:paraId="3A184402" w14:textId="77777777" w:rsidTr="00DE0416">
        <w:trPr>
          <w:cantSplit/>
        </w:trPr>
        <w:tc>
          <w:tcPr>
            <w:tcW w:w="1871" w:type="dxa"/>
          </w:tcPr>
          <w:p w14:paraId="2E8616A0" w14:textId="77777777" w:rsidR="00DE0416" w:rsidRDefault="00DE0416" w:rsidP="00056757">
            <w:pPr>
              <w:pStyle w:val="TableSideHeading"/>
              <w:keepLines w:val="0"/>
              <w:rPr>
                <w:rtl/>
              </w:rPr>
            </w:pPr>
            <w:r>
              <w:rPr>
                <w:rFonts w:hint="cs"/>
                <w:rtl/>
              </w:rPr>
              <w:t>הגדרות</w:t>
            </w:r>
          </w:p>
        </w:tc>
        <w:tc>
          <w:tcPr>
            <w:tcW w:w="624" w:type="dxa"/>
          </w:tcPr>
          <w:p w14:paraId="691EC78C" w14:textId="77777777" w:rsidR="00DE0416" w:rsidRDefault="00DE0416" w:rsidP="00056757">
            <w:pPr>
              <w:pStyle w:val="TableText"/>
              <w:keepLines w:val="0"/>
              <w:rPr>
                <w:rtl/>
              </w:rPr>
            </w:pPr>
            <w:r>
              <w:rPr>
                <w:rFonts w:hint="cs"/>
                <w:rtl/>
              </w:rPr>
              <w:t>1.</w:t>
            </w:r>
          </w:p>
        </w:tc>
        <w:tc>
          <w:tcPr>
            <w:tcW w:w="7146" w:type="dxa"/>
          </w:tcPr>
          <w:p w14:paraId="5CDA3461" w14:textId="77777777" w:rsidR="00DE0416" w:rsidRDefault="00DE0416" w:rsidP="00056757">
            <w:pPr>
              <w:pStyle w:val="TableBlockOutdent"/>
              <w:rPr>
                <w:rtl/>
              </w:rPr>
            </w:pPr>
            <w:r>
              <w:rPr>
                <w:rFonts w:hint="cs"/>
                <w:rtl/>
              </w:rPr>
              <w:t xml:space="preserve">בחוק זה </w:t>
            </w:r>
            <w:r>
              <w:rPr>
                <w:rFonts w:hint="eastAsia"/>
                <w:rtl/>
              </w:rPr>
              <w:t>–</w:t>
            </w:r>
          </w:p>
        </w:tc>
      </w:tr>
      <w:tr w:rsidR="00DE0416" w14:paraId="34F42AB3" w14:textId="77777777" w:rsidTr="00DE0416">
        <w:trPr>
          <w:cantSplit/>
        </w:trPr>
        <w:tc>
          <w:tcPr>
            <w:tcW w:w="1871" w:type="dxa"/>
          </w:tcPr>
          <w:p w14:paraId="453FBB82" w14:textId="77777777" w:rsidR="00DE0416" w:rsidRDefault="00DE0416" w:rsidP="00056757">
            <w:pPr>
              <w:pStyle w:val="TableSideHeading"/>
              <w:keepLines w:val="0"/>
              <w:rPr>
                <w:rtl/>
              </w:rPr>
            </w:pPr>
          </w:p>
        </w:tc>
        <w:tc>
          <w:tcPr>
            <w:tcW w:w="624" w:type="dxa"/>
          </w:tcPr>
          <w:p w14:paraId="3909329C" w14:textId="77777777" w:rsidR="00DE0416" w:rsidRDefault="00DE0416" w:rsidP="00056757">
            <w:pPr>
              <w:pStyle w:val="TableText"/>
              <w:keepLines w:val="0"/>
              <w:rPr>
                <w:rtl/>
              </w:rPr>
            </w:pPr>
          </w:p>
        </w:tc>
        <w:tc>
          <w:tcPr>
            <w:tcW w:w="7146" w:type="dxa"/>
          </w:tcPr>
          <w:p w14:paraId="30E74FFB" w14:textId="546B1EE6" w:rsidR="00DE0416" w:rsidRPr="00E85D8E" w:rsidRDefault="00DE0416" w:rsidP="006232BD">
            <w:pPr>
              <w:pStyle w:val="TableBlockOutdent"/>
              <w:rPr>
                <w:rtl/>
              </w:rPr>
            </w:pPr>
            <w:r>
              <w:rPr>
                <w:rFonts w:hint="cs"/>
                <w:rtl/>
              </w:rPr>
              <w:t xml:space="preserve">"חוק </w:t>
            </w:r>
            <w:r w:rsidR="002138A2">
              <w:rPr>
                <w:rFonts w:hint="cs"/>
                <w:rtl/>
              </w:rPr>
              <w:t>הפיקוח</w:t>
            </w:r>
            <w:r>
              <w:rPr>
                <w:rFonts w:hint="cs"/>
                <w:rtl/>
              </w:rPr>
              <w:t xml:space="preserve">" </w:t>
            </w:r>
            <w:r>
              <w:rPr>
                <w:rtl/>
              </w:rPr>
              <w:t>–</w:t>
            </w:r>
            <w:r>
              <w:rPr>
                <w:rFonts w:hint="cs"/>
                <w:rtl/>
              </w:rPr>
              <w:t xml:space="preserve"> חוק פיקוח על מחירי מצרכים ושירותים, </w:t>
            </w:r>
            <w:proofErr w:type="spellStart"/>
            <w:r>
              <w:rPr>
                <w:rFonts w:hint="cs"/>
                <w:rtl/>
              </w:rPr>
              <w:t>התשנ"ו</w:t>
            </w:r>
            <w:proofErr w:type="spellEnd"/>
            <w:r>
              <w:rPr>
                <w:rFonts w:hint="eastAsia"/>
                <w:rtl/>
              </w:rPr>
              <w:t>–1996</w:t>
            </w:r>
            <w:r>
              <w:rPr>
                <w:rStyle w:val="a6"/>
                <w:rtl/>
              </w:rPr>
              <w:footnoteReference w:id="2"/>
            </w:r>
            <w:r>
              <w:rPr>
                <w:rFonts w:hint="eastAsia"/>
                <w:rtl/>
              </w:rPr>
              <w:t>;</w:t>
            </w:r>
          </w:p>
        </w:tc>
      </w:tr>
      <w:tr w:rsidR="00DE0416" w14:paraId="70685660" w14:textId="77777777" w:rsidTr="00DE0416">
        <w:trPr>
          <w:cantSplit/>
        </w:trPr>
        <w:tc>
          <w:tcPr>
            <w:tcW w:w="1871" w:type="dxa"/>
          </w:tcPr>
          <w:p w14:paraId="53EF9EB7" w14:textId="77777777" w:rsidR="00DE0416" w:rsidRDefault="00DE0416" w:rsidP="00056757">
            <w:pPr>
              <w:pStyle w:val="TableSideHeading"/>
              <w:keepLines w:val="0"/>
              <w:rPr>
                <w:rtl/>
              </w:rPr>
            </w:pPr>
          </w:p>
        </w:tc>
        <w:tc>
          <w:tcPr>
            <w:tcW w:w="624" w:type="dxa"/>
          </w:tcPr>
          <w:p w14:paraId="2AA8C439" w14:textId="77777777" w:rsidR="00DE0416" w:rsidRDefault="00DE0416" w:rsidP="00056757">
            <w:pPr>
              <w:pStyle w:val="TableText"/>
              <w:rPr>
                <w:rtl/>
              </w:rPr>
            </w:pPr>
          </w:p>
        </w:tc>
        <w:tc>
          <w:tcPr>
            <w:tcW w:w="7146" w:type="dxa"/>
          </w:tcPr>
          <w:p w14:paraId="277C8E35" w14:textId="77777777" w:rsidR="00DE0416" w:rsidRDefault="00DE0416" w:rsidP="00056757">
            <w:pPr>
              <w:pStyle w:val="TableBlock"/>
              <w:rPr>
                <w:rtl/>
              </w:rPr>
            </w:pPr>
            <w:r>
              <w:rPr>
                <w:rFonts w:hint="cs"/>
                <w:rtl/>
              </w:rPr>
              <w:t xml:space="preserve">"מוסד חינוך" </w:t>
            </w:r>
            <w:r>
              <w:rPr>
                <w:rtl/>
              </w:rPr>
              <w:t>–</w:t>
            </w:r>
            <w:r>
              <w:rPr>
                <w:rFonts w:hint="cs"/>
                <w:rtl/>
              </w:rPr>
              <w:t xml:space="preserve"> כהגדרתו בחוק לימוד חובה, </w:t>
            </w:r>
            <w:proofErr w:type="spellStart"/>
            <w:r>
              <w:rPr>
                <w:rFonts w:hint="cs"/>
                <w:rtl/>
              </w:rPr>
              <w:t>התש"ט</w:t>
            </w:r>
            <w:proofErr w:type="spellEnd"/>
            <w:r>
              <w:rPr>
                <w:rFonts w:hint="eastAsia"/>
                <w:rtl/>
              </w:rPr>
              <w:t>–1948</w:t>
            </w:r>
            <w:r>
              <w:rPr>
                <w:rStyle w:val="a6"/>
                <w:rtl/>
              </w:rPr>
              <w:footnoteReference w:id="3"/>
            </w:r>
            <w:r>
              <w:rPr>
                <w:rFonts w:hint="eastAsia"/>
                <w:rtl/>
              </w:rPr>
              <w:t>;</w:t>
            </w:r>
          </w:p>
        </w:tc>
      </w:tr>
      <w:tr w:rsidR="00DE0416" w14:paraId="0E0D375D" w14:textId="77777777" w:rsidTr="00DE0416">
        <w:trPr>
          <w:cantSplit/>
        </w:trPr>
        <w:tc>
          <w:tcPr>
            <w:tcW w:w="1871" w:type="dxa"/>
          </w:tcPr>
          <w:p w14:paraId="6DC699E2" w14:textId="77777777" w:rsidR="00DE0416" w:rsidRDefault="00DE0416" w:rsidP="00056757">
            <w:pPr>
              <w:pStyle w:val="TableSideHeading"/>
              <w:keepLines w:val="0"/>
              <w:rPr>
                <w:rtl/>
              </w:rPr>
            </w:pPr>
          </w:p>
        </w:tc>
        <w:tc>
          <w:tcPr>
            <w:tcW w:w="624" w:type="dxa"/>
          </w:tcPr>
          <w:p w14:paraId="770A5A6D" w14:textId="77777777" w:rsidR="00DE0416" w:rsidRDefault="00DE0416" w:rsidP="00056757">
            <w:pPr>
              <w:pStyle w:val="TableText"/>
              <w:rPr>
                <w:rtl/>
              </w:rPr>
            </w:pPr>
          </w:p>
        </w:tc>
        <w:tc>
          <w:tcPr>
            <w:tcW w:w="7146" w:type="dxa"/>
          </w:tcPr>
          <w:p w14:paraId="633BF404" w14:textId="7B63C95E" w:rsidR="00DE0416" w:rsidRDefault="00DE0416" w:rsidP="00056757">
            <w:pPr>
              <w:pStyle w:val="TableBlock"/>
              <w:rPr>
                <w:rtl/>
              </w:rPr>
            </w:pPr>
            <w:r w:rsidRPr="004D2507">
              <w:rPr>
                <w:rtl/>
              </w:rPr>
              <w:t xml:space="preserve">"מחיר" ו"שירות" – כהגדרתם בחוק </w:t>
            </w:r>
            <w:r w:rsidR="002138A2">
              <w:rPr>
                <w:rFonts w:hint="cs"/>
                <w:rtl/>
              </w:rPr>
              <w:t>ה</w:t>
            </w:r>
            <w:r w:rsidR="002138A2">
              <w:rPr>
                <w:rtl/>
              </w:rPr>
              <w:t>פיקו</w:t>
            </w:r>
            <w:r w:rsidR="002138A2">
              <w:rPr>
                <w:rFonts w:hint="cs"/>
                <w:rtl/>
              </w:rPr>
              <w:t>ח</w:t>
            </w:r>
            <w:r w:rsidRPr="004D2507">
              <w:rPr>
                <w:rtl/>
              </w:rPr>
              <w:t>;</w:t>
            </w:r>
          </w:p>
        </w:tc>
      </w:tr>
      <w:tr w:rsidR="00DE0416" w14:paraId="092B91DD" w14:textId="77777777" w:rsidTr="00DE0416">
        <w:trPr>
          <w:cantSplit/>
        </w:trPr>
        <w:tc>
          <w:tcPr>
            <w:tcW w:w="1871" w:type="dxa"/>
          </w:tcPr>
          <w:p w14:paraId="2C11B291" w14:textId="77777777" w:rsidR="00DE0416" w:rsidRDefault="00DE0416" w:rsidP="00056757">
            <w:pPr>
              <w:pStyle w:val="TableSideHeading"/>
              <w:keepLines w:val="0"/>
              <w:rPr>
                <w:rtl/>
              </w:rPr>
            </w:pPr>
          </w:p>
        </w:tc>
        <w:tc>
          <w:tcPr>
            <w:tcW w:w="624" w:type="dxa"/>
          </w:tcPr>
          <w:p w14:paraId="3DFC3EF7" w14:textId="77777777" w:rsidR="00DE0416" w:rsidRDefault="00DE0416" w:rsidP="00056757">
            <w:pPr>
              <w:pStyle w:val="TableText"/>
              <w:rPr>
                <w:rtl/>
              </w:rPr>
            </w:pPr>
          </w:p>
        </w:tc>
        <w:tc>
          <w:tcPr>
            <w:tcW w:w="7146" w:type="dxa"/>
          </w:tcPr>
          <w:p w14:paraId="11085EDA" w14:textId="77777777" w:rsidR="00DE0416" w:rsidRPr="00F37DE7" w:rsidRDefault="00DE0416" w:rsidP="00056757">
            <w:pPr>
              <w:pStyle w:val="TableBlockOutdent"/>
              <w:rPr>
                <w:rtl/>
              </w:rPr>
            </w:pPr>
            <w:r>
              <w:rPr>
                <w:rFonts w:hint="cs"/>
                <w:rtl/>
              </w:rPr>
              <w:t xml:space="preserve">"צהרון" </w:t>
            </w:r>
            <w:r>
              <w:rPr>
                <w:rtl/>
              </w:rPr>
              <w:t>–</w:t>
            </w:r>
            <w:r>
              <w:rPr>
                <w:rFonts w:hint="cs"/>
                <w:rtl/>
              </w:rPr>
              <w:t xml:space="preserve"> מסגרת חינוכית לילדים, המשמשת לשהות יומית של עשרה ילדים או יותר, ופועלת לאחר שעות הלימודים במוסד החינוך, וכן, בתקופות של חופשות הלימודים ממוסד החינוך;</w:t>
            </w:r>
          </w:p>
        </w:tc>
      </w:tr>
      <w:tr w:rsidR="00DE0416" w14:paraId="0741D15B" w14:textId="77777777" w:rsidTr="00DE0416">
        <w:trPr>
          <w:cantSplit/>
        </w:trPr>
        <w:tc>
          <w:tcPr>
            <w:tcW w:w="1871" w:type="dxa"/>
          </w:tcPr>
          <w:p w14:paraId="6339E477" w14:textId="77777777" w:rsidR="00DE0416" w:rsidRDefault="00DE0416" w:rsidP="00056757">
            <w:pPr>
              <w:pStyle w:val="TableSideHeading"/>
            </w:pPr>
          </w:p>
        </w:tc>
        <w:tc>
          <w:tcPr>
            <w:tcW w:w="624" w:type="dxa"/>
          </w:tcPr>
          <w:p w14:paraId="3EFEA46A" w14:textId="77777777" w:rsidR="00DE0416" w:rsidRDefault="00DE0416" w:rsidP="00056757">
            <w:pPr>
              <w:pStyle w:val="TableText"/>
            </w:pPr>
          </w:p>
        </w:tc>
        <w:tc>
          <w:tcPr>
            <w:tcW w:w="7146" w:type="dxa"/>
          </w:tcPr>
          <w:p w14:paraId="49F641A9" w14:textId="77777777" w:rsidR="00DE0416" w:rsidRPr="00C34DE2" w:rsidRDefault="00DE0416" w:rsidP="00056757">
            <w:pPr>
              <w:pStyle w:val="TableBlockOutdent"/>
            </w:pPr>
            <w:r w:rsidRPr="0000576C">
              <w:rPr>
                <w:rtl/>
              </w:rPr>
              <w:t>"רשות מקומית" – רשות מקומית או גוף שנמצא בבעלות או בשליטה ישירה או עקיפה של הרשות המקומית</w:t>
            </w:r>
            <w:r>
              <w:rPr>
                <w:rFonts w:hint="cs"/>
                <w:rtl/>
              </w:rPr>
              <w:t xml:space="preserve"> </w:t>
            </w:r>
            <w:r w:rsidRPr="0000576C">
              <w:rPr>
                <w:rtl/>
              </w:rPr>
              <w:t>לרבות תאגיד עירוני כמשמעותו בסעיף 249א לפקודת העיריות</w:t>
            </w:r>
            <w:r>
              <w:rPr>
                <w:rStyle w:val="a6"/>
                <w:rtl/>
              </w:rPr>
              <w:footnoteReference w:id="4"/>
            </w:r>
            <w:r w:rsidRPr="0000576C">
              <w:rPr>
                <w:rtl/>
              </w:rPr>
              <w:t>;</w:t>
            </w:r>
          </w:p>
        </w:tc>
      </w:tr>
      <w:tr w:rsidR="00DE0416" w14:paraId="1302AD31" w14:textId="77777777" w:rsidTr="00DE0416">
        <w:trPr>
          <w:cantSplit/>
        </w:trPr>
        <w:tc>
          <w:tcPr>
            <w:tcW w:w="1871" w:type="dxa"/>
          </w:tcPr>
          <w:p w14:paraId="77F58AF5" w14:textId="77777777" w:rsidR="00DE0416" w:rsidRDefault="00DE0416" w:rsidP="00056757">
            <w:pPr>
              <w:pStyle w:val="TableSideHeading"/>
            </w:pPr>
          </w:p>
        </w:tc>
        <w:tc>
          <w:tcPr>
            <w:tcW w:w="624" w:type="dxa"/>
          </w:tcPr>
          <w:p w14:paraId="21E0D337" w14:textId="77777777" w:rsidR="00DE0416" w:rsidRDefault="00DE0416" w:rsidP="00056757">
            <w:pPr>
              <w:pStyle w:val="TableText"/>
            </w:pPr>
          </w:p>
        </w:tc>
        <w:tc>
          <w:tcPr>
            <w:tcW w:w="7146" w:type="dxa"/>
          </w:tcPr>
          <w:p w14:paraId="4913ADE3" w14:textId="7FD6FE56" w:rsidR="00DE0416" w:rsidRPr="006E2DA6" w:rsidRDefault="00DE0416" w:rsidP="00DE0416">
            <w:pPr>
              <w:pStyle w:val="TableBlock"/>
              <w:rPr>
                <w:rtl/>
              </w:rPr>
            </w:pPr>
            <w:r>
              <w:rPr>
                <w:rFonts w:hint="cs"/>
                <w:rtl/>
              </w:rPr>
              <w:t xml:space="preserve">"השר" </w:t>
            </w:r>
            <w:r>
              <w:rPr>
                <w:rtl/>
              </w:rPr>
              <w:t>–</w:t>
            </w:r>
            <w:r>
              <w:rPr>
                <w:rFonts w:hint="cs"/>
                <w:rtl/>
              </w:rPr>
              <w:t xml:space="preserve"> שר החינוך.</w:t>
            </w:r>
          </w:p>
        </w:tc>
      </w:tr>
      <w:tr w:rsidR="00DE0416" w14:paraId="1F3AC491" w14:textId="77777777" w:rsidTr="00DE0416">
        <w:trPr>
          <w:cantSplit/>
        </w:trPr>
        <w:tc>
          <w:tcPr>
            <w:tcW w:w="1871" w:type="dxa"/>
          </w:tcPr>
          <w:p w14:paraId="68BAEE77" w14:textId="77777777" w:rsidR="00DE0416" w:rsidRDefault="00DE0416" w:rsidP="00056757">
            <w:pPr>
              <w:pStyle w:val="TableSideHeading"/>
            </w:pPr>
            <w:r>
              <w:rPr>
                <w:rFonts w:hint="cs"/>
                <w:rtl/>
              </w:rPr>
              <w:t>שירותי חינוך בלתי פורמלי ברשות המקומית</w:t>
            </w:r>
          </w:p>
        </w:tc>
        <w:tc>
          <w:tcPr>
            <w:tcW w:w="624" w:type="dxa"/>
          </w:tcPr>
          <w:p w14:paraId="665B37E0" w14:textId="77777777" w:rsidR="00DE0416" w:rsidRDefault="00DE0416" w:rsidP="00056757">
            <w:pPr>
              <w:pStyle w:val="TableText"/>
            </w:pPr>
            <w:r>
              <w:rPr>
                <w:rFonts w:hint="cs"/>
                <w:rtl/>
              </w:rPr>
              <w:t>2.</w:t>
            </w:r>
          </w:p>
        </w:tc>
        <w:tc>
          <w:tcPr>
            <w:tcW w:w="7146" w:type="dxa"/>
          </w:tcPr>
          <w:p w14:paraId="547B74C0" w14:textId="5D1BA872" w:rsidR="00DE0416" w:rsidRPr="00C34DE2" w:rsidRDefault="00DE0416" w:rsidP="00DE0416">
            <w:pPr>
              <w:pStyle w:val="TableBlock"/>
            </w:pPr>
            <w:r>
              <w:rPr>
                <w:rFonts w:hint="cs"/>
                <w:rtl/>
              </w:rPr>
              <w:t>רשות מקומית תקיים בתחומה צהרון</w:t>
            </w:r>
            <w:r w:rsidR="00CF6C02">
              <w:rPr>
                <w:rFonts w:hint="cs"/>
                <w:rtl/>
              </w:rPr>
              <w:t xml:space="preserve"> לגילאי 3 שנים ועד 10 שנים</w:t>
            </w:r>
            <w:r>
              <w:rPr>
                <w:rFonts w:hint="cs"/>
                <w:rtl/>
              </w:rPr>
              <w:t>.</w:t>
            </w:r>
          </w:p>
        </w:tc>
      </w:tr>
      <w:tr w:rsidR="00DE0416" w14:paraId="2DF5A5FA" w14:textId="77777777" w:rsidTr="00DE0416">
        <w:trPr>
          <w:cantSplit/>
        </w:trPr>
        <w:tc>
          <w:tcPr>
            <w:tcW w:w="1871" w:type="dxa"/>
          </w:tcPr>
          <w:p w14:paraId="63395194" w14:textId="58BECA60" w:rsidR="00DE0416" w:rsidRPr="00CE624B" w:rsidRDefault="00DE0416" w:rsidP="002138A2">
            <w:pPr>
              <w:pStyle w:val="TableSideHeading"/>
              <w:rPr>
                <w:rtl/>
              </w:rPr>
            </w:pPr>
            <w:r>
              <w:rPr>
                <w:rFonts w:hint="cs"/>
                <w:rtl/>
              </w:rPr>
              <w:t xml:space="preserve">תחולת חוק </w:t>
            </w:r>
            <w:r w:rsidR="002138A2">
              <w:rPr>
                <w:rFonts w:hint="cs"/>
                <w:rtl/>
              </w:rPr>
              <w:t>ה</w:t>
            </w:r>
            <w:r>
              <w:rPr>
                <w:rFonts w:hint="cs"/>
                <w:rtl/>
              </w:rPr>
              <w:t xml:space="preserve">פיקוח על </w:t>
            </w:r>
            <w:r w:rsidR="00CF6C02">
              <w:rPr>
                <w:rFonts w:hint="cs"/>
                <w:rtl/>
              </w:rPr>
              <w:t>צהרון</w:t>
            </w:r>
          </w:p>
        </w:tc>
        <w:tc>
          <w:tcPr>
            <w:tcW w:w="624" w:type="dxa"/>
          </w:tcPr>
          <w:p w14:paraId="28FB9401" w14:textId="77777777" w:rsidR="00DE0416" w:rsidRDefault="00DE0416" w:rsidP="00056757">
            <w:pPr>
              <w:pStyle w:val="TableText"/>
              <w:keepLines w:val="0"/>
              <w:rPr>
                <w:rtl/>
              </w:rPr>
            </w:pPr>
            <w:r>
              <w:rPr>
                <w:rFonts w:hint="cs"/>
                <w:rtl/>
              </w:rPr>
              <w:t>3.</w:t>
            </w:r>
          </w:p>
        </w:tc>
        <w:tc>
          <w:tcPr>
            <w:tcW w:w="7146" w:type="dxa"/>
          </w:tcPr>
          <w:p w14:paraId="5669A542" w14:textId="31676A5E" w:rsidR="00DE0416" w:rsidRPr="00CE624B" w:rsidRDefault="00DE0416" w:rsidP="002138A2">
            <w:pPr>
              <w:pStyle w:val="TableBlock"/>
              <w:rPr>
                <w:rtl/>
              </w:rPr>
            </w:pPr>
            <w:r>
              <w:rPr>
                <w:rFonts w:hint="cs"/>
                <w:rtl/>
              </w:rPr>
              <w:t xml:space="preserve">חוק </w:t>
            </w:r>
            <w:r w:rsidR="002138A2">
              <w:rPr>
                <w:rFonts w:hint="cs"/>
                <w:rtl/>
              </w:rPr>
              <w:t>ה</w:t>
            </w:r>
            <w:r>
              <w:rPr>
                <w:rFonts w:hint="cs"/>
                <w:rtl/>
              </w:rPr>
              <w:t xml:space="preserve">פיקוח יחול על </w:t>
            </w:r>
            <w:r w:rsidR="00CF6C02">
              <w:rPr>
                <w:rFonts w:hint="cs"/>
                <w:rtl/>
              </w:rPr>
              <w:t>צהרון</w:t>
            </w:r>
            <w:r>
              <w:rPr>
                <w:rFonts w:hint="cs"/>
                <w:rtl/>
              </w:rPr>
              <w:t xml:space="preserve"> שקיימה הרשות המקומית כאמור בסעיף 2, כאילו ניתן לגביהם צו לפי סעיף 6 לחוק האמור, ונקבע לגביו כי רמת הפיקוח תהיה לפי פרק ה' לחוק האמור.</w:t>
            </w:r>
          </w:p>
        </w:tc>
      </w:tr>
      <w:tr w:rsidR="00DE0416" w14:paraId="4BBAD8EF" w14:textId="77777777" w:rsidTr="00DE0416">
        <w:trPr>
          <w:cantSplit/>
        </w:trPr>
        <w:tc>
          <w:tcPr>
            <w:tcW w:w="1871" w:type="dxa"/>
          </w:tcPr>
          <w:p w14:paraId="43ED28DC" w14:textId="4DC3170B" w:rsidR="00DE0416" w:rsidRDefault="00DE0416" w:rsidP="002138A2">
            <w:pPr>
              <w:pStyle w:val="TableSideHeading"/>
            </w:pPr>
            <w:r>
              <w:rPr>
                <w:rFonts w:hint="cs"/>
                <w:rtl/>
              </w:rPr>
              <w:t xml:space="preserve">סמכויות לפי חוק </w:t>
            </w:r>
            <w:r w:rsidR="002138A2">
              <w:rPr>
                <w:rFonts w:hint="cs"/>
                <w:rtl/>
              </w:rPr>
              <w:t>ה</w:t>
            </w:r>
            <w:r>
              <w:rPr>
                <w:rFonts w:hint="cs"/>
                <w:rtl/>
              </w:rPr>
              <w:t xml:space="preserve">פיקוח </w:t>
            </w:r>
          </w:p>
        </w:tc>
        <w:tc>
          <w:tcPr>
            <w:tcW w:w="624" w:type="dxa"/>
          </w:tcPr>
          <w:p w14:paraId="7C454CDF" w14:textId="77777777" w:rsidR="00DE0416" w:rsidRDefault="00DE0416" w:rsidP="00056757">
            <w:pPr>
              <w:pStyle w:val="TableText"/>
            </w:pPr>
            <w:r>
              <w:rPr>
                <w:rFonts w:hint="cs"/>
                <w:rtl/>
              </w:rPr>
              <w:t>4.</w:t>
            </w:r>
          </w:p>
        </w:tc>
        <w:tc>
          <w:tcPr>
            <w:tcW w:w="7146" w:type="dxa"/>
          </w:tcPr>
          <w:p w14:paraId="09A2F5C2" w14:textId="4CF2B5F2" w:rsidR="00DE0416" w:rsidRPr="00C34DE2" w:rsidRDefault="00DE0416" w:rsidP="002138A2">
            <w:pPr>
              <w:pStyle w:val="TableBlock"/>
            </w:pPr>
            <w:r>
              <w:rPr>
                <w:rFonts w:hint="cs"/>
                <w:rtl/>
              </w:rPr>
              <w:t xml:space="preserve">על אף האמור בסעיף 12 לחוק </w:t>
            </w:r>
            <w:r w:rsidR="002138A2">
              <w:rPr>
                <w:rFonts w:hint="cs"/>
                <w:rtl/>
              </w:rPr>
              <w:t>ה</w:t>
            </w:r>
            <w:r>
              <w:rPr>
                <w:rFonts w:hint="cs"/>
                <w:rtl/>
              </w:rPr>
              <w:t xml:space="preserve">פיקוח, הסמכויות הנתונות לשרים כהגדרתם בחוק האמור, לעניין </w:t>
            </w:r>
            <w:r w:rsidR="00CF6C02">
              <w:rPr>
                <w:rFonts w:hint="cs"/>
                <w:rtl/>
              </w:rPr>
              <w:t>צהרון</w:t>
            </w:r>
            <w:r>
              <w:rPr>
                <w:rFonts w:hint="cs"/>
                <w:rtl/>
              </w:rPr>
              <w:t>, יהיו נתונות לשר ה</w:t>
            </w:r>
            <w:r w:rsidR="00CF6C02">
              <w:rPr>
                <w:rFonts w:hint="cs"/>
                <w:rtl/>
              </w:rPr>
              <w:t>חינוך</w:t>
            </w:r>
            <w:r>
              <w:rPr>
                <w:rFonts w:hint="cs"/>
                <w:rtl/>
              </w:rPr>
              <w:t xml:space="preserve"> </w:t>
            </w:r>
            <w:r w:rsidRPr="00F739A5">
              <w:rPr>
                <w:rFonts w:hint="cs"/>
                <w:rtl/>
              </w:rPr>
              <w:t>והוא יקבע</w:t>
            </w:r>
            <w:r>
              <w:rPr>
                <w:rFonts w:hint="cs"/>
                <w:rtl/>
              </w:rPr>
              <w:t>, באישור ועדת ה</w:t>
            </w:r>
            <w:r w:rsidR="00CF6C02">
              <w:rPr>
                <w:rFonts w:hint="cs"/>
                <w:rtl/>
              </w:rPr>
              <w:t>חינוך, התרבות והספורט</w:t>
            </w:r>
            <w:r>
              <w:rPr>
                <w:rFonts w:hint="cs"/>
                <w:rtl/>
              </w:rPr>
              <w:t xml:space="preserve"> של הכנסת,</w:t>
            </w:r>
            <w:r w:rsidRPr="00F739A5">
              <w:rPr>
                <w:rFonts w:hint="cs"/>
                <w:rtl/>
              </w:rPr>
              <w:t xml:space="preserve"> את המחיר המרבי לשירות </w:t>
            </w:r>
            <w:r>
              <w:rPr>
                <w:rFonts w:hint="cs"/>
                <w:rtl/>
              </w:rPr>
              <w:t>כאמור</w:t>
            </w:r>
            <w:r w:rsidRPr="00F739A5">
              <w:rPr>
                <w:rFonts w:hint="cs"/>
                <w:rtl/>
              </w:rPr>
              <w:t xml:space="preserve"> לכל ילד</w:t>
            </w:r>
            <w:r>
              <w:rPr>
                <w:rFonts w:hint="cs"/>
                <w:rtl/>
              </w:rPr>
              <w:t xml:space="preserve">. </w:t>
            </w:r>
          </w:p>
        </w:tc>
      </w:tr>
      <w:tr w:rsidR="00DB2980" w14:paraId="10CB3913" w14:textId="77777777" w:rsidTr="00DE0416">
        <w:trPr>
          <w:cantSplit/>
        </w:trPr>
        <w:tc>
          <w:tcPr>
            <w:tcW w:w="1871" w:type="dxa"/>
          </w:tcPr>
          <w:p w14:paraId="63E35724" w14:textId="1B2C74FE" w:rsidR="00DB2980" w:rsidRDefault="00DB2980" w:rsidP="00056757">
            <w:pPr>
              <w:pStyle w:val="TableSideHeading"/>
              <w:rPr>
                <w:rtl/>
              </w:rPr>
            </w:pPr>
            <w:r>
              <w:rPr>
                <w:rFonts w:hint="cs"/>
                <w:rtl/>
              </w:rPr>
              <w:t>פיקוח על תכנים</w:t>
            </w:r>
          </w:p>
        </w:tc>
        <w:tc>
          <w:tcPr>
            <w:tcW w:w="624" w:type="dxa"/>
          </w:tcPr>
          <w:p w14:paraId="2392F6EB" w14:textId="7BEAC0AD" w:rsidR="00DB2980" w:rsidRDefault="00DB2980" w:rsidP="00DB2980">
            <w:pPr>
              <w:pStyle w:val="TableText"/>
              <w:rPr>
                <w:rtl/>
              </w:rPr>
            </w:pPr>
            <w:r>
              <w:rPr>
                <w:rFonts w:hint="cs"/>
                <w:rtl/>
              </w:rPr>
              <w:t>5.</w:t>
            </w:r>
          </w:p>
        </w:tc>
        <w:tc>
          <w:tcPr>
            <w:tcW w:w="7146" w:type="dxa"/>
          </w:tcPr>
          <w:p w14:paraId="58174BFE" w14:textId="2A772225" w:rsidR="00DB2980" w:rsidRDefault="00DB2980" w:rsidP="00792FE3">
            <w:pPr>
              <w:pStyle w:val="TableBlock"/>
              <w:rPr>
                <w:rtl/>
              </w:rPr>
            </w:pPr>
            <w:r>
              <w:rPr>
                <w:rFonts w:hint="cs"/>
                <w:rtl/>
              </w:rPr>
              <w:t>השר יקבע</w:t>
            </w:r>
            <w:r w:rsidR="005C10C8">
              <w:rPr>
                <w:rFonts w:hint="cs"/>
                <w:rtl/>
              </w:rPr>
              <w:t xml:space="preserve"> בתקנות</w:t>
            </w:r>
            <w:r>
              <w:rPr>
                <w:rFonts w:hint="cs"/>
                <w:rtl/>
              </w:rPr>
              <w:t xml:space="preserve">, באישור ועדת החינוך, התרבות והספורט של הכנסת, </w:t>
            </w:r>
            <w:r w:rsidR="00792FE3">
              <w:rPr>
                <w:rFonts w:hint="cs"/>
                <w:rtl/>
              </w:rPr>
              <w:t>תכנית לימודים מינימלית אחידה; קביעת התכנית לא תמנע הוספת שיעורים על המפורטים בה</w:t>
            </w:r>
            <w:r w:rsidR="003D2992">
              <w:rPr>
                <w:rFonts w:hint="cs"/>
                <w:rtl/>
              </w:rPr>
              <w:t xml:space="preserve"> כל זמן שאינם כרוכים בתשלום נוסף</w:t>
            </w:r>
            <w:r w:rsidR="00792FE3">
              <w:rPr>
                <w:rFonts w:hint="cs"/>
                <w:rtl/>
              </w:rPr>
              <w:t>.</w:t>
            </w:r>
          </w:p>
        </w:tc>
      </w:tr>
      <w:tr w:rsidR="00DE0416" w14:paraId="0926D077" w14:textId="77777777" w:rsidTr="00DE0416">
        <w:trPr>
          <w:cantSplit/>
        </w:trPr>
        <w:tc>
          <w:tcPr>
            <w:tcW w:w="1871" w:type="dxa"/>
          </w:tcPr>
          <w:p w14:paraId="5A213146" w14:textId="77777777" w:rsidR="00DE0416" w:rsidRDefault="00DE0416" w:rsidP="00056757">
            <w:pPr>
              <w:pStyle w:val="TableSideHeading"/>
              <w:keepLines w:val="0"/>
              <w:rPr>
                <w:rtl/>
              </w:rPr>
            </w:pPr>
            <w:r>
              <w:rPr>
                <w:rFonts w:hint="cs"/>
                <w:rtl/>
              </w:rPr>
              <w:t>ביצוע ותקנות</w:t>
            </w:r>
          </w:p>
        </w:tc>
        <w:tc>
          <w:tcPr>
            <w:tcW w:w="624" w:type="dxa"/>
          </w:tcPr>
          <w:p w14:paraId="466C2C36" w14:textId="01AEBBFA" w:rsidR="00DE0416" w:rsidRDefault="00DB2980" w:rsidP="00056757">
            <w:pPr>
              <w:pStyle w:val="TableText"/>
              <w:rPr>
                <w:rtl/>
              </w:rPr>
            </w:pPr>
            <w:r>
              <w:rPr>
                <w:rFonts w:hint="cs"/>
                <w:rtl/>
              </w:rPr>
              <w:t>6</w:t>
            </w:r>
            <w:r w:rsidR="00DE0416">
              <w:rPr>
                <w:rFonts w:hint="cs"/>
                <w:rtl/>
              </w:rPr>
              <w:t>.</w:t>
            </w:r>
          </w:p>
        </w:tc>
        <w:tc>
          <w:tcPr>
            <w:tcW w:w="7146" w:type="dxa"/>
          </w:tcPr>
          <w:p w14:paraId="3EE8EF08" w14:textId="546CD8C0" w:rsidR="00DE0416" w:rsidRDefault="00DE0416" w:rsidP="00CF6C02">
            <w:pPr>
              <w:pStyle w:val="TableBlock"/>
              <w:rPr>
                <w:rtl/>
              </w:rPr>
            </w:pPr>
            <w:r>
              <w:rPr>
                <w:rFonts w:hint="cs"/>
                <w:rtl/>
              </w:rPr>
              <w:t>שר ה</w:t>
            </w:r>
            <w:r w:rsidR="00CF6C02">
              <w:rPr>
                <w:rFonts w:hint="cs"/>
                <w:rtl/>
              </w:rPr>
              <w:t>חינוך</w:t>
            </w:r>
            <w:r>
              <w:rPr>
                <w:rFonts w:hint="cs"/>
                <w:rtl/>
              </w:rPr>
              <w:t xml:space="preserve"> ממונה על ביצועו של חוק זה והוא רשאי להתקין תקנות לביצועו.</w:t>
            </w:r>
          </w:p>
        </w:tc>
      </w:tr>
    </w:tbl>
    <w:p w14:paraId="7F6961CA" w14:textId="77777777" w:rsidR="002D1EE3" w:rsidRDefault="002D1EE3" w:rsidP="002D1EE3">
      <w:pPr>
        <w:pStyle w:val="HeadDivreiHesber"/>
        <w:rPr>
          <w:rtl/>
        </w:rPr>
      </w:pPr>
      <w:r w:rsidRPr="0027450A">
        <w:rPr>
          <w:rFonts w:hint="cs"/>
          <w:rtl/>
        </w:rPr>
        <w:t>דברי הסבר</w:t>
      </w:r>
    </w:p>
    <w:p w14:paraId="4905B092" w14:textId="6E3ACE99" w:rsidR="00F21994" w:rsidRDefault="00F21994" w:rsidP="00F21994">
      <w:pPr>
        <w:pStyle w:val="Hesber"/>
        <w:rPr>
          <w:rtl/>
        </w:rPr>
      </w:pPr>
      <w:r>
        <w:rPr>
          <w:rFonts w:hint="cs"/>
          <w:rtl/>
        </w:rPr>
        <w:t>הצהרונים כיום מהווים תחליף ליום הלימודים הארוך בישראל, הם מעסיקים את הילדים בשעות אחר הצהריים, נותנים להם מסגרת חינוכית משלימה ומאפשרים להוריהם לצאת לשוק העבודה.</w:t>
      </w:r>
    </w:p>
    <w:p w14:paraId="23A23001" w14:textId="196CDD05" w:rsidR="00F21994" w:rsidRDefault="00F21994" w:rsidP="002138A2">
      <w:pPr>
        <w:pStyle w:val="Hesber"/>
        <w:rPr>
          <w:rtl/>
        </w:rPr>
      </w:pPr>
      <w:r>
        <w:rPr>
          <w:rFonts w:hint="cs"/>
          <w:rtl/>
        </w:rPr>
        <w:t xml:space="preserve">מחירי הצהרונים בישראל והתכנים הלימודיים בהם שונים בתכלית בין רשות לרשות. טווח המחירים נע בין 600 </w:t>
      </w:r>
      <w:r w:rsidR="002138A2">
        <w:rPr>
          <w:rFonts w:hint="cs"/>
          <w:rtl/>
        </w:rPr>
        <w:t>ל-1400 שקלים חדשים</w:t>
      </w:r>
      <w:r>
        <w:rPr>
          <w:rFonts w:hint="cs"/>
          <w:rtl/>
        </w:rPr>
        <w:t xml:space="preserve"> לפי רצון הרשות המקומית. התכנים אינם שקופים להורים והם אינם מודעים, ברוב המקרים, למה נחשפים ילדיהם בשעות אחר הצהריים ועל מה הם משלמים ממיטב כספם. </w:t>
      </w:r>
    </w:p>
    <w:p w14:paraId="76EDA74C" w14:textId="133428DC" w:rsidR="00F21994" w:rsidRDefault="00F21994" w:rsidP="00F21994">
      <w:pPr>
        <w:pStyle w:val="Hesber"/>
        <w:rPr>
          <w:rtl/>
        </w:rPr>
      </w:pPr>
      <w:r>
        <w:rPr>
          <w:rFonts w:hint="cs"/>
          <w:rtl/>
        </w:rPr>
        <w:t xml:space="preserve">הצעת חוק זו מטרתה ליצור בסיס שווה בכל הרשויות ברחבי הארץ ולהציב רף בסיסי לצהרונים הציבוריים </w:t>
      </w:r>
      <w:r>
        <w:rPr>
          <w:rtl/>
        </w:rPr>
        <w:t>–</w:t>
      </w:r>
      <w:r>
        <w:rPr>
          <w:rFonts w:hint="cs"/>
          <w:rtl/>
        </w:rPr>
        <w:t xml:space="preserve"> הן מבחינת עלות והן מבחינת תוכן, מוצר אחיד וברור בכל הרשויות המקומיות בישראל. מלבד מתן האפשרות ליציאת ההורים לשוק העבודה, דבר שיסייע מאוד לכלכלת ישראל, בזמן שילדיהם נמצאים במסגרת חינוכית, הצעת חוק זו תקבע נורמה של שקיפות בתכנים כך שההורים יוכלו לצאת לשוק העבודה בידיעה שילדיהם נמצאים במקום טוב והם יודעים לאילו תכנים הם נחשפים ומה איכותם.</w:t>
      </w:r>
    </w:p>
    <w:p w14:paraId="4818B9F4" w14:textId="72330616" w:rsidR="005C10C8" w:rsidRPr="000B7CC8" w:rsidRDefault="005C10C8" w:rsidP="002138A2">
      <w:pPr>
        <w:pStyle w:val="Hesber"/>
        <w:rPr>
          <w:rtl/>
        </w:rPr>
      </w:pPr>
      <w:r w:rsidRPr="000B7CC8">
        <w:rPr>
          <w:rFonts w:hint="cs"/>
          <w:rtl/>
        </w:rPr>
        <w:t xml:space="preserve">הצעת חוק זו </w:t>
      </w:r>
      <w:r w:rsidR="002138A2">
        <w:rPr>
          <w:rFonts w:hint="cs"/>
          <w:rtl/>
        </w:rPr>
        <w:t>נועדה</w:t>
      </w:r>
      <w:r w:rsidRPr="000B7CC8">
        <w:rPr>
          <w:rFonts w:hint="cs"/>
          <w:rtl/>
        </w:rPr>
        <w:t xml:space="preserve"> לתת פתרון להורים ולהקל על הנטל הכלכלי הגדול המונח על כתפיהם בגידול ילדים. כיום, הורים מוציאים מאות ואף אלפי שקלים</w:t>
      </w:r>
      <w:r w:rsidR="002138A2">
        <w:rPr>
          <w:rFonts w:hint="cs"/>
          <w:rtl/>
        </w:rPr>
        <w:t xml:space="preserve"> חדשים</w:t>
      </w:r>
      <w:r w:rsidRPr="000B7CC8">
        <w:rPr>
          <w:rFonts w:hint="cs"/>
          <w:rtl/>
        </w:rPr>
        <w:t xml:space="preserve"> בגין צהרונים עבור ילדיהם. הצעת חוק זו </w:t>
      </w:r>
      <w:r w:rsidR="002138A2">
        <w:rPr>
          <w:rFonts w:hint="cs"/>
          <w:rtl/>
        </w:rPr>
        <w:t>נועדה</w:t>
      </w:r>
      <w:r w:rsidRPr="000B7CC8">
        <w:rPr>
          <w:rFonts w:hint="cs"/>
          <w:rtl/>
        </w:rPr>
        <w:t xml:space="preserve"> לסייע להורים לילדים על ידי קביעת חובת קיומם של שירותים אלו ברשות המקומית, במחירים </w:t>
      </w:r>
      <w:r w:rsidRPr="000B7CC8">
        <w:rPr>
          <w:rFonts w:hint="cs"/>
          <w:rtl/>
        </w:rPr>
        <w:lastRenderedPageBreak/>
        <w:t>מפוקחים</w:t>
      </w:r>
      <w:r>
        <w:rPr>
          <w:rFonts w:hint="cs"/>
          <w:rtl/>
        </w:rPr>
        <w:t xml:space="preserve"> ועם תכנים לימודיים מפוקחים</w:t>
      </w:r>
      <w:r w:rsidRPr="000B7CC8">
        <w:rPr>
          <w:rFonts w:hint="cs"/>
          <w:rtl/>
        </w:rPr>
        <w:t>.</w:t>
      </w:r>
    </w:p>
    <w:p w14:paraId="77A29091" w14:textId="38F8CA09" w:rsidR="005C10C8" w:rsidRPr="000B7CC8" w:rsidRDefault="005C10C8" w:rsidP="005C10C8">
      <w:pPr>
        <w:pStyle w:val="Hesber"/>
        <w:rPr>
          <w:rtl/>
        </w:rPr>
      </w:pPr>
      <w:r>
        <w:rPr>
          <w:rFonts w:hint="cs"/>
          <w:rtl/>
        </w:rPr>
        <w:t xml:space="preserve">צהרונים </w:t>
      </w:r>
      <w:r w:rsidRPr="000B7CC8">
        <w:rPr>
          <w:rFonts w:hint="cs"/>
          <w:rtl/>
        </w:rPr>
        <w:t xml:space="preserve">ברשות המקומית במחירים מפוקחים </w:t>
      </w:r>
      <w:r>
        <w:rPr>
          <w:rFonts w:hint="cs"/>
          <w:rtl/>
        </w:rPr>
        <w:t>יחסכו</w:t>
      </w:r>
      <w:r w:rsidRPr="000B7CC8">
        <w:rPr>
          <w:rFonts w:hint="cs"/>
          <w:rtl/>
        </w:rPr>
        <w:t xml:space="preserve"> מאות ואלפי שקלים בחודש להורים. </w:t>
      </w:r>
      <w:r>
        <w:rPr>
          <w:rFonts w:hint="cs"/>
          <w:rtl/>
        </w:rPr>
        <w:t>צהרונים אלו אינם יפגעו</w:t>
      </w:r>
      <w:r w:rsidRPr="000B7CC8">
        <w:rPr>
          <w:rFonts w:hint="cs"/>
          <w:rtl/>
        </w:rPr>
        <w:t xml:space="preserve"> </w:t>
      </w:r>
      <w:r>
        <w:rPr>
          <w:rFonts w:hint="cs"/>
          <w:rtl/>
        </w:rPr>
        <w:t>ב</w:t>
      </w:r>
      <w:r w:rsidRPr="000B7CC8">
        <w:rPr>
          <w:rFonts w:hint="cs"/>
          <w:rtl/>
        </w:rPr>
        <w:t>צהרונים אחרים הקיימים היום בשוק הפרטי. הורה שמעוניין לשלוח ילדיו למסגרות פרטיות או ציבוריות אחרות, כפי שנהוג כיום, יוכל להמשיך לעשות זאת.</w:t>
      </w:r>
    </w:p>
    <w:p w14:paraId="3290FD18" w14:textId="228E6883" w:rsidR="005C10C8" w:rsidRDefault="005C10C8" w:rsidP="006232BD">
      <w:pPr>
        <w:pStyle w:val="Hesber"/>
        <w:rPr>
          <w:rtl/>
        </w:rPr>
      </w:pPr>
      <w:r w:rsidRPr="000B7CC8">
        <w:rPr>
          <w:rFonts w:hint="cs"/>
          <w:rtl/>
        </w:rPr>
        <w:t>יוקר המחייה בישראל מחייב אותנו להקל עם האזרחים ולאפשר להם להקנות לילדיהם את הצרכים הבסיסיים והמקובלים במחירים מפוקחים. לפיכך, מוצע לחייב את הרשויות המקומיות לקיים בתחומן צהרו</w:t>
      </w:r>
      <w:r>
        <w:rPr>
          <w:rFonts w:hint="cs"/>
          <w:rtl/>
        </w:rPr>
        <w:t xml:space="preserve">נים. </w:t>
      </w:r>
      <w:r w:rsidRPr="000B7CC8">
        <w:rPr>
          <w:rFonts w:hint="cs"/>
          <w:rtl/>
        </w:rPr>
        <w:t xml:space="preserve">בנוסף, מוצע לקבוע כי חוק פיקוח על מחירי שירותים ומצרכים, </w:t>
      </w:r>
      <w:proofErr w:type="spellStart"/>
      <w:r w:rsidRPr="000B7CC8">
        <w:rPr>
          <w:rFonts w:hint="cs"/>
          <w:rtl/>
        </w:rPr>
        <w:t>התשנ"ו</w:t>
      </w:r>
      <w:proofErr w:type="spellEnd"/>
      <w:r w:rsidRPr="000B7CC8">
        <w:rPr>
          <w:rFonts w:hint="eastAsia"/>
          <w:rtl/>
        </w:rPr>
        <w:t>–1996, יחול על שירותים אלו שתספק העירייה</w:t>
      </w:r>
      <w:r w:rsidRPr="000B7CC8">
        <w:rPr>
          <w:rFonts w:hint="cs"/>
          <w:rtl/>
        </w:rPr>
        <w:t xml:space="preserve"> ושר ה</w:t>
      </w:r>
      <w:r>
        <w:rPr>
          <w:rFonts w:hint="cs"/>
          <w:rtl/>
        </w:rPr>
        <w:t>חינוך</w:t>
      </w:r>
      <w:r w:rsidRPr="000B7CC8">
        <w:rPr>
          <w:rFonts w:hint="cs"/>
          <w:rtl/>
        </w:rPr>
        <w:t xml:space="preserve"> יהיה רשאי לקבוע מחיר מרבי לשירותים אלו.</w:t>
      </w:r>
      <w:r>
        <w:rPr>
          <w:rFonts w:hint="cs"/>
          <w:rtl/>
        </w:rPr>
        <w:t xml:space="preserve"> כמו כן, שר החינוך יקבע בתקנות, באישור ועדת החינוך, התרבות והספורט של הכנסת, את התכנים הלימודיים.</w:t>
      </w:r>
    </w:p>
    <w:p w14:paraId="22F1FDDA" w14:textId="77777777" w:rsidR="00C73C98" w:rsidRPr="00D73212" w:rsidRDefault="00C73C98" w:rsidP="00C73C98">
      <w:pPr>
        <w:pStyle w:val="Hesber"/>
        <w:rPr>
          <w:color w:val="auto"/>
          <w:rtl/>
          <w:lang w:eastAsia="en-US"/>
        </w:rPr>
      </w:pPr>
      <w:r w:rsidRPr="00D73212">
        <w:rPr>
          <w:color w:val="auto"/>
          <w:rtl/>
          <w:lang w:eastAsia="en-US"/>
        </w:rPr>
        <w:t>---------------------------------</w:t>
      </w:r>
    </w:p>
    <w:p w14:paraId="38A458FB" w14:textId="77777777" w:rsidR="00C73C98" w:rsidRPr="00D73212" w:rsidRDefault="00C73C98" w:rsidP="00C73C98">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13F66549" w14:textId="77777777" w:rsidR="00C73C98" w:rsidRPr="00D73212" w:rsidRDefault="00C73C98" w:rsidP="00C73C98">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6E985BA9" w14:textId="77777777" w:rsidR="00C73C98" w:rsidRPr="00317312" w:rsidRDefault="00C73C98" w:rsidP="00C73C98">
      <w:pPr>
        <w:pStyle w:val="Hesber"/>
      </w:pPr>
      <w:r>
        <w:rPr>
          <w:rFonts w:hint="cs"/>
          <w:color w:val="auto"/>
          <w:rtl/>
          <w:lang w:eastAsia="en-US"/>
        </w:rPr>
        <w:t>כ"ב באדר</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ז</w:t>
      </w:r>
      <w:proofErr w:type="spellEnd"/>
      <w:r w:rsidRPr="00D73212">
        <w:rPr>
          <w:color w:val="auto"/>
          <w:rtl/>
          <w:lang w:eastAsia="en-US"/>
        </w:rPr>
        <w:t xml:space="preserve"> – </w:t>
      </w:r>
      <w:r>
        <w:rPr>
          <w:rFonts w:hint="cs"/>
          <w:color w:val="auto"/>
          <w:rtl/>
          <w:lang w:eastAsia="en-US"/>
        </w:rPr>
        <w:t>20.3</w:t>
      </w:r>
      <w:r w:rsidRPr="00D73212">
        <w:rPr>
          <w:color w:val="auto"/>
          <w:rtl/>
          <w:lang w:eastAsia="en-US"/>
        </w:rPr>
        <w:t>.</w:t>
      </w:r>
      <w:r>
        <w:rPr>
          <w:rFonts w:hint="cs"/>
          <w:color w:val="auto"/>
          <w:rtl/>
          <w:lang w:eastAsia="en-US"/>
        </w:rPr>
        <w:t>17</w:t>
      </w:r>
    </w:p>
    <w:p w14:paraId="7F6961CB" w14:textId="77777777" w:rsidR="00E13C27" w:rsidRPr="00C73C98" w:rsidRDefault="00E13C27" w:rsidP="00E13C27">
      <w:pPr>
        <w:pStyle w:val="Hesber"/>
        <w:rPr>
          <w:rtl/>
        </w:rPr>
      </w:pPr>
    </w:p>
    <w:sectPr w:rsidR="00E13C27" w:rsidRPr="00C73C98"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3B45B8" w14:textId="77777777" w:rsidR="00FC0D03" w:rsidRDefault="00FC0D03">
      <w:r>
        <w:separator/>
      </w:r>
    </w:p>
  </w:endnote>
  <w:endnote w:type="continuationSeparator" w:id="0">
    <w:p w14:paraId="3229C85A" w14:textId="77777777" w:rsidR="00FC0D03" w:rsidRDefault="00FC0D03">
      <w:r>
        <w:continuationSeparator/>
      </w:r>
    </w:p>
  </w:endnote>
  <w:endnote w:type="continuationNotice" w:id="1">
    <w:p w14:paraId="4DE456D9" w14:textId="77777777" w:rsidR="00FC0D03" w:rsidRDefault="00FC0D03">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AC471F">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23A6BF" w14:textId="77777777" w:rsidR="00FC0D03" w:rsidRDefault="00FC0D03">
      <w:r>
        <w:separator/>
      </w:r>
    </w:p>
  </w:footnote>
  <w:footnote w:type="continuationSeparator" w:id="0">
    <w:p w14:paraId="4A76420D" w14:textId="77777777" w:rsidR="00FC0D03" w:rsidRDefault="00FC0D03">
      <w:r>
        <w:continuationSeparator/>
      </w:r>
    </w:p>
  </w:footnote>
  <w:footnote w:type="continuationNotice" w:id="1">
    <w:p w14:paraId="24FF7841" w14:textId="77777777" w:rsidR="00FC0D03" w:rsidRDefault="00FC0D03"/>
  </w:footnote>
  <w:footnote w:id="2">
    <w:p w14:paraId="02EEDB26" w14:textId="77777777" w:rsidR="00DE0416" w:rsidRDefault="00DE0416" w:rsidP="00DE0416">
      <w:pPr>
        <w:pStyle w:val="a4"/>
      </w:pPr>
      <w:r>
        <w:rPr>
          <w:rStyle w:val="a6"/>
        </w:rPr>
        <w:footnoteRef/>
      </w:r>
      <w:r>
        <w:rPr>
          <w:rtl/>
        </w:rPr>
        <w:t xml:space="preserve"> </w:t>
      </w:r>
      <w:r>
        <w:rPr>
          <w:rFonts w:hint="cs"/>
          <w:rtl/>
        </w:rPr>
        <w:t xml:space="preserve">ס"ח </w:t>
      </w:r>
      <w:proofErr w:type="spellStart"/>
      <w:r>
        <w:rPr>
          <w:rFonts w:hint="cs"/>
          <w:rtl/>
        </w:rPr>
        <w:t>התשנ"ו</w:t>
      </w:r>
      <w:proofErr w:type="spellEnd"/>
      <w:r>
        <w:rPr>
          <w:rFonts w:hint="cs"/>
          <w:rtl/>
        </w:rPr>
        <w:t>, עמ' 192.</w:t>
      </w:r>
    </w:p>
  </w:footnote>
  <w:footnote w:id="3">
    <w:p w14:paraId="2059E8F8" w14:textId="77777777" w:rsidR="00DE0416" w:rsidRDefault="00DE0416" w:rsidP="00DE0416">
      <w:pPr>
        <w:pStyle w:val="a4"/>
        <w:rPr>
          <w:rtl/>
        </w:rPr>
      </w:pPr>
      <w:r>
        <w:rPr>
          <w:rStyle w:val="a6"/>
        </w:rPr>
        <w:footnoteRef/>
      </w:r>
      <w:r>
        <w:rPr>
          <w:rtl/>
        </w:rPr>
        <w:t xml:space="preserve"> </w:t>
      </w:r>
      <w:r>
        <w:rPr>
          <w:rFonts w:hint="cs"/>
          <w:rtl/>
        </w:rPr>
        <w:t xml:space="preserve">ס"ח </w:t>
      </w:r>
      <w:proofErr w:type="spellStart"/>
      <w:r>
        <w:rPr>
          <w:rFonts w:hint="cs"/>
          <w:rtl/>
        </w:rPr>
        <w:t>התש"ט</w:t>
      </w:r>
      <w:proofErr w:type="spellEnd"/>
      <w:r>
        <w:rPr>
          <w:rFonts w:hint="cs"/>
          <w:rtl/>
        </w:rPr>
        <w:t>, עמ' 287.</w:t>
      </w:r>
    </w:p>
  </w:footnote>
  <w:footnote w:id="4">
    <w:p w14:paraId="078E6AB0" w14:textId="77777777" w:rsidR="00DE0416" w:rsidRDefault="00DE0416" w:rsidP="00DE0416">
      <w:pPr>
        <w:pStyle w:val="a4"/>
        <w:rPr>
          <w:rtl/>
        </w:rPr>
      </w:pPr>
      <w:r>
        <w:rPr>
          <w:rStyle w:val="a6"/>
        </w:rPr>
        <w:footnoteRef/>
      </w:r>
      <w:r>
        <w:rPr>
          <w:rtl/>
        </w:rPr>
        <w:t xml:space="preserve"> </w:t>
      </w:r>
      <w:r>
        <w:rPr>
          <w:rFonts w:hint="cs"/>
          <w:rtl/>
        </w:rPr>
        <w:t>דיני מדינת ישראל מס' 8, עמ' 197.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38A2"/>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2992"/>
    <w:rsid w:val="003D6E38"/>
    <w:rsid w:val="003D74A0"/>
    <w:rsid w:val="00400BAE"/>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C10C8"/>
    <w:rsid w:val="005D51AE"/>
    <w:rsid w:val="006232BD"/>
    <w:rsid w:val="0062674B"/>
    <w:rsid w:val="006363B2"/>
    <w:rsid w:val="00644940"/>
    <w:rsid w:val="006818A9"/>
    <w:rsid w:val="006A2D81"/>
    <w:rsid w:val="006C1D0D"/>
    <w:rsid w:val="006D2706"/>
    <w:rsid w:val="0070601E"/>
    <w:rsid w:val="00712C72"/>
    <w:rsid w:val="00735FE9"/>
    <w:rsid w:val="00763CAA"/>
    <w:rsid w:val="00765F66"/>
    <w:rsid w:val="0078664F"/>
    <w:rsid w:val="00792FE3"/>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83F23"/>
    <w:rsid w:val="00A942C1"/>
    <w:rsid w:val="00AA2F03"/>
    <w:rsid w:val="00AC36F7"/>
    <w:rsid w:val="00AC471F"/>
    <w:rsid w:val="00AC63A4"/>
    <w:rsid w:val="00AD239E"/>
    <w:rsid w:val="00B10265"/>
    <w:rsid w:val="00B16A99"/>
    <w:rsid w:val="00B21211"/>
    <w:rsid w:val="00B276A1"/>
    <w:rsid w:val="00B35784"/>
    <w:rsid w:val="00B733A7"/>
    <w:rsid w:val="00B75C91"/>
    <w:rsid w:val="00B975AD"/>
    <w:rsid w:val="00BC45FB"/>
    <w:rsid w:val="00BF148D"/>
    <w:rsid w:val="00C23B1A"/>
    <w:rsid w:val="00C310EB"/>
    <w:rsid w:val="00C73C98"/>
    <w:rsid w:val="00C9176A"/>
    <w:rsid w:val="00CF1AA2"/>
    <w:rsid w:val="00CF6C02"/>
    <w:rsid w:val="00D17774"/>
    <w:rsid w:val="00D63620"/>
    <w:rsid w:val="00D8410D"/>
    <w:rsid w:val="00D867D7"/>
    <w:rsid w:val="00DB2980"/>
    <w:rsid w:val="00DB7060"/>
    <w:rsid w:val="00DE0416"/>
    <w:rsid w:val="00DE3153"/>
    <w:rsid w:val="00E06736"/>
    <w:rsid w:val="00E13C27"/>
    <w:rsid w:val="00E33BBD"/>
    <w:rsid w:val="00E374F2"/>
    <w:rsid w:val="00E45103"/>
    <w:rsid w:val="00E52A92"/>
    <w:rsid w:val="00E55A60"/>
    <w:rsid w:val="00E62778"/>
    <w:rsid w:val="00E63D38"/>
    <w:rsid w:val="00E665B9"/>
    <w:rsid w:val="00EA01E6"/>
    <w:rsid w:val="00EA3DE8"/>
    <w:rsid w:val="00EA758F"/>
    <w:rsid w:val="00ED4A6F"/>
    <w:rsid w:val="00EF3A3A"/>
    <w:rsid w:val="00F21994"/>
    <w:rsid w:val="00F628D6"/>
    <w:rsid w:val="00F67051"/>
    <w:rsid w:val="00F86A1E"/>
    <w:rsid w:val="00FA5E88"/>
    <w:rsid w:val="00FC0D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DE0416"/>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4167930-04F9-4D3D-89BE-93F5CB26B35F}"/>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0CCA68B7-6EAD-492E-8000-837120C6B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624</Words>
  <Characters>3124</Characters>
  <Application>Microsoft Office Word</Application>
  <DocSecurity>0</DocSecurity>
  <Lines>26</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רבקה וידר</cp:lastModifiedBy>
  <cp:revision>2</cp:revision>
  <cp:lastPrinted>2017-02-13T18:59:00Z</cp:lastPrinted>
  <dcterms:created xsi:type="dcterms:W3CDTF">2017-07-09T07:38:00Z</dcterms:created>
  <dcterms:modified xsi:type="dcterms:W3CDTF">2017-07-09T07:38:00Z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2018007</vt:r8>
  </property>
</Properties>
</file>