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2950" w:rsidRPr="002969CD" w:rsidRDefault="00C52950" w:rsidP="00C52950">
      <w:pPr>
        <w:tabs>
          <w:tab w:val="left" w:pos="0"/>
          <w:tab w:val="left" w:pos="226"/>
        </w:tabs>
        <w:jc w:val="center"/>
        <w:rPr>
          <w:rFonts w:ascii="David" w:hAnsi="David" w:cs="David"/>
          <w:rtl/>
        </w:rPr>
      </w:pPr>
      <w:bookmarkStart w:id="0" w:name="_GoBack"/>
      <w:bookmarkEnd w:id="0"/>
      <w:r w:rsidRPr="002969CD">
        <w:rPr>
          <w:rFonts w:ascii="David" w:hAnsi="David" w:cs="David"/>
          <w:noProof/>
        </w:rPr>
        <w:drawing>
          <wp:inline distT="0" distB="0" distL="0" distR="0" wp14:anchorId="26AFC33E" wp14:editId="3FE1EBED">
            <wp:extent cx="2596039" cy="657225"/>
            <wp:effectExtent l="0" t="0" r="0" b="0"/>
            <wp:docPr id="1" name="Picture 1" descr="cwj w hebr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wj w hebrew"/>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96039" cy="657225"/>
                    </a:xfrm>
                    <a:prstGeom prst="rect">
                      <a:avLst/>
                    </a:prstGeom>
                    <a:noFill/>
                    <a:ln>
                      <a:noFill/>
                    </a:ln>
                  </pic:spPr>
                </pic:pic>
              </a:graphicData>
            </a:graphic>
          </wp:inline>
        </w:drawing>
      </w:r>
      <w:r w:rsidRPr="002969CD">
        <w:rPr>
          <w:rFonts w:ascii="David" w:hAnsi="David" w:cs="David"/>
          <w:rtl/>
        </w:rPr>
        <w:t>____________________________________________________________________</w:t>
      </w:r>
    </w:p>
    <w:p w:rsidR="00C52950" w:rsidRPr="002969CD" w:rsidRDefault="00C52950" w:rsidP="00C52950">
      <w:pPr>
        <w:tabs>
          <w:tab w:val="left" w:pos="0"/>
          <w:tab w:val="left" w:pos="226"/>
        </w:tabs>
        <w:rPr>
          <w:rFonts w:ascii="David" w:hAnsi="David" w:cs="David"/>
        </w:rPr>
      </w:pPr>
    </w:p>
    <w:p w:rsidR="00C52950" w:rsidRPr="002969CD" w:rsidRDefault="00C52950" w:rsidP="00EF17AB">
      <w:pPr>
        <w:tabs>
          <w:tab w:val="left" w:pos="0"/>
          <w:tab w:val="left" w:pos="226"/>
        </w:tabs>
        <w:rPr>
          <w:rFonts w:ascii="David" w:hAnsi="David" w:cs="David"/>
          <w:rtl/>
        </w:rPr>
      </w:pPr>
      <w:r w:rsidRPr="002969CD">
        <w:rPr>
          <w:rFonts w:ascii="David" w:hAnsi="David" w:cs="David"/>
          <w:rtl/>
        </w:rPr>
        <w:tab/>
      </w:r>
      <w:r w:rsidRPr="002969CD">
        <w:rPr>
          <w:rFonts w:ascii="David" w:hAnsi="David" w:cs="David"/>
          <w:rtl/>
        </w:rPr>
        <w:tab/>
      </w:r>
      <w:r w:rsidRPr="002969CD">
        <w:rPr>
          <w:rFonts w:ascii="David" w:hAnsi="David" w:cs="David"/>
          <w:rtl/>
        </w:rPr>
        <w:tab/>
      </w:r>
      <w:r w:rsidRPr="002969CD">
        <w:rPr>
          <w:rFonts w:ascii="David" w:hAnsi="David" w:cs="David"/>
          <w:rtl/>
        </w:rPr>
        <w:tab/>
      </w:r>
      <w:r w:rsidRPr="002969CD">
        <w:rPr>
          <w:rFonts w:ascii="David" w:hAnsi="David" w:cs="David"/>
          <w:rtl/>
        </w:rPr>
        <w:tab/>
      </w:r>
      <w:r w:rsidRPr="002969CD">
        <w:rPr>
          <w:rFonts w:ascii="David" w:hAnsi="David" w:cs="David"/>
          <w:rtl/>
        </w:rPr>
        <w:tab/>
      </w:r>
      <w:r w:rsidRPr="002969CD">
        <w:rPr>
          <w:rFonts w:ascii="David" w:hAnsi="David" w:cs="David"/>
          <w:rtl/>
        </w:rPr>
        <w:tab/>
      </w:r>
      <w:r w:rsidRPr="002969CD">
        <w:rPr>
          <w:rFonts w:ascii="David" w:hAnsi="David" w:cs="David"/>
          <w:rtl/>
        </w:rPr>
        <w:tab/>
        <w:t xml:space="preserve">          </w:t>
      </w:r>
      <w:r w:rsidRPr="002969CD">
        <w:rPr>
          <w:rFonts w:ascii="David" w:hAnsi="David" w:cs="David"/>
          <w:rtl/>
        </w:rPr>
        <w:tab/>
        <w:t xml:space="preserve">           </w:t>
      </w:r>
      <w:r w:rsidR="004504EC">
        <w:rPr>
          <w:rFonts w:ascii="David" w:hAnsi="David" w:cs="David" w:hint="cs"/>
          <w:rtl/>
        </w:rPr>
        <w:tab/>
      </w:r>
      <w:r w:rsidR="004504EC">
        <w:rPr>
          <w:rFonts w:ascii="David" w:hAnsi="David" w:cs="David" w:hint="cs"/>
          <w:rtl/>
        </w:rPr>
        <w:tab/>
      </w:r>
      <w:r w:rsidR="00EF17AB" w:rsidRPr="002969CD">
        <w:rPr>
          <w:rFonts w:ascii="David" w:hAnsi="David" w:cs="David"/>
          <w:rtl/>
        </w:rPr>
        <w:t>שבט תשע"ו</w:t>
      </w:r>
    </w:p>
    <w:p w:rsidR="00C52950" w:rsidRPr="002969CD" w:rsidRDefault="00C52950" w:rsidP="00C52950">
      <w:pPr>
        <w:tabs>
          <w:tab w:val="left" w:pos="0"/>
          <w:tab w:val="left" w:pos="226"/>
        </w:tabs>
        <w:spacing w:line="360" w:lineRule="auto"/>
        <w:jc w:val="right"/>
        <w:rPr>
          <w:rFonts w:ascii="David" w:hAnsi="David" w:cs="David"/>
          <w:rtl/>
        </w:rPr>
      </w:pPr>
      <w:r w:rsidRPr="002969CD">
        <w:rPr>
          <w:rFonts w:ascii="David" w:hAnsi="David" w:cs="David"/>
          <w:rtl/>
        </w:rPr>
        <w:fldChar w:fldCharType="begin"/>
      </w:r>
      <w:r w:rsidRPr="002969CD">
        <w:rPr>
          <w:rFonts w:ascii="David" w:hAnsi="David" w:cs="David"/>
          <w:rtl/>
        </w:rPr>
        <w:instrText xml:space="preserve"> </w:instrText>
      </w:r>
      <w:r w:rsidRPr="002969CD">
        <w:rPr>
          <w:rFonts w:ascii="David" w:hAnsi="David" w:cs="David"/>
        </w:rPr>
        <w:instrText>DATE  \@ "d MMMM, yyyy"  \* MERGEFORMAT</w:instrText>
      </w:r>
      <w:r w:rsidRPr="002969CD">
        <w:rPr>
          <w:rFonts w:ascii="David" w:hAnsi="David" w:cs="David"/>
          <w:rtl/>
        </w:rPr>
        <w:instrText xml:space="preserve"> </w:instrText>
      </w:r>
      <w:r w:rsidRPr="002969CD">
        <w:rPr>
          <w:rFonts w:ascii="David" w:hAnsi="David" w:cs="David"/>
          <w:rtl/>
        </w:rPr>
        <w:fldChar w:fldCharType="separate"/>
      </w:r>
      <w:r w:rsidR="000F6BA2">
        <w:rPr>
          <w:rFonts w:ascii="David" w:hAnsi="David" w:cs="David"/>
          <w:noProof/>
          <w:rtl/>
        </w:rPr>
        <w:t>‏9 יולי, 2017</w:t>
      </w:r>
      <w:r w:rsidRPr="002969CD">
        <w:rPr>
          <w:rFonts w:ascii="David" w:hAnsi="David" w:cs="David"/>
          <w:rtl/>
        </w:rPr>
        <w:fldChar w:fldCharType="end"/>
      </w:r>
    </w:p>
    <w:p w:rsidR="00C52950" w:rsidRPr="002969CD" w:rsidRDefault="00C52950" w:rsidP="00C52950">
      <w:pPr>
        <w:tabs>
          <w:tab w:val="left" w:pos="0"/>
          <w:tab w:val="left" w:pos="226"/>
        </w:tabs>
        <w:spacing w:line="360" w:lineRule="auto"/>
        <w:jc w:val="center"/>
        <w:rPr>
          <w:rFonts w:ascii="David" w:hAnsi="David" w:cs="David"/>
          <w:rtl/>
        </w:rPr>
      </w:pPr>
    </w:p>
    <w:p w:rsidR="00EF17AB" w:rsidRPr="002969CD" w:rsidRDefault="00EF17AB" w:rsidP="00EF17AB">
      <w:pPr>
        <w:spacing w:line="360" w:lineRule="auto"/>
        <w:jc w:val="center"/>
        <w:rPr>
          <w:rFonts w:ascii="David" w:hAnsi="David" w:cs="David"/>
          <w:b/>
          <w:bCs/>
          <w:u w:val="single"/>
          <w:rtl/>
        </w:rPr>
      </w:pPr>
      <w:r w:rsidRPr="002969CD">
        <w:rPr>
          <w:rFonts w:ascii="David" w:hAnsi="David" w:cs="David"/>
          <w:b/>
          <w:bCs/>
          <w:u w:val="single"/>
          <w:rtl/>
        </w:rPr>
        <w:t>עמדת מרכז צדק לנשים בעניין הצעת חוק שיפוט בתי דין דתיים (בוררות) התשע"ה - 2015</w:t>
      </w:r>
    </w:p>
    <w:p w:rsidR="00EF17AB" w:rsidRPr="002969CD" w:rsidRDefault="00EF17AB" w:rsidP="00EF17AB">
      <w:pPr>
        <w:spacing w:line="360" w:lineRule="auto"/>
        <w:jc w:val="center"/>
        <w:rPr>
          <w:rFonts w:ascii="David" w:hAnsi="David" w:cs="David"/>
          <w:b/>
          <w:bCs/>
          <w:u w:val="single"/>
          <w:rtl/>
        </w:rPr>
      </w:pPr>
    </w:p>
    <w:p w:rsidR="00EF17AB" w:rsidRPr="002969CD" w:rsidRDefault="00EF17AB" w:rsidP="00D4723F">
      <w:pPr>
        <w:spacing w:line="360" w:lineRule="auto"/>
        <w:ind w:left="186"/>
        <w:jc w:val="both"/>
        <w:rPr>
          <w:rFonts w:ascii="David" w:hAnsi="David" w:cs="David"/>
          <w:rtl/>
        </w:rPr>
      </w:pPr>
      <w:r w:rsidRPr="002969CD">
        <w:rPr>
          <w:rFonts w:ascii="David" w:hAnsi="David" w:cs="David"/>
          <w:rtl/>
        </w:rPr>
        <w:t>הצעת החוק לעניין שיפוט בתי דין רבניים (בוררות)</w:t>
      </w:r>
      <w:r w:rsidR="00324455">
        <w:rPr>
          <w:rFonts w:ascii="David" w:hAnsi="David" w:cs="David" w:hint="cs"/>
          <w:rtl/>
        </w:rPr>
        <w:t>,</w:t>
      </w:r>
      <w:r w:rsidRPr="002969CD">
        <w:rPr>
          <w:rFonts w:ascii="David" w:hAnsi="David" w:cs="David"/>
          <w:rtl/>
        </w:rPr>
        <w:t xml:space="preserve"> תשע"ה - 2015 (להלן: "</w:t>
      </w:r>
      <w:r w:rsidRPr="002969CD">
        <w:rPr>
          <w:rFonts w:ascii="David" w:hAnsi="David" w:cs="David"/>
          <w:b/>
          <w:bCs/>
          <w:rtl/>
        </w:rPr>
        <w:t>הצעת החוק</w:t>
      </w:r>
      <w:r w:rsidRPr="002969CD">
        <w:rPr>
          <w:rFonts w:ascii="David" w:hAnsi="David" w:cs="David"/>
          <w:rtl/>
        </w:rPr>
        <w:t>"</w:t>
      </w:r>
      <w:r w:rsidRPr="002969CD">
        <w:rPr>
          <w:rFonts w:ascii="David" w:hAnsi="David" w:cs="David"/>
        </w:rPr>
        <w:t>(</w:t>
      </w:r>
      <w:r w:rsidRPr="002969CD">
        <w:rPr>
          <w:rFonts w:ascii="David" w:hAnsi="David" w:cs="David"/>
          <w:rtl/>
        </w:rPr>
        <w:t xml:space="preserve"> מציעה לעגן בחקיקה את סמכותם של בתי הדין הדתיים לשמש כבוררים בעניינים </w:t>
      </w:r>
      <w:r w:rsidR="00D4723F">
        <w:rPr>
          <w:rFonts w:ascii="David" w:hAnsi="David" w:cs="David" w:hint="cs"/>
          <w:rtl/>
        </w:rPr>
        <w:t>שאינם פליליים ומנהליים</w:t>
      </w:r>
      <w:r w:rsidRPr="002969CD">
        <w:rPr>
          <w:rFonts w:ascii="David" w:hAnsi="David" w:cs="David"/>
          <w:rtl/>
        </w:rPr>
        <w:t xml:space="preserve"> </w:t>
      </w:r>
      <w:r w:rsidR="00D4723F">
        <w:rPr>
          <w:rFonts w:ascii="David" w:hAnsi="David" w:cs="David" w:hint="cs"/>
          <w:rtl/>
        </w:rPr>
        <w:t xml:space="preserve">ואשר </w:t>
      </w:r>
      <w:r w:rsidRPr="002969CD">
        <w:rPr>
          <w:rFonts w:ascii="David" w:hAnsi="David" w:cs="David"/>
          <w:rtl/>
        </w:rPr>
        <w:t xml:space="preserve">אינם קשורים לדיני נישואין וגירושין. בכך תורחב סמכות בתי הדין הדתיים לדון </w:t>
      </w:r>
      <w:r w:rsidR="005742DD" w:rsidRPr="002969CD">
        <w:rPr>
          <w:rFonts w:ascii="David" w:hAnsi="David" w:cs="David"/>
          <w:rtl/>
        </w:rPr>
        <w:t xml:space="preserve">כבוררים בהסכמה </w:t>
      </w:r>
      <w:r w:rsidRPr="002969CD">
        <w:rPr>
          <w:rFonts w:ascii="David" w:hAnsi="David" w:cs="David"/>
          <w:rtl/>
        </w:rPr>
        <w:t>אף בענייני עבודה, דיני תאגידים, דיני חוזים, דיני שטרות, וכיוצא בזה.</w:t>
      </w:r>
    </w:p>
    <w:p w:rsidR="00EF17AB" w:rsidRPr="002969CD" w:rsidRDefault="00EF17AB" w:rsidP="004504EC">
      <w:pPr>
        <w:spacing w:line="360" w:lineRule="auto"/>
        <w:ind w:left="186"/>
        <w:jc w:val="both"/>
        <w:rPr>
          <w:rFonts w:ascii="David" w:hAnsi="David" w:cs="David"/>
          <w:rtl/>
        </w:rPr>
      </w:pPr>
      <w:r w:rsidRPr="002969CD">
        <w:rPr>
          <w:rFonts w:ascii="David" w:hAnsi="David" w:cs="David"/>
          <w:rtl/>
        </w:rPr>
        <w:t xml:space="preserve">מרכז צדק לנשים מתנגד ומסתייג מהצעת החוק, באשר היא תפגע בזכותן החוקתית של נשים לשוויון, </w:t>
      </w:r>
      <w:r w:rsidR="004504EC">
        <w:rPr>
          <w:rFonts w:ascii="David" w:hAnsi="David" w:cs="David" w:hint="cs"/>
          <w:rtl/>
        </w:rPr>
        <w:t>וכן תחיל את דין התורה על כל תחומי המשפט שאינו</w:t>
      </w:r>
      <w:r w:rsidR="00D4723F">
        <w:rPr>
          <w:rFonts w:ascii="David" w:hAnsi="David" w:cs="David" w:hint="cs"/>
          <w:rtl/>
        </w:rPr>
        <w:t xml:space="preserve"> פלילי או מנהלי ללא כל הסתייגות תוך פגיעה בזכויות יסוד.</w:t>
      </w:r>
    </w:p>
    <w:p w:rsidR="00EF17AB" w:rsidRPr="002969CD" w:rsidRDefault="00EF17AB" w:rsidP="00EF17AB">
      <w:pPr>
        <w:spacing w:line="360" w:lineRule="auto"/>
        <w:ind w:left="186"/>
        <w:jc w:val="both"/>
        <w:rPr>
          <w:rFonts w:ascii="David" w:hAnsi="David" w:cs="David"/>
          <w:rtl/>
        </w:rPr>
      </w:pPr>
    </w:p>
    <w:p w:rsidR="00EF17AB" w:rsidRPr="002969CD" w:rsidRDefault="00EF17AB" w:rsidP="00EF17AB">
      <w:pPr>
        <w:spacing w:line="360" w:lineRule="auto"/>
        <w:ind w:left="186"/>
        <w:jc w:val="both"/>
        <w:rPr>
          <w:rFonts w:ascii="David" w:hAnsi="David" w:cs="David"/>
          <w:rtl/>
        </w:rPr>
      </w:pPr>
      <w:r w:rsidRPr="002969CD">
        <w:rPr>
          <w:rFonts w:ascii="David" w:hAnsi="David" w:cs="David"/>
          <w:rtl/>
        </w:rPr>
        <w:t>להלן הטעמים להתנגדות בהרחבה:</w:t>
      </w:r>
    </w:p>
    <w:p w:rsidR="00EF17AB" w:rsidRPr="002969CD" w:rsidRDefault="00EF17AB" w:rsidP="00EF17AB">
      <w:pPr>
        <w:spacing w:line="360" w:lineRule="auto"/>
        <w:ind w:left="186"/>
        <w:jc w:val="both"/>
        <w:rPr>
          <w:rFonts w:ascii="David" w:hAnsi="David" w:cs="David"/>
          <w:rtl/>
        </w:rPr>
      </w:pPr>
    </w:p>
    <w:p w:rsidR="00EF17AB" w:rsidRPr="002969CD" w:rsidRDefault="00EF17AB" w:rsidP="00EF17AB">
      <w:pPr>
        <w:pStyle w:val="a7"/>
        <w:numPr>
          <w:ilvl w:val="0"/>
          <w:numId w:val="2"/>
        </w:numPr>
        <w:spacing w:line="360" w:lineRule="auto"/>
        <w:jc w:val="both"/>
        <w:rPr>
          <w:rFonts w:ascii="David" w:hAnsi="David" w:cs="David"/>
        </w:rPr>
      </w:pPr>
      <w:r w:rsidRPr="002969CD">
        <w:rPr>
          <w:rFonts w:ascii="David" w:hAnsi="David" w:cs="David"/>
          <w:b/>
          <w:bCs/>
          <w:rtl/>
        </w:rPr>
        <w:t xml:space="preserve">הצעת החוק פוגעת בזכותן </w:t>
      </w:r>
      <w:r w:rsidR="00D95F86" w:rsidRPr="002969CD">
        <w:rPr>
          <w:rFonts w:ascii="David" w:hAnsi="David" w:cs="David"/>
          <w:b/>
          <w:bCs/>
          <w:rtl/>
        </w:rPr>
        <w:t xml:space="preserve">החוקתית </w:t>
      </w:r>
      <w:r w:rsidRPr="002969CD">
        <w:rPr>
          <w:rFonts w:ascii="David" w:hAnsi="David" w:cs="David"/>
          <w:b/>
          <w:bCs/>
          <w:rtl/>
        </w:rPr>
        <w:t>של נשים לשוויון</w:t>
      </w:r>
      <w:r w:rsidRPr="002969CD">
        <w:rPr>
          <w:rFonts w:ascii="David" w:hAnsi="David" w:cs="David"/>
          <w:rtl/>
        </w:rPr>
        <w:t xml:space="preserve"> </w:t>
      </w:r>
      <w:r w:rsidR="005D705E" w:rsidRPr="002969CD">
        <w:rPr>
          <w:rFonts w:ascii="David" w:hAnsi="David" w:cs="David"/>
          <w:b/>
          <w:bCs/>
          <w:rtl/>
        </w:rPr>
        <w:t>בניגוד לחוקי היסוד</w:t>
      </w:r>
      <w:r w:rsidR="00360506" w:rsidRPr="002969CD">
        <w:rPr>
          <w:rFonts w:ascii="David" w:hAnsi="David" w:cs="David"/>
          <w:b/>
          <w:bCs/>
          <w:rtl/>
        </w:rPr>
        <w:t xml:space="preserve"> ולאמנה הבינלאומית</w:t>
      </w:r>
      <w:r w:rsidRPr="002969CD">
        <w:rPr>
          <w:rFonts w:ascii="David" w:hAnsi="David" w:cs="David"/>
          <w:rtl/>
        </w:rPr>
        <w:t>–</w:t>
      </w:r>
    </w:p>
    <w:p w:rsidR="00CB4222" w:rsidRPr="002969CD" w:rsidRDefault="00CB4222" w:rsidP="002F5B4B">
      <w:pPr>
        <w:spacing w:line="360" w:lineRule="auto"/>
        <w:ind w:left="186"/>
        <w:jc w:val="both"/>
        <w:rPr>
          <w:rFonts w:ascii="David" w:hAnsi="David" w:cs="David"/>
          <w:rtl/>
        </w:rPr>
      </w:pPr>
    </w:p>
    <w:p w:rsidR="000375FC" w:rsidRPr="002969CD" w:rsidRDefault="00EF17AB" w:rsidP="0059046A">
      <w:pPr>
        <w:spacing w:line="360" w:lineRule="auto"/>
        <w:ind w:left="186"/>
        <w:jc w:val="both"/>
        <w:rPr>
          <w:rFonts w:ascii="David" w:hAnsi="David" w:cs="David"/>
        </w:rPr>
      </w:pPr>
      <w:r w:rsidRPr="002969CD">
        <w:rPr>
          <w:rFonts w:ascii="David" w:hAnsi="David" w:cs="David"/>
          <w:rtl/>
        </w:rPr>
        <w:t>הנחת העבודה של הצעת החוק היא שהבוררים ימונו מקרב הדיינים המכהנים בבתי הדין</w:t>
      </w:r>
      <w:r w:rsidR="005742DD" w:rsidRPr="002969CD">
        <w:rPr>
          <w:rFonts w:ascii="David" w:hAnsi="David" w:cs="David"/>
          <w:rtl/>
        </w:rPr>
        <w:t xml:space="preserve"> הדתיים</w:t>
      </w:r>
      <w:r w:rsidRPr="002969CD">
        <w:rPr>
          <w:rFonts w:ascii="David" w:hAnsi="David" w:cs="David"/>
          <w:rtl/>
        </w:rPr>
        <w:t>.</w:t>
      </w:r>
      <w:r w:rsidR="005742DD" w:rsidRPr="002969CD">
        <w:rPr>
          <w:rFonts w:ascii="David" w:hAnsi="David" w:cs="David"/>
          <w:rtl/>
        </w:rPr>
        <w:t xml:space="preserve"> באופן זה תורחב באופן משמעותי ההפליה </w:t>
      </w:r>
      <w:r w:rsidR="002F5B4B" w:rsidRPr="002969CD">
        <w:rPr>
          <w:rFonts w:ascii="David" w:hAnsi="David" w:cs="David"/>
          <w:rtl/>
        </w:rPr>
        <w:t xml:space="preserve">הקשה </w:t>
      </w:r>
      <w:r w:rsidR="005742DD" w:rsidRPr="002969CD">
        <w:rPr>
          <w:rFonts w:ascii="David" w:hAnsi="David" w:cs="David"/>
          <w:rtl/>
        </w:rPr>
        <w:t xml:space="preserve">הננקטת כלפי נשים שכהונתן </w:t>
      </w:r>
      <w:r w:rsidR="00091B58" w:rsidRPr="002969CD">
        <w:rPr>
          <w:rFonts w:ascii="David" w:hAnsi="David" w:cs="David"/>
          <w:rtl/>
        </w:rPr>
        <w:t>בתפקידי שיפוט</w:t>
      </w:r>
      <w:r w:rsidR="005742DD" w:rsidRPr="002969CD">
        <w:rPr>
          <w:rFonts w:ascii="David" w:hAnsi="David" w:cs="David"/>
          <w:rtl/>
        </w:rPr>
        <w:t xml:space="preserve"> נמנעת בבתי הדין הרבניים</w:t>
      </w:r>
      <w:r w:rsidR="00091B58" w:rsidRPr="002969CD">
        <w:rPr>
          <w:rFonts w:ascii="David" w:hAnsi="David" w:cs="David"/>
          <w:rtl/>
        </w:rPr>
        <w:t>.</w:t>
      </w:r>
      <w:r w:rsidR="0059046A">
        <w:rPr>
          <w:rFonts w:ascii="David" w:hAnsi="David" w:cs="David" w:hint="cs"/>
          <w:rtl/>
        </w:rPr>
        <w:t xml:space="preserve"> מעבר לפגיעה בחופש העיסוק ופגיעה בעקרון הייצוג ההולם, התולדה של מדיניות </w:t>
      </w:r>
      <w:r w:rsidR="0059046A" w:rsidRPr="00F40C21">
        <w:rPr>
          <w:rFonts w:ascii="David" w:hAnsi="David" w:cs="David" w:hint="cs"/>
          <w:rtl/>
        </w:rPr>
        <w:t>זו היא</w:t>
      </w:r>
      <w:r w:rsidR="00091B58" w:rsidRPr="00F40C21">
        <w:rPr>
          <w:rFonts w:ascii="David" w:hAnsi="David" w:cs="David"/>
          <w:rtl/>
        </w:rPr>
        <w:t xml:space="preserve"> </w:t>
      </w:r>
      <w:r w:rsidR="000375FC" w:rsidRPr="00F40C21">
        <w:rPr>
          <w:rFonts w:ascii="David" w:hAnsi="David" w:cs="David"/>
          <w:rtl/>
        </w:rPr>
        <w:t>ש</w:t>
      </w:r>
      <w:r w:rsidR="00091B58" w:rsidRPr="00F40C21">
        <w:rPr>
          <w:rFonts w:ascii="David" w:hAnsi="David" w:cs="David"/>
          <w:rtl/>
        </w:rPr>
        <w:t>אין לנשים השפעה על התוויית</w:t>
      </w:r>
      <w:r w:rsidR="005D705E" w:rsidRPr="00F40C21">
        <w:rPr>
          <w:rFonts w:ascii="David" w:hAnsi="David" w:cs="David"/>
          <w:rtl/>
        </w:rPr>
        <w:t xml:space="preserve"> דרכו והתנהלותו של בתי הדין הרבניים, חרף העובדה שכמחצית מהמתדיינים בבתי הדין הם נשים</w:t>
      </w:r>
      <w:r w:rsidR="005742DD" w:rsidRPr="00F40C21">
        <w:rPr>
          <w:rFonts w:ascii="David" w:hAnsi="David" w:cs="David"/>
          <w:rtl/>
        </w:rPr>
        <w:t>.</w:t>
      </w:r>
      <w:r w:rsidR="00D95F86" w:rsidRPr="002969CD">
        <w:rPr>
          <w:rFonts w:ascii="David" w:hAnsi="David" w:cs="David"/>
          <w:rtl/>
        </w:rPr>
        <w:t xml:space="preserve"> </w:t>
      </w:r>
      <w:r w:rsidR="0059046A">
        <w:rPr>
          <w:rFonts w:ascii="David" w:hAnsi="David" w:cs="David" w:hint="cs"/>
          <w:rtl/>
        </w:rPr>
        <w:t xml:space="preserve">אך מעבר לכך, </w:t>
      </w:r>
      <w:r w:rsidR="00ED1E87">
        <w:rPr>
          <w:rFonts w:ascii="David" w:hAnsi="David" w:cs="David" w:hint="cs"/>
          <w:rtl/>
        </w:rPr>
        <w:t xml:space="preserve">השתתת ערכאה שיפוטית על גורמים שיפוטיים גברים בלבד ללא מתן אפשרות לדריסת רגל של נשים, מהווה פגיעה שורשית ביותר בכבוד האדם. </w:t>
      </w:r>
      <w:r w:rsidR="00F40C21">
        <w:rPr>
          <w:rFonts w:cs="David"/>
          <w:rtl/>
        </w:rPr>
        <w:t>עמדה זו, פוגעת לא רק במובנו הרחב של עקרון השוויון (</w:t>
      </w:r>
      <w:r w:rsidR="00F40C21">
        <w:rPr>
          <w:rFonts w:ascii="Tahoma" w:hAnsi="Tahoma" w:cs="David"/>
          <w:rtl/>
        </w:rPr>
        <w:t>בג</w:t>
      </w:r>
      <w:r w:rsidR="00F40C21">
        <w:rPr>
          <w:rFonts w:cs="David"/>
          <w:rtl/>
        </w:rPr>
        <w:t>"</w:t>
      </w:r>
      <w:r w:rsidR="00F40C21">
        <w:rPr>
          <w:rFonts w:ascii="Tahoma" w:hAnsi="Tahoma" w:cs="David"/>
          <w:rtl/>
        </w:rPr>
        <w:t xml:space="preserve">צ </w:t>
      </w:r>
      <w:r w:rsidR="00F40C21">
        <w:rPr>
          <w:rFonts w:cs="David"/>
          <w:rtl/>
        </w:rPr>
        <w:t xml:space="preserve">4948/03 </w:t>
      </w:r>
      <w:r w:rsidR="00F40C21">
        <w:rPr>
          <w:rFonts w:ascii="Tahoma" w:hAnsi="Tahoma" w:cs="David"/>
          <w:b/>
          <w:bCs/>
          <w:rtl/>
        </w:rPr>
        <w:t>אלחנתי נ</w:t>
      </w:r>
      <w:r w:rsidR="00F40C21">
        <w:rPr>
          <w:rFonts w:cs="David"/>
          <w:b/>
          <w:bCs/>
          <w:rtl/>
        </w:rPr>
        <w:t xml:space="preserve">' </w:t>
      </w:r>
      <w:r w:rsidR="00F40C21">
        <w:rPr>
          <w:rFonts w:ascii="Tahoma" w:hAnsi="Tahoma" w:cs="David"/>
          <w:b/>
          <w:bCs/>
          <w:rtl/>
        </w:rPr>
        <w:t>שר האוצר</w:t>
      </w:r>
      <w:r w:rsidR="00F40C21">
        <w:rPr>
          <w:rFonts w:ascii="Tahoma" w:hAnsi="Tahoma" w:cs="David"/>
          <w:rtl/>
        </w:rPr>
        <w:t xml:space="preserve"> פ</w:t>
      </w:r>
      <w:r w:rsidR="00F40C21">
        <w:rPr>
          <w:rFonts w:cs="David"/>
          <w:rtl/>
        </w:rPr>
        <w:t>"</w:t>
      </w:r>
      <w:r w:rsidR="00F40C21">
        <w:rPr>
          <w:rFonts w:ascii="Tahoma" w:hAnsi="Tahoma" w:cs="David"/>
          <w:rtl/>
        </w:rPr>
        <w:t>ד סב</w:t>
      </w:r>
      <w:r w:rsidR="00F40C21">
        <w:rPr>
          <w:rFonts w:cs="David"/>
          <w:rtl/>
        </w:rPr>
        <w:t>(4) 406 (2008)), אלא פוגעת בלב לבו של מושג "כבוד האדם" במובנו הצר, היינו: מניעת השפלה, ומניעת פגיעה בכבוד ובאוטונומיה.</w:t>
      </w:r>
    </w:p>
    <w:p w:rsidR="00CB4222" w:rsidRPr="002969CD" w:rsidRDefault="00F40C21" w:rsidP="000375FC">
      <w:pPr>
        <w:spacing w:line="360" w:lineRule="auto"/>
        <w:ind w:left="186"/>
        <w:jc w:val="both"/>
        <w:rPr>
          <w:rFonts w:ascii="David" w:hAnsi="David" w:cs="David"/>
          <w:rtl/>
        </w:rPr>
      </w:pPr>
      <w:r>
        <w:rPr>
          <w:rFonts w:ascii="David" w:hAnsi="David" w:cs="David" w:hint="cs"/>
          <w:rtl/>
        </w:rPr>
        <w:t xml:space="preserve">המסקנה היא כי </w:t>
      </w:r>
      <w:r w:rsidR="000375FC" w:rsidRPr="002969CD">
        <w:rPr>
          <w:rFonts w:ascii="David" w:hAnsi="David" w:cs="David"/>
          <w:rtl/>
        </w:rPr>
        <w:t>מבחינה חוקתית,</w:t>
      </w:r>
      <w:r w:rsidR="00D95F86" w:rsidRPr="002969CD">
        <w:rPr>
          <w:rFonts w:ascii="David" w:hAnsi="David" w:cs="David"/>
          <w:rtl/>
        </w:rPr>
        <w:t xml:space="preserve"> הצעת החוק מרחיבה את סמכויותיהן של ערכאות שיפוטיות שפועלות תוך פגיעה בזכות לשוויון מכח </w:t>
      </w:r>
      <w:r w:rsidR="00D95F86" w:rsidRPr="002969CD">
        <w:rPr>
          <w:rFonts w:ascii="David" w:hAnsi="David" w:cs="David"/>
          <w:b/>
          <w:bCs/>
          <w:rtl/>
        </w:rPr>
        <w:t>חוק יסוד: כבוד האדם וחירותו</w:t>
      </w:r>
      <w:r w:rsidR="00D95F86" w:rsidRPr="002969CD">
        <w:rPr>
          <w:rFonts w:ascii="David" w:hAnsi="David" w:cs="David"/>
          <w:rtl/>
        </w:rPr>
        <w:t xml:space="preserve"> ו</w:t>
      </w:r>
      <w:r w:rsidR="00D95F86" w:rsidRPr="002969CD">
        <w:rPr>
          <w:rFonts w:ascii="David" w:hAnsi="David" w:cs="David"/>
          <w:b/>
          <w:bCs/>
          <w:rtl/>
        </w:rPr>
        <w:t>חוק יסוד: חופש העיסוק</w:t>
      </w:r>
      <w:r w:rsidR="00CB4222" w:rsidRPr="002969CD">
        <w:rPr>
          <w:rFonts w:ascii="David" w:hAnsi="David" w:cs="David"/>
          <w:rtl/>
        </w:rPr>
        <w:t xml:space="preserve">. מאחר שהצעת החוק מוגשת לאחר כינונם של חוקי היסוד, וזאת, לשם ההמחשה, בהבחנה מחיקוקו של </w:t>
      </w:r>
      <w:r w:rsidR="00CB4222" w:rsidRPr="002969CD">
        <w:rPr>
          <w:rFonts w:ascii="David" w:hAnsi="David" w:cs="David"/>
          <w:b/>
          <w:bCs/>
          <w:rtl/>
        </w:rPr>
        <w:t>חוק הדיינים – התשט"ו – 1955</w:t>
      </w:r>
      <w:r w:rsidR="00CB4222" w:rsidRPr="002969CD">
        <w:rPr>
          <w:rFonts w:ascii="David" w:hAnsi="David" w:cs="David"/>
          <w:rtl/>
        </w:rPr>
        <w:t>, חוקתיותו של הצעת החוק מוטלת בספק.</w:t>
      </w:r>
    </w:p>
    <w:p w:rsidR="00D95F86" w:rsidRPr="002969CD" w:rsidRDefault="002F5B4B" w:rsidP="00A5785D">
      <w:pPr>
        <w:spacing w:line="360" w:lineRule="auto"/>
        <w:ind w:left="186"/>
        <w:jc w:val="both"/>
        <w:rPr>
          <w:rFonts w:ascii="David" w:hAnsi="David" w:cs="David"/>
          <w:rtl/>
        </w:rPr>
      </w:pPr>
      <w:r w:rsidRPr="002969CD">
        <w:rPr>
          <w:rFonts w:ascii="David" w:hAnsi="David" w:cs="David"/>
          <w:rtl/>
        </w:rPr>
        <w:lastRenderedPageBreak/>
        <w:t>לא זו אף זו</w:t>
      </w:r>
      <w:r w:rsidR="00D95F86" w:rsidRPr="002969CD">
        <w:rPr>
          <w:rFonts w:ascii="David" w:hAnsi="David" w:cs="David"/>
          <w:rtl/>
        </w:rPr>
        <w:t xml:space="preserve">: </w:t>
      </w:r>
      <w:r w:rsidRPr="002969CD">
        <w:rPr>
          <w:rFonts w:ascii="David" w:hAnsi="David" w:cs="David"/>
          <w:rtl/>
        </w:rPr>
        <w:t xml:space="preserve">הצעת החוק חורגת </w:t>
      </w:r>
      <w:r w:rsidR="00CB4222" w:rsidRPr="002969CD">
        <w:rPr>
          <w:rFonts w:ascii="David" w:hAnsi="David" w:cs="David"/>
          <w:rtl/>
        </w:rPr>
        <w:t>מהנקוב</w:t>
      </w:r>
      <w:r w:rsidRPr="002969CD">
        <w:rPr>
          <w:rFonts w:ascii="David" w:hAnsi="David" w:cs="David"/>
          <w:rtl/>
        </w:rPr>
        <w:t xml:space="preserve"> ב</w:t>
      </w:r>
      <w:r w:rsidRPr="002969CD">
        <w:rPr>
          <w:rFonts w:ascii="David" w:hAnsi="David" w:cs="David"/>
          <w:b/>
          <w:bCs/>
          <w:rtl/>
        </w:rPr>
        <w:t xml:space="preserve">אמנה הבינלאומית בדבר ביטול הפליה נגד נשים לצורותיה - 1979 </w:t>
      </w:r>
      <w:r w:rsidRPr="002969CD">
        <w:rPr>
          <w:rFonts w:ascii="David" w:hAnsi="David" w:cs="David"/>
          <w:rtl/>
        </w:rPr>
        <w:t xml:space="preserve">(כתבי אמנה 1035, כרך 31, 170) </w:t>
      </w:r>
      <w:r w:rsidR="00CB4222" w:rsidRPr="002969CD">
        <w:rPr>
          <w:rFonts w:ascii="David" w:hAnsi="David" w:cs="David"/>
          <w:rtl/>
        </w:rPr>
        <w:t>שעליה</w:t>
      </w:r>
      <w:r w:rsidRPr="002969CD">
        <w:rPr>
          <w:rFonts w:ascii="David" w:hAnsi="David" w:cs="David"/>
          <w:rtl/>
        </w:rPr>
        <w:t xml:space="preserve"> חתמה ישראל ביום 17 ביולי 1980 </w:t>
      </w:r>
      <w:r w:rsidR="00CB4222" w:rsidRPr="002969CD">
        <w:rPr>
          <w:rFonts w:ascii="David" w:hAnsi="David" w:cs="David"/>
          <w:rtl/>
        </w:rPr>
        <w:t>ו</w:t>
      </w:r>
      <w:r w:rsidRPr="002969CD">
        <w:rPr>
          <w:rFonts w:ascii="David" w:hAnsi="David" w:cs="David"/>
          <w:rtl/>
        </w:rPr>
        <w:t>אשררה ביום 3 באוקטובר 1991</w:t>
      </w:r>
      <w:r w:rsidR="00CB4222" w:rsidRPr="002969CD">
        <w:rPr>
          <w:rFonts w:ascii="David" w:hAnsi="David" w:cs="David"/>
          <w:rtl/>
        </w:rPr>
        <w:t>. כידוע, מדינת ישראל הסתייגה מסעיף 7(ב) לאמנה באשר למינויין של נשים לתפקידי שיפוט בבתי הדין הדתיים. ו</w:t>
      </w:r>
      <w:r w:rsidR="00F40C21">
        <w:rPr>
          <w:rFonts w:ascii="David" w:hAnsi="David" w:cs="David" w:hint="cs"/>
          <w:rtl/>
        </w:rPr>
        <w:t>אולם</w:t>
      </w:r>
      <w:r w:rsidR="00CB4222" w:rsidRPr="002969CD">
        <w:rPr>
          <w:rFonts w:ascii="David" w:hAnsi="David" w:cs="David"/>
          <w:rtl/>
        </w:rPr>
        <w:t xml:space="preserve"> יש להדגיש כי הצעת החוק אף חורגת מגבולותיה</w:t>
      </w:r>
      <w:r w:rsidR="009F678F">
        <w:rPr>
          <w:rFonts w:ascii="David" w:hAnsi="David" w:cs="David"/>
          <w:rtl/>
        </w:rPr>
        <w:t xml:space="preserve"> של הסתייגות מדינת ישראל מהאמנה</w:t>
      </w:r>
      <w:r w:rsidR="009F678F">
        <w:rPr>
          <w:rFonts w:ascii="David" w:hAnsi="David" w:cs="David" w:hint="cs"/>
          <w:rtl/>
        </w:rPr>
        <w:t>, ועל כן היא פסולה.</w:t>
      </w:r>
    </w:p>
    <w:p w:rsidR="00360506" w:rsidRPr="002969CD" w:rsidRDefault="00360506" w:rsidP="00CB4222">
      <w:pPr>
        <w:spacing w:line="360" w:lineRule="auto"/>
        <w:ind w:left="186"/>
        <w:jc w:val="both"/>
        <w:rPr>
          <w:rFonts w:ascii="David" w:hAnsi="David" w:cs="David"/>
          <w:rtl/>
        </w:rPr>
      </w:pPr>
    </w:p>
    <w:p w:rsidR="00360506" w:rsidRDefault="00360506" w:rsidP="002969CD">
      <w:pPr>
        <w:pStyle w:val="a7"/>
        <w:numPr>
          <w:ilvl w:val="0"/>
          <w:numId w:val="2"/>
        </w:numPr>
        <w:spacing w:line="360" w:lineRule="auto"/>
        <w:jc w:val="both"/>
        <w:rPr>
          <w:rFonts w:ascii="David" w:hAnsi="David" w:cs="David"/>
        </w:rPr>
      </w:pPr>
      <w:r w:rsidRPr="002969CD">
        <w:rPr>
          <w:rFonts w:ascii="David" w:hAnsi="David" w:cs="David"/>
          <w:b/>
          <w:bCs/>
          <w:rtl/>
        </w:rPr>
        <w:t>הצעת החוק מחילה את תחולתו של דין תורה על כל ענפי המשפט ללא הסתייגות מפגיעה</w:t>
      </w:r>
      <w:r w:rsidR="002969CD" w:rsidRPr="002969CD">
        <w:rPr>
          <w:rFonts w:ascii="David" w:hAnsi="David" w:cs="David"/>
          <w:b/>
          <w:bCs/>
          <w:rtl/>
        </w:rPr>
        <w:t xml:space="preserve"> בזכויות על פי דין</w:t>
      </w:r>
      <w:r w:rsidRPr="002969CD">
        <w:rPr>
          <w:rFonts w:ascii="David" w:hAnsi="David" w:cs="David"/>
          <w:rtl/>
        </w:rPr>
        <w:t xml:space="preserve"> –</w:t>
      </w:r>
    </w:p>
    <w:p w:rsidR="004504EC" w:rsidRPr="002969CD" w:rsidRDefault="004504EC" w:rsidP="004504EC">
      <w:pPr>
        <w:pStyle w:val="a7"/>
        <w:spacing w:line="360" w:lineRule="auto"/>
        <w:ind w:left="546"/>
        <w:jc w:val="both"/>
        <w:rPr>
          <w:rFonts w:ascii="David" w:hAnsi="David" w:cs="David"/>
        </w:rPr>
      </w:pPr>
    </w:p>
    <w:p w:rsidR="00FA15CC" w:rsidRDefault="00360506" w:rsidP="0040436A">
      <w:pPr>
        <w:spacing w:line="360" w:lineRule="auto"/>
        <w:ind w:left="186"/>
        <w:jc w:val="both"/>
        <w:rPr>
          <w:rFonts w:ascii="David" w:hAnsi="David" w:cs="David"/>
          <w:rtl/>
        </w:rPr>
      </w:pPr>
      <w:r w:rsidRPr="002969CD">
        <w:rPr>
          <w:rFonts w:ascii="David" w:hAnsi="David" w:cs="David"/>
          <w:rtl/>
        </w:rPr>
        <w:t xml:space="preserve">סעיף 1 וסעיף 4 להצעת החוק מנוסחים באופן רחב ומחילים את הדין הדתי בכל עניין שאינו פלילי או מנהלי שמגיע לפתחו של בית הדין, ללא כל הסתייגות. החלת דין תורה באופן גורף עלולה להביא לפגיעה בזכויות </w:t>
      </w:r>
      <w:r w:rsidR="004504EC">
        <w:rPr>
          <w:rFonts w:ascii="David" w:hAnsi="David" w:cs="David" w:hint="cs"/>
          <w:rtl/>
        </w:rPr>
        <w:t xml:space="preserve">על פי דין, לרבות בזכויות </w:t>
      </w:r>
      <w:r w:rsidRPr="002969CD">
        <w:rPr>
          <w:rFonts w:ascii="David" w:hAnsi="David" w:cs="David"/>
          <w:rtl/>
        </w:rPr>
        <w:t xml:space="preserve">אדם, באופן שמדינה דמוקרטית אינה יכולה לתת לו יד, </w:t>
      </w:r>
      <w:r w:rsidR="00761B35">
        <w:rPr>
          <w:rFonts w:ascii="David" w:hAnsi="David" w:cs="David" w:hint="cs"/>
          <w:rtl/>
        </w:rPr>
        <w:t>ובודאי</w:t>
      </w:r>
      <w:r w:rsidR="0040436A">
        <w:rPr>
          <w:rFonts w:ascii="David" w:hAnsi="David" w:cs="David" w:hint="cs"/>
          <w:rtl/>
        </w:rPr>
        <w:t xml:space="preserve"> שלא ראוי שתממן</w:t>
      </w:r>
      <w:r w:rsidR="00761B35">
        <w:rPr>
          <w:rFonts w:ascii="David" w:hAnsi="David" w:cs="David" w:hint="cs"/>
          <w:rtl/>
        </w:rPr>
        <w:t xml:space="preserve"> מערכת משפטית כזו</w:t>
      </w:r>
      <w:r w:rsidRPr="002969CD">
        <w:rPr>
          <w:rFonts w:ascii="David" w:hAnsi="David" w:cs="David"/>
          <w:rtl/>
        </w:rPr>
        <w:t xml:space="preserve">. כך למשל, </w:t>
      </w:r>
      <w:r w:rsidR="00C4463F" w:rsidRPr="002969CD">
        <w:rPr>
          <w:rFonts w:ascii="David" w:hAnsi="David" w:cs="David"/>
          <w:rtl/>
        </w:rPr>
        <w:t>זכות הקניין של אישה או של איש לא יהודי יכולות להיות מופקעות בעקבות החלת דין תורה</w:t>
      </w:r>
      <w:r w:rsidR="009F045B" w:rsidRPr="002969CD">
        <w:rPr>
          <w:rFonts w:ascii="David" w:hAnsi="David" w:cs="David"/>
          <w:rtl/>
        </w:rPr>
        <w:t xml:space="preserve"> (יש לשים לב שהסמכות של בתי הדין הרבניים תוחל אף על לא יהודיים בהתאם לסעיף 2(2) להצעת החוק)</w:t>
      </w:r>
      <w:r w:rsidR="00C4463F" w:rsidRPr="002969CD">
        <w:rPr>
          <w:rFonts w:ascii="David" w:hAnsi="David" w:cs="David"/>
          <w:rtl/>
        </w:rPr>
        <w:t>;</w:t>
      </w:r>
      <w:r w:rsidR="009C2907" w:rsidRPr="002969CD">
        <w:rPr>
          <w:rFonts w:ascii="David" w:hAnsi="David" w:cs="David"/>
          <w:rtl/>
        </w:rPr>
        <w:t xml:space="preserve"> זכות הקניין של בעל מניות בחברה עשויות להיפגע; הצעת החוק לא מסתייגת בהכרח מהחלת דיני "עבד עברי" או "אמה עבריה" </w:t>
      </w:r>
      <w:r w:rsidR="009F045B" w:rsidRPr="002969CD">
        <w:rPr>
          <w:rFonts w:ascii="David" w:hAnsi="David" w:cs="David"/>
          <w:rtl/>
        </w:rPr>
        <w:t>שיפגעו</w:t>
      </w:r>
      <w:r w:rsidR="009C2907" w:rsidRPr="002969CD">
        <w:rPr>
          <w:rFonts w:ascii="David" w:hAnsi="David" w:cs="David"/>
          <w:rtl/>
        </w:rPr>
        <w:t xml:space="preserve"> </w:t>
      </w:r>
      <w:r w:rsidR="009F045B" w:rsidRPr="002969CD">
        <w:rPr>
          <w:rFonts w:ascii="David" w:hAnsi="David" w:cs="David"/>
          <w:rtl/>
        </w:rPr>
        <w:t>ב</w:t>
      </w:r>
      <w:r w:rsidR="009C2907" w:rsidRPr="002969CD">
        <w:rPr>
          <w:rFonts w:ascii="David" w:hAnsi="David" w:cs="David"/>
          <w:rtl/>
        </w:rPr>
        <w:t>זכות לחירות;</w:t>
      </w:r>
      <w:r w:rsidR="002969CD" w:rsidRPr="002969CD">
        <w:rPr>
          <w:rFonts w:ascii="David" w:hAnsi="David" w:cs="David"/>
          <w:rtl/>
        </w:rPr>
        <w:t xml:space="preserve"> מעמדו של אדם חירש שהוא צד לחוזה עשוי להיפגע, וכיו"ב. </w:t>
      </w:r>
    </w:p>
    <w:p w:rsidR="00360506" w:rsidRPr="002969CD" w:rsidRDefault="004504EC" w:rsidP="004504EC">
      <w:pPr>
        <w:spacing w:line="360" w:lineRule="auto"/>
        <w:ind w:left="186"/>
        <w:jc w:val="both"/>
        <w:rPr>
          <w:rFonts w:ascii="David" w:hAnsi="David" w:cs="David"/>
          <w:rtl/>
        </w:rPr>
      </w:pPr>
      <w:r>
        <w:rPr>
          <w:rFonts w:ascii="David" w:hAnsi="David" w:cs="David" w:hint="cs"/>
          <w:rtl/>
        </w:rPr>
        <w:t xml:space="preserve">יצוין כי על פי הצעת החוק סמכות בתי הדין הדתיים תחול אף על קטינים, חסויים ופסולי דין, בהתאם להסכמת האפוטרופוס, ובניגוד להסדר הנהוג על פי </w:t>
      </w:r>
      <w:r w:rsidRPr="004504EC">
        <w:rPr>
          <w:rFonts w:ascii="David" w:hAnsi="David" w:cs="David" w:hint="cs"/>
          <w:b/>
          <w:bCs/>
          <w:rtl/>
        </w:rPr>
        <w:t xml:space="preserve">חוק הכשרות המשפטית והאפוטרופסות, תשכ"ה </w:t>
      </w:r>
      <w:r w:rsidRPr="004504EC">
        <w:rPr>
          <w:rFonts w:ascii="David" w:hAnsi="David" w:cs="David"/>
          <w:b/>
          <w:bCs/>
          <w:rtl/>
        </w:rPr>
        <w:t>–</w:t>
      </w:r>
      <w:r w:rsidRPr="004504EC">
        <w:rPr>
          <w:rFonts w:ascii="David" w:hAnsi="David" w:cs="David" w:hint="cs"/>
          <w:b/>
          <w:bCs/>
          <w:rtl/>
        </w:rPr>
        <w:t xml:space="preserve"> 1965</w:t>
      </w:r>
      <w:r w:rsidR="00FA15CC">
        <w:rPr>
          <w:rFonts w:ascii="David" w:hAnsi="David" w:cs="David" w:hint="cs"/>
          <w:rtl/>
        </w:rPr>
        <w:t>, כך שהפגיעה בהם עשויה להיות חמורה.</w:t>
      </w:r>
    </w:p>
    <w:p w:rsidR="00CB4222" w:rsidRPr="002969CD" w:rsidRDefault="00CB4222" w:rsidP="00CB4222">
      <w:pPr>
        <w:spacing w:line="360" w:lineRule="auto"/>
        <w:ind w:left="186"/>
        <w:jc w:val="both"/>
        <w:rPr>
          <w:rFonts w:ascii="David" w:hAnsi="David" w:cs="David"/>
          <w:rtl/>
        </w:rPr>
      </w:pPr>
    </w:p>
    <w:p w:rsidR="00C52950" w:rsidRPr="002969CD" w:rsidRDefault="00C52950" w:rsidP="00C52950">
      <w:pPr>
        <w:spacing w:line="360" w:lineRule="auto"/>
        <w:ind w:left="186"/>
        <w:jc w:val="both"/>
        <w:rPr>
          <w:rFonts w:ascii="David" w:hAnsi="David" w:cs="David"/>
          <w:b/>
          <w:bCs/>
          <w:rtl/>
        </w:rPr>
      </w:pPr>
    </w:p>
    <w:p w:rsidR="002969CD" w:rsidRPr="002969CD" w:rsidRDefault="002969CD" w:rsidP="002969CD">
      <w:pPr>
        <w:pStyle w:val="1"/>
        <w:keepLines w:val="0"/>
        <w:numPr>
          <w:ilvl w:val="0"/>
          <w:numId w:val="2"/>
        </w:numPr>
        <w:spacing w:before="0" w:after="0" w:line="360" w:lineRule="auto"/>
        <w:jc w:val="both"/>
        <w:rPr>
          <w:rFonts w:ascii="David" w:hAnsi="David" w:cs="David"/>
          <w:b w:val="0"/>
          <w:bCs w:val="0"/>
          <w:sz w:val="24"/>
          <w:szCs w:val="24"/>
          <w:rtl/>
        </w:rPr>
      </w:pPr>
      <w:r w:rsidRPr="002969CD">
        <w:rPr>
          <w:rFonts w:ascii="David" w:hAnsi="David" w:cs="David"/>
          <w:sz w:val="24"/>
          <w:szCs w:val="24"/>
          <w:rtl/>
        </w:rPr>
        <w:t xml:space="preserve">הצעת החוק מתעלמת </w:t>
      </w:r>
      <w:r>
        <w:rPr>
          <w:rFonts w:ascii="David" w:hAnsi="David" w:cs="David" w:hint="cs"/>
          <w:sz w:val="24"/>
          <w:szCs w:val="24"/>
          <w:rtl/>
        </w:rPr>
        <w:t>מקיומם</w:t>
      </w:r>
      <w:r w:rsidRPr="002969CD">
        <w:rPr>
          <w:rFonts w:ascii="David" w:hAnsi="David" w:cs="David"/>
          <w:sz w:val="24"/>
          <w:szCs w:val="24"/>
          <w:rtl/>
        </w:rPr>
        <w:t xml:space="preserve"> של יחסי כוחות לא-שוויוניים בין הצדדים המתדיינים</w:t>
      </w:r>
      <w:r w:rsidRPr="002969CD">
        <w:rPr>
          <w:rFonts w:ascii="David" w:hAnsi="David" w:cs="David" w:hint="cs"/>
          <w:b w:val="0"/>
          <w:bCs w:val="0"/>
          <w:sz w:val="24"/>
          <w:szCs w:val="24"/>
          <w:rtl/>
        </w:rPr>
        <w:t xml:space="preserve"> - </w:t>
      </w:r>
      <w:r w:rsidRPr="002969CD">
        <w:rPr>
          <w:rFonts w:ascii="David" w:hAnsi="David" w:cs="David"/>
          <w:b w:val="0"/>
          <w:bCs w:val="0"/>
          <w:sz w:val="24"/>
          <w:szCs w:val="24"/>
          <w:rtl/>
        </w:rPr>
        <w:t xml:space="preserve"> </w:t>
      </w:r>
    </w:p>
    <w:p w:rsidR="002969CD" w:rsidRPr="002969CD" w:rsidRDefault="002969CD" w:rsidP="002969CD">
      <w:pPr>
        <w:rPr>
          <w:rtl/>
        </w:rPr>
      </w:pPr>
    </w:p>
    <w:p w:rsidR="002969CD" w:rsidRDefault="002969CD" w:rsidP="002969CD">
      <w:pPr>
        <w:pStyle w:val="1"/>
        <w:keepLines w:val="0"/>
        <w:spacing w:before="0" w:after="0" w:line="360" w:lineRule="auto"/>
        <w:jc w:val="both"/>
        <w:rPr>
          <w:rFonts w:ascii="David" w:hAnsi="David" w:cs="David"/>
          <w:b w:val="0"/>
          <w:bCs w:val="0"/>
          <w:sz w:val="24"/>
          <w:szCs w:val="24"/>
          <w:rtl/>
        </w:rPr>
      </w:pPr>
      <w:r w:rsidRPr="002969CD">
        <w:rPr>
          <w:rFonts w:ascii="David" w:hAnsi="David" w:cs="David"/>
          <w:b w:val="0"/>
          <w:bCs w:val="0"/>
          <w:sz w:val="24"/>
          <w:szCs w:val="24"/>
          <w:rtl/>
        </w:rPr>
        <w:t xml:space="preserve">ההצעה אמנם דורשת את הסכמת הצדדים להתדיינות בבית הדין, אך היא אינה מביאה בחשבון מצב תדיר ביותר ובו הצדדים אינם שווים זה לזה בכוחם. במצב כזה, עשויה הדרישה להסכמת שני הצדדים להתייתר לחלוטין מפני שהצד החזק יכול </w:t>
      </w:r>
      <w:r w:rsidRPr="002969CD">
        <w:rPr>
          <w:rFonts w:ascii="David" w:hAnsi="David" w:cs="David"/>
          <w:sz w:val="24"/>
          <w:szCs w:val="24"/>
          <w:rtl/>
        </w:rPr>
        <w:t>לכפות את עמדתו</w:t>
      </w:r>
      <w:r w:rsidRPr="002969CD">
        <w:rPr>
          <w:rFonts w:ascii="David" w:hAnsi="David" w:cs="David"/>
          <w:b w:val="0"/>
          <w:bCs w:val="0"/>
          <w:sz w:val="24"/>
          <w:szCs w:val="24"/>
          <w:rtl/>
        </w:rPr>
        <w:t xml:space="preserve"> על הצד החלש יותר (כך למשל ביחסי עובד-מעביד). נוסף על כך, במקרים רבים עשוי להתקיים אי-שיוויון גם ברמת הידע: גם אם הצדדים שווים זה לזה בכוחם, הרי שאזרחים רבים אינם מכירים את הדין הדתי ואין להם היכולת להבין את משמעות ההתדיינות בבית הדין הרבני. כך, יכול צד לסכסוך להביע את הסכמתו להתדיינות בבית הדין מבלי להבין את ההשלכות - ולמעשה לתת את הסכמתו </w:t>
      </w:r>
      <w:r w:rsidRPr="002969CD">
        <w:rPr>
          <w:rFonts w:ascii="David" w:hAnsi="David" w:cs="David"/>
          <w:sz w:val="24"/>
          <w:szCs w:val="24"/>
          <w:rtl/>
        </w:rPr>
        <w:t>שלא מדעת</w:t>
      </w:r>
      <w:r w:rsidRPr="002969CD">
        <w:rPr>
          <w:rFonts w:ascii="David" w:hAnsi="David" w:cs="David"/>
          <w:b w:val="0"/>
          <w:bCs w:val="0"/>
          <w:sz w:val="24"/>
          <w:szCs w:val="24"/>
          <w:rtl/>
        </w:rPr>
        <w:t xml:space="preserve"> - בעוד שהצד השני, שיזם את העניין, מודע להן היטב. </w:t>
      </w:r>
    </w:p>
    <w:p w:rsidR="009F678F" w:rsidRDefault="009F678F" w:rsidP="009F678F">
      <w:pPr>
        <w:rPr>
          <w:rtl/>
        </w:rPr>
      </w:pPr>
    </w:p>
    <w:p w:rsidR="009F678F" w:rsidRPr="009F678F" w:rsidRDefault="009F678F" w:rsidP="009F678F">
      <w:pPr>
        <w:pStyle w:val="a7"/>
        <w:numPr>
          <w:ilvl w:val="0"/>
          <w:numId w:val="2"/>
        </w:numPr>
        <w:spacing w:line="360" w:lineRule="auto"/>
        <w:jc w:val="both"/>
        <w:rPr>
          <w:rFonts w:ascii="David" w:hAnsi="David" w:cs="David"/>
        </w:rPr>
      </w:pPr>
      <w:r w:rsidRPr="009F678F">
        <w:rPr>
          <w:rFonts w:ascii="David" w:hAnsi="David" w:cs="David"/>
          <w:b/>
          <w:bCs/>
          <w:rtl/>
        </w:rPr>
        <w:t>הצעת החוק מרחיבה את תחולתו של דין תורה בניגוד לסטטוס</w:t>
      </w:r>
      <w:r w:rsidRPr="009F678F">
        <w:rPr>
          <w:rFonts w:ascii="David" w:hAnsi="David" w:cs="David"/>
          <w:rtl/>
        </w:rPr>
        <w:t xml:space="preserve"> </w:t>
      </w:r>
      <w:r w:rsidRPr="009F678F">
        <w:rPr>
          <w:rFonts w:ascii="David" w:hAnsi="David" w:cs="David"/>
          <w:b/>
          <w:bCs/>
          <w:rtl/>
        </w:rPr>
        <w:t>קוו</w:t>
      </w:r>
      <w:r w:rsidRPr="009F678F">
        <w:rPr>
          <w:rFonts w:ascii="David" w:hAnsi="David" w:cs="David"/>
          <w:rtl/>
        </w:rPr>
        <w:t xml:space="preserve"> – </w:t>
      </w:r>
    </w:p>
    <w:p w:rsidR="009F678F" w:rsidRPr="002969CD" w:rsidRDefault="009F678F" w:rsidP="009F678F">
      <w:pPr>
        <w:spacing w:line="360" w:lineRule="auto"/>
        <w:ind w:left="186"/>
        <w:jc w:val="both"/>
        <w:rPr>
          <w:rFonts w:ascii="David" w:hAnsi="David" w:cs="David"/>
          <w:rtl/>
        </w:rPr>
      </w:pPr>
    </w:p>
    <w:p w:rsidR="009F678F" w:rsidRPr="002969CD" w:rsidRDefault="009F678F" w:rsidP="009F678F">
      <w:pPr>
        <w:spacing w:line="360" w:lineRule="auto"/>
        <w:jc w:val="both"/>
        <w:rPr>
          <w:rFonts w:ascii="David" w:hAnsi="David" w:cs="David"/>
          <w:rtl/>
        </w:rPr>
      </w:pPr>
      <w:r w:rsidRPr="002969CD">
        <w:rPr>
          <w:rFonts w:ascii="David" w:hAnsi="David" w:cs="David"/>
          <w:rtl/>
        </w:rPr>
        <w:t xml:space="preserve">הסטטוס קוו בענייני דת ומדינה בישראל הצטמצם לענייני נישואין וגירושין, כאשר בשדות אלה ניתנה סמכות ייחודית לבתי הדין הרבניים לדון על פי דין תורה. </w:t>
      </w:r>
      <w:r>
        <w:rPr>
          <w:rFonts w:ascii="David" w:hAnsi="David" w:cs="David" w:hint="cs"/>
          <w:rtl/>
        </w:rPr>
        <w:t xml:space="preserve">וזאת מתוך הבנה שדין תורה </w:t>
      </w:r>
      <w:r>
        <w:rPr>
          <w:rFonts w:ascii="David" w:hAnsi="David" w:cs="David" w:hint="cs"/>
          <w:rtl/>
        </w:rPr>
        <w:lastRenderedPageBreak/>
        <w:t xml:space="preserve">עשוי לפגוע בזכויות אדם. </w:t>
      </w:r>
      <w:r w:rsidRPr="002969CD">
        <w:rPr>
          <w:rFonts w:ascii="David" w:hAnsi="David" w:cs="David"/>
          <w:rtl/>
        </w:rPr>
        <w:t>הצעת החוק מרחיבה את תחולתו של דין תורה לכ</w:t>
      </w:r>
      <w:r>
        <w:rPr>
          <w:rFonts w:ascii="David" w:hAnsi="David" w:cs="David"/>
          <w:rtl/>
        </w:rPr>
        <w:t>ל ענפי המשפט, מלבד המשפט הפליל</w:t>
      </w:r>
      <w:r>
        <w:rPr>
          <w:rFonts w:ascii="David" w:hAnsi="David" w:cs="David" w:hint="cs"/>
          <w:rtl/>
        </w:rPr>
        <w:t>י</w:t>
      </w:r>
      <w:r w:rsidRPr="002969CD">
        <w:rPr>
          <w:rFonts w:ascii="David" w:hAnsi="David" w:cs="David"/>
          <w:rtl/>
        </w:rPr>
        <w:t xml:space="preserve">. </w:t>
      </w:r>
    </w:p>
    <w:p w:rsidR="009F678F" w:rsidRPr="009F678F" w:rsidRDefault="009F678F" w:rsidP="009F678F"/>
    <w:p w:rsidR="004504EC" w:rsidRDefault="004504EC" w:rsidP="004504EC">
      <w:pPr>
        <w:spacing w:line="360" w:lineRule="auto"/>
        <w:jc w:val="both"/>
        <w:rPr>
          <w:rFonts w:ascii="David" w:hAnsi="David" w:cs="David"/>
          <w:b/>
          <w:bCs/>
          <w:rtl/>
        </w:rPr>
      </w:pPr>
    </w:p>
    <w:p w:rsidR="002969CD" w:rsidRDefault="00C4463F" w:rsidP="004504EC">
      <w:pPr>
        <w:spacing w:line="360" w:lineRule="auto"/>
        <w:jc w:val="both"/>
        <w:rPr>
          <w:rFonts w:ascii="David" w:hAnsi="David" w:cs="David"/>
          <w:b/>
          <w:bCs/>
          <w:rtl/>
        </w:rPr>
      </w:pPr>
      <w:r w:rsidRPr="002969CD">
        <w:rPr>
          <w:rFonts w:ascii="David" w:hAnsi="David" w:cs="David"/>
          <w:b/>
          <w:bCs/>
          <w:rtl/>
        </w:rPr>
        <w:t>יש להדגיש כי במקום שבו מתחוללת פגיעה בזכויות יסוד, גם הסכמה מראש אינה יכולה להכשיר אותה</w:t>
      </w:r>
      <w:r w:rsidR="002969CD">
        <w:rPr>
          <w:rFonts w:ascii="David" w:hAnsi="David" w:cs="David" w:hint="cs"/>
          <w:b/>
          <w:bCs/>
          <w:rtl/>
        </w:rPr>
        <w:t>, על אחת כמה וכמה כאשר הפגיעה מתקיימת בחסותה ובמימונה של מדינת ישראל.</w:t>
      </w:r>
    </w:p>
    <w:p w:rsidR="00C4463F" w:rsidRPr="002969CD" w:rsidRDefault="00C4463F" w:rsidP="002969CD">
      <w:pPr>
        <w:spacing w:line="360" w:lineRule="auto"/>
        <w:ind w:left="186"/>
        <w:jc w:val="both"/>
        <w:rPr>
          <w:rFonts w:ascii="David" w:hAnsi="David" w:cs="David"/>
          <w:b/>
          <w:bCs/>
          <w:rtl/>
        </w:rPr>
      </w:pPr>
      <w:r w:rsidRPr="002969CD">
        <w:rPr>
          <w:rFonts w:ascii="David" w:hAnsi="David" w:cs="David"/>
          <w:b/>
          <w:bCs/>
          <w:rtl/>
        </w:rPr>
        <w:t xml:space="preserve"> </w:t>
      </w:r>
    </w:p>
    <w:p w:rsidR="00C52950" w:rsidRPr="002969CD" w:rsidRDefault="00C52950" w:rsidP="00C52950">
      <w:pPr>
        <w:spacing w:line="360" w:lineRule="auto"/>
        <w:ind w:left="186"/>
        <w:jc w:val="both"/>
        <w:rPr>
          <w:rFonts w:ascii="David" w:hAnsi="David" w:cs="David"/>
          <w:rtl/>
        </w:rPr>
      </w:pPr>
      <w:r w:rsidRPr="002969CD">
        <w:rPr>
          <w:rFonts w:ascii="David" w:hAnsi="David" w:cs="David"/>
          <w:b/>
          <w:bCs/>
          <w:rtl/>
        </w:rPr>
        <w:t xml:space="preserve">_________________                  </w:t>
      </w:r>
      <w:r w:rsidRPr="002969CD">
        <w:rPr>
          <w:rFonts w:ascii="David" w:hAnsi="David" w:cs="David"/>
          <w:b/>
          <w:bCs/>
          <w:rtl/>
        </w:rPr>
        <w:tab/>
      </w:r>
      <w:r w:rsidRPr="002969CD">
        <w:rPr>
          <w:rFonts w:ascii="David" w:hAnsi="David" w:cs="David"/>
          <w:b/>
          <w:bCs/>
          <w:rtl/>
        </w:rPr>
        <w:tab/>
      </w:r>
      <w:r w:rsidRPr="002969CD">
        <w:rPr>
          <w:rFonts w:ascii="David" w:hAnsi="David" w:cs="David"/>
          <w:b/>
          <w:bCs/>
          <w:rtl/>
        </w:rPr>
        <w:tab/>
      </w:r>
      <w:r w:rsidRPr="002969CD">
        <w:rPr>
          <w:rFonts w:ascii="David" w:hAnsi="David" w:cs="David"/>
          <w:b/>
          <w:bCs/>
          <w:rtl/>
        </w:rPr>
        <w:tab/>
      </w:r>
      <w:r w:rsidRPr="002969CD">
        <w:rPr>
          <w:rFonts w:ascii="David" w:hAnsi="David" w:cs="David"/>
          <w:rtl/>
        </w:rPr>
        <w:t xml:space="preserve">____________________     </w:t>
      </w:r>
    </w:p>
    <w:p w:rsidR="00C52950" w:rsidRPr="002969CD" w:rsidRDefault="00C52950" w:rsidP="00C52950">
      <w:pPr>
        <w:spacing w:line="360" w:lineRule="auto"/>
        <w:ind w:left="186"/>
        <w:jc w:val="both"/>
        <w:rPr>
          <w:rFonts w:ascii="David" w:hAnsi="David" w:cs="David"/>
          <w:rtl/>
        </w:rPr>
      </w:pPr>
      <w:r w:rsidRPr="002969CD">
        <w:rPr>
          <w:rFonts w:ascii="David" w:hAnsi="David" w:cs="David"/>
          <w:rtl/>
        </w:rPr>
        <w:t>ד"ר סוזן ווייס, עו"ד</w:t>
      </w:r>
      <w:r w:rsidRPr="002969CD">
        <w:rPr>
          <w:rFonts w:ascii="David" w:hAnsi="David" w:cs="David"/>
          <w:rtl/>
        </w:rPr>
        <w:tab/>
      </w:r>
      <w:r w:rsidRPr="002969CD">
        <w:rPr>
          <w:rFonts w:ascii="David" w:hAnsi="David" w:cs="David"/>
          <w:rtl/>
        </w:rPr>
        <w:tab/>
      </w:r>
      <w:r w:rsidRPr="002969CD">
        <w:rPr>
          <w:rFonts w:ascii="David" w:hAnsi="David" w:cs="David"/>
          <w:rtl/>
        </w:rPr>
        <w:tab/>
      </w:r>
      <w:r w:rsidRPr="002969CD">
        <w:rPr>
          <w:rFonts w:ascii="David" w:hAnsi="David" w:cs="David"/>
          <w:rtl/>
        </w:rPr>
        <w:tab/>
      </w:r>
      <w:r w:rsidRPr="002969CD">
        <w:rPr>
          <w:rFonts w:ascii="David" w:hAnsi="David" w:cs="David"/>
          <w:rtl/>
        </w:rPr>
        <w:tab/>
      </w:r>
      <w:r w:rsidRPr="002969CD">
        <w:rPr>
          <w:rFonts w:ascii="David" w:hAnsi="David" w:cs="David"/>
          <w:rtl/>
        </w:rPr>
        <w:tab/>
        <w:t xml:space="preserve"> ניצן כספי שילוני , עו"ד</w:t>
      </w:r>
    </w:p>
    <w:p w:rsidR="00C52950" w:rsidRPr="002969CD" w:rsidRDefault="00C52950" w:rsidP="00C52950">
      <w:pPr>
        <w:tabs>
          <w:tab w:val="left" w:pos="0"/>
          <w:tab w:val="left" w:pos="226"/>
        </w:tabs>
        <w:spacing w:line="360" w:lineRule="auto"/>
        <w:jc w:val="both"/>
        <w:rPr>
          <w:rFonts w:ascii="David" w:hAnsi="David" w:cs="David"/>
        </w:rPr>
      </w:pPr>
    </w:p>
    <w:p w:rsidR="00E369B9" w:rsidRPr="002969CD" w:rsidRDefault="00E369B9">
      <w:pPr>
        <w:rPr>
          <w:rFonts w:ascii="David" w:hAnsi="David" w:cs="David"/>
        </w:rPr>
      </w:pPr>
    </w:p>
    <w:sectPr w:rsidR="00E369B9" w:rsidRPr="002969CD">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046B" w:rsidRDefault="00D2046B" w:rsidP="00CC5E68">
      <w:r>
        <w:separator/>
      </w:r>
    </w:p>
  </w:endnote>
  <w:endnote w:type="continuationSeparator" w:id="0">
    <w:p w:rsidR="00D2046B" w:rsidRDefault="00D2046B" w:rsidP="00CC5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lef">
    <w:charset w:val="00"/>
    <w:family w:val="auto"/>
    <w:pitch w:val="variable"/>
    <w:sig w:usb0="00000807" w:usb1="40000000" w:usb2="00000000" w:usb3="00000000" w:csb0="000000B3"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Guttman Keren">
    <w:panose1 w:val="02010401010101010101"/>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0B1F" w:rsidRPr="00EB4772" w:rsidRDefault="00D2046B" w:rsidP="00C40B1F">
    <w:pPr>
      <w:jc w:val="center"/>
      <w:rPr>
        <w:rFonts w:cs="Guttman Keren"/>
        <w:b/>
        <w:bCs/>
        <w:rtl/>
      </w:rPr>
    </w:pPr>
    <w:r w:rsidRPr="00EB4772">
      <w:rPr>
        <w:rFonts w:cs="Guttman Keren" w:hint="cs"/>
        <w:b/>
        <w:bCs/>
        <w:rtl/>
      </w:rPr>
      <w:t>מרכז צדק לנשים, ע"ר 580430973</w:t>
    </w:r>
  </w:p>
  <w:p w:rsidR="00C40B1F" w:rsidRPr="00EB4772" w:rsidRDefault="00D2046B" w:rsidP="00E2404A">
    <w:pPr>
      <w:jc w:val="center"/>
      <w:rPr>
        <w:rFonts w:cs="Guttman Keren"/>
        <w:rtl/>
      </w:rPr>
    </w:pPr>
    <w:r w:rsidRPr="00EB4772">
      <w:rPr>
        <w:rFonts w:cs="Guttman Keren" w:hint="cs"/>
        <w:rtl/>
      </w:rPr>
      <w:t xml:space="preserve">רח' עמק רפאים </w:t>
    </w:r>
    <w:r>
      <w:rPr>
        <w:rFonts w:cs="Guttman Keren" w:hint="cs"/>
        <w:rtl/>
      </w:rPr>
      <w:t>43</w:t>
    </w:r>
    <w:r w:rsidRPr="00EB4772">
      <w:rPr>
        <w:rFonts w:cs="Guttman Keren" w:hint="cs"/>
        <w:rtl/>
      </w:rPr>
      <w:t xml:space="preserve"> ירושלים</w:t>
    </w:r>
  </w:p>
  <w:p w:rsidR="00C40B1F" w:rsidRPr="00EB4772" w:rsidRDefault="00D2046B" w:rsidP="00C40B1F">
    <w:pPr>
      <w:pStyle w:val="a3"/>
      <w:jc w:val="center"/>
      <w:rPr>
        <w:rtl/>
      </w:rPr>
    </w:pPr>
    <w:r w:rsidRPr="00EB4772">
      <w:rPr>
        <w:rFonts w:cs="Guttman Keren" w:hint="cs"/>
        <w:rtl/>
      </w:rPr>
      <w:t>טל. 02-5664390  פקס 02-5663317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046B" w:rsidRDefault="00D2046B" w:rsidP="00CC5E68">
      <w:r>
        <w:separator/>
      </w:r>
    </w:p>
  </w:footnote>
  <w:footnote w:type="continuationSeparator" w:id="0">
    <w:p w:rsidR="00D2046B" w:rsidRDefault="00D2046B" w:rsidP="00CC5E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630A7"/>
    <w:multiLevelType w:val="hybridMultilevel"/>
    <w:tmpl w:val="732A81A4"/>
    <w:lvl w:ilvl="0" w:tplc="01DCA5A6">
      <w:start w:val="4"/>
      <w:numFmt w:val="decimal"/>
      <w:lvlText w:val="%1"/>
      <w:lvlJc w:val="left"/>
      <w:pPr>
        <w:ind w:left="586" w:hanging="360"/>
      </w:pPr>
      <w:rPr>
        <w:rFonts w:hint="default"/>
        <w:b/>
        <w:u w:val="single"/>
      </w:rPr>
    </w:lvl>
    <w:lvl w:ilvl="1" w:tplc="04090019" w:tentative="1">
      <w:start w:val="1"/>
      <w:numFmt w:val="lowerLetter"/>
      <w:lvlText w:val="%2."/>
      <w:lvlJc w:val="left"/>
      <w:pPr>
        <w:ind w:left="1306" w:hanging="360"/>
      </w:pPr>
    </w:lvl>
    <w:lvl w:ilvl="2" w:tplc="0409001B" w:tentative="1">
      <w:start w:val="1"/>
      <w:numFmt w:val="lowerRoman"/>
      <w:lvlText w:val="%3."/>
      <w:lvlJc w:val="right"/>
      <w:pPr>
        <w:ind w:left="2026" w:hanging="180"/>
      </w:pPr>
    </w:lvl>
    <w:lvl w:ilvl="3" w:tplc="0409000F" w:tentative="1">
      <w:start w:val="1"/>
      <w:numFmt w:val="decimal"/>
      <w:lvlText w:val="%4."/>
      <w:lvlJc w:val="left"/>
      <w:pPr>
        <w:ind w:left="2746" w:hanging="360"/>
      </w:pPr>
    </w:lvl>
    <w:lvl w:ilvl="4" w:tplc="04090019" w:tentative="1">
      <w:start w:val="1"/>
      <w:numFmt w:val="lowerLetter"/>
      <w:lvlText w:val="%5."/>
      <w:lvlJc w:val="left"/>
      <w:pPr>
        <w:ind w:left="3466" w:hanging="360"/>
      </w:pPr>
    </w:lvl>
    <w:lvl w:ilvl="5" w:tplc="0409001B" w:tentative="1">
      <w:start w:val="1"/>
      <w:numFmt w:val="lowerRoman"/>
      <w:lvlText w:val="%6."/>
      <w:lvlJc w:val="right"/>
      <w:pPr>
        <w:ind w:left="4186" w:hanging="180"/>
      </w:pPr>
    </w:lvl>
    <w:lvl w:ilvl="6" w:tplc="0409000F" w:tentative="1">
      <w:start w:val="1"/>
      <w:numFmt w:val="decimal"/>
      <w:lvlText w:val="%7."/>
      <w:lvlJc w:val="left"/>
      <w:pPr>
        <w:ind w:left="4906" w:hanging="360"/>
      </w:pPr>
    </w:lvl>
    <w:lvl w:ilvl="7" w:tplc="04090019" w:tentative="1">
      <w:start w:val="1"/>
      <w:numFmt w:val="lowerLetter"/>
      <w:lvlText w:val="%8."/>
      <w:lvlJc w:val="left"/>
      <w:pPr>
        <w:ind w:left="5626" w:hanging="360"/>
      </w:pPr>
    </w:lvl>
    <w:lvl w:ilvl="8" w:tplc="0409001B" w:tentative="1">
      <w:start w:val="1"/>
      <w:numFmt w:val="lowerRoman"/>
      <w:lvlText w:val="%9."/>
      <w:lvlJc w:val="right"/>
      <w:pPr>
        <w:ind w:left="6346" w:hanging="180"/>
      </w:pPr>
    </w:lvl>
  </w:abstractNum>
  <w:abstractNum w:abstractNumId="1" w15:restartNumberingAfterBreak="0">
    <w:nsid w:val="23703A1A"/>
    <w:multiLevelType w:val="hybridMultilevel"/>
    <w:tmpl w:val="4F5E5F60"/>
    <w:lvl w:ilvl="0" w:tplc="169470DE">
      <w:start w:val="1"/>
      <w:numFmt w:val="decimal"/>
      <w:lvlText w:val="%1."/>
      <w:lvlJc w:val="left"/>
      <w:pPr>
        <w:ind w:left="546" w:hanging="360"/>
      </w:pPr>
      <w:rPr>
        <w:rFonts w:hint="default"/>
      </w:rPr>
    </w:lvl>
    <w:lvl w:ilvl="1" w:tplc="04090019" w:tentative="1">
      <w:start w:val="1"/>
      <w:numFmt w:val="lowerLetter"/>
      <w:lvlText w:val="%2."/>
      <w:lvlJc w:val="left"/>
      <w:pPr>
        <w:ind w:left="1266" w:hanging="360"/>
      </w:pPr>
    </w:lvl>
    <w:lvl w:ilvl="2" w:tplc="0409001B" w:tentative="1">
      <w:start w:val="1"/>
      <w:numFmt w:val="lowerRoman"/>
      <w:lvlText w:val="%3."/>
      <w:lvlJc w:val="right"/>
      <w:pPr>
        <w:ind w:left="1986" w:hanging="180"/>
      </w:pPr>
    </w:lvl>
    <w:lvl w:ilvl="3" w:tplc="0409000F" w:tentative="1">
      <w:start w:val="1"/>
      <w:numFmt w:val="decimal"/>
      <w:lvlText w:val="%4."/>
      <w:lvlJc w:val="left"/>
      <w:pPr>
        <w:ind w:left="2706" w:hanging="360"/>
      </w:pPr>
    </w:lvl>
    <w:lvl w:ilvl="4" w:tplc="04090019" w:tentative="1">
      <w:start w:val="1"/>
      <w:numFmt w:val="lowerLetter"/>
      <w:lvlText w:val="%5."/>
      <w:lvlJc w:val="left"/>
      <w:pPr>
        <w:ind w:left="3426" w:hanging="360"/>
      </w:pPr>
    </w:lvl>
    <w:lvl w:ilvl="5" w:tplc="0409001B" w:tentative="1">
      <w:start w:val="1"/>
      <w:numFmt w:val="lowerRoman"/>
      <w:lvlText w:val="%6."/>
      <w:lvlJc w:val="right"/>
      <w:pPr>
        <w:ind w:left="4146" w:hanging="180"/>
      </w:pPr>
    </w:lvl>
    <w:lvl w:ilvl="6" w:tplc="0409000F" w:tentative="1">
      <w:start w:val="1"/>
      <w:numFmt w:val="decimal"/>
      <w:lvlText w:val="%7."/>
      <w:lvlJc w:val="left"/>
      <w:pPr>
        <w:ind w:left="4866" w:hanging="360"/>
      </w:pPr>
    </w:lvl>
    <w:lvl w:ilvl="7" w:tplc="04090019" w:tentative="1">
      <w:start w:val="1"/>
      <w:numFmt w:val="lowerLetter"/>
      <w:lvlText w:val="%8."/>
      <w:lvlJc w:val="left"/>
      <w:pPr>
        <w:ind w:left="5586" w:hanging="360"/>
      </w:pPr>
    </w:lvl>
    <w:lvl w:ilvl="8" w:tplc="0409001B" w:tentative="1">
      <w:start w:val="1"/>
      <w:numFmt w:val="lowerRoman"/>
      <w:lvlText w:val="%9."/>
      <w:lvlJc w:val="right"/>
      <w:pPr>
        <w:ind w:left="6306" w:hanging="180"/>
      </w:pPr>
    </w:lvl>
  </w:abstractNum>
  <w:abstractNum w:abstractNumId="2" w15:restartNumberingAfterBreak="0">
    <w:nsid w:val="44A52301"/>
    <w:multiLevelType w:val="hybridMultilevel"/>
    <w:tmpl w:val="6D8E7C2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C0114E7"/>
    <w:multiLevelType w:val="hybridMultilevel"/>
    <w:tmpl w:val="18DE46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2F649E8"/>
    <w:multiLevelType w:val="hybridMultilevel"/>
    <w:tmpl w:val="4F5E5F60"/>
    <w:lvl w:ilvl="0" w:tplc="169470DE">
      <w:start w:val="1"/>
      <w:numFmt w:val="decimal"/>
      <w:lvlText w:val="%1."/>
      <w:lvlJc w:val="left"/>
      <w:pPr>
        <w:ind w:left="546" w:hanging="360"/>
      </w:pPr>
      <w:rPr>
        <w:rFonts w:hint="default"/>
      </w:rPr>
    </w:lvl>
    <w:lvl w:ilvl="1" w:tplc="04090019" w:tentative="1">
      <w:start w:val="1"/>
      <w:numFmt w:val="lowerLetter"/>
      <w:lvlText w:val="%2."/>
      <w:lvlJc w:val="left"/>
      <w:pPr>
        <w:ind w:left="1266" w:hanging="360"/>
      </w:pPr>
    </w:lvl>
    <w:lvl w:ilvl="2" w:tplc="0409001B" w:tentative="1">
      <w:start w:val="1"/>
      <w:numFmt w:val="lowerRoman"/>
      <w:lvlText w:val="%3."/>
      <w:lvlJc w:val="right"/>
      <w:pPr>
        <w:ind w:left="1986" w:hanging="180"/>
      </w:pPr>
    </w:lvl>
    <w:lvl w:ilvl="3" w:tplc="0409000F" w:tentative="1">
      <w:start w:val="1"/>
      <w:numFmt w:val="decimal"/>
      <w:lvlText w:val="%4."/>
      <w:lvlJc w:val="left"/>
      <w:pPr>
        <w:ind w:left="2706" w:hanging="360"/>
      </w:pPr>
    </w:lvl>
    <w:lvl w:ilvl="4" w:tplc="04090019" w:tentative="1">
      <w:start w:val="1"/>
      <w:numFmt w:val="lowerLetter"/>
      <w:lvlText w:val="%5."/>
      <w:lvlJc w:val="left"/>
      <w:pPr>
        <w:ind w:left="3426" w:hanging="360"/>
      </w:pPr>
    </w:lvl>
    <w:lvl w:ilvl="5" w:tplc="0409001B" w:tentative="1">
      <w:start w:val="1"/>
      <w:numFmt w:val="lowerRoman"/>
      <w:lvlText w:val="%6."/>
      <w:lvlJc w:val="right"/>
      <w:pPr>
        <w:ind w:left="4146" w:hanging="180"/>
      </w:pPr>
    </w:lvl>
    <w:lvl w:ilvl="6" w:tplc="0409000F" w:tentative="1">
      <w:start w:val="1"/>
      <w:numFmt w:val="decimal"/>
      <w:lvlText w:val="%7."/>
      <w:lvlJc w:val="left"/>
      <w:pPr>
        <w:ind w:left="4866" w:hanging="360"/>
      </w:pPr>
    </w:lvl>
    <w:lvl w:ilvl="7" w:tplc="04090019" w:tentative="1">
      <w:start w:val="1"/>
      <w:numFmt w:val="lowerLetter"/>
      <w:lvlText w:val="%8."/>
      <w:lvlJc w:val="left"/>
      <w:pPr>
        <w:ind w:left="5586" w:hanging="360"/>
      </w:pPr>
    </w:lvl>
    <w:lvl w:ilvl="8" w:tplc="0409001B" w:tentative="1">
      <w:start w:val="1"/>
      <w:numFmt w:val="lowerRoman"/>
      <w:lvlText w:val="%9."/>
      <w:lvlJc w:val="right"/>
      <w:pPr>
        <w:ind w:left="6306" w:hanging="180"/>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950"/>
    <w:rsid w:val="00022542"/>
    <w:rsid w:val="000375FC"/>
    <w:rsid w:val="000415DF"/>
    <w:rsid w:val="00062FA4"/>
    <w:rsid w:val="00091B58"/>
    <w:rsid w:val="000E2CC2"/>
    <w:rsid w:val="000F6BA2"/>
    <w:rsid w:val="00280918"/>
    <w:rsid w:val="002969CD"/>
    <w:rsid w:val="002A2E83"/>
    <w:rsid w:val="002F5B4B"/>
    <w:rsid w:val="00324455"/>
    <w:rsid w:val="00360506"/>
    <w:rsid w:val="003824E7"/>
    <w:rsid w:val="003C0CC6"/>
    <w:rsid w:val="003F1DD9"/>
    <w:rsid w:val="0040436A"/>
    <w:rsid w:val="00440129"/>
    <w:rsid w:val="004504EC"/>
    <w:rsid w:val="004E0B98"/>
    <w:rsid w:val="00540DA3"/>
    <w:rsid w:val="005742DD"/>
    <w:rsid w:val="0059046A"/>
    <w:rsid w:val="005D705E"/>
    <w:rsid w:val="00603261"/>
    <w:rsid w:val="00650B43"/>
    <w:rsid w:val="00662F13"/>
    <w:rsid w:val="006B2EB9"/>
    <w:rsid w:val="007133D2"/>
    <w:rsid w:val="00761B35"/>
    <w:rsid w:val="00786295"/>
    <w:rsid w:val="00810928"/>
    <w:rsid w:val="00975110"/>
    <w:rsid w:val="009C2907"/>
    <w:rsid w:val="009E5617"/>
    <w:rsid w:val="009F045B"/>
    <w:rsid w:val="009F678F"/>
    <w:rsid w:val="00A5785D"/>
    <w:rsid w:val="00A60542"/>
    <w:rsid w:val="00B32B77"/>
    <w:rsid w:val="00B33719"/>
    <w:rsid w:val="00B3494B"/>
    <w:rsid w:val="00BC5227"/>
    <w:rsid w:val="00C004CA"/>
    <w:rsid w:val="00C4463F"/>
    <w:rsid w:val="00C52950"/>
    <w:rsid w:val="00CB4222"/>
    <w:rsid w:val="00CC5E68"/>
    <w:rsid w:val="00CE38A8"/>
    <w:rsid w:val="00D2046B"/>
    <w:rsid w:val="00D4723F"/>
    <w:rsid w:val="00D8286E"/>
    <w:rsid w:val="00D95F86"/>
    <w:rsid w:val="00E369B9"/>
    <w:rsid w:val="00EA6006"/>
    <w:rsid w:val="00ED1E87"/>
    <w:rsid w:val="00EF17AB"/>
    <w:rsid w:val="00EF3086"/>
    <w:rsid w:val="00F1521C"/>
    <w:rsid w:val="00F40C21"/>
    <w:rsid w:val="00F52A7F"/>
    <w:rsid w:val="00F75CD8"/>
    <w:rsid w:val="00FA15CC"/>
    <w:rsid w:val="00FE774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053BE3-D75B-4FAD-95C5-6F096EEB2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2950"/>
    <w:pPr>
      <w:bidi/>
      <w:spacing w:after="0" w:line="240" w:lineRule="auto"/>
    </w:pPr>
    <w:rPr>
      <w:rFonts w:ascii="Times New Roman" w:eastAsia="Times New Roman" w:hAnsi="Times New Roman" w:cs="Times New Roman"/>
      <w:sz w:val="24"/>
      <w:szCs w:val="24"/>
    </w:rPr>
  </w:style>
  <w:style w:type="paragraph" w:styleId="1">
    <w:name w:val="heading 1"/>
    <w:basedOn w:val="2"/>
    <w:next w:val="a"/>
    <w:link w:val="10"/>
    <w:uiPriority w:val="9"/>
    <w:qFormat/>
    <w:rsid w:val="006B2EB9"/>
    <w:pPr>
      <w:spacing w:after="120"/>
      <w:outlineLvl w:val="0"/>
    </w:pPr>
    <w:rPr>
      <w:szCs w:val="32"/>
    </w:rPr>
  </w:style>
  <w:style w:type="paragraph" w:styleId="2">
    <w:name w:val="heading 2"/>
    <w:basedOn w:val="a"/>
    <w:next w:val="a"/>
    <w:link w:val="20"/>
    <w:uiPriority w:val="9"/>
    <w:unhideWhenUsed/>
    <w:qFormat/>
    <w:rsid w:val="006B2EB9"/>
    <w:pPr>
      <w:keepNext/>
      <w:keepLines/>
      <w:spacing w:before="200"/>
      <w:outlineLvl w:val="1"/>
    </w:pPr>
    <w:rPr>
      <w:rFonts w:asciiTheme="majorHAnsi" w:eastAsiaTheme="majorEastAsia" w:hAnsiTheme="majorHAnsi"/>
      <w:b/>
      <w:bCs/>
      <w:sz w:val="26"/>
      <w:szCs w:val="26"/>
    </w:rPr>
  </w:style>
  <w:style w:type="paragraph" w:styleId="3">
    <w:name w:val="heading 3"/>
    <w:basedOn w:val="a"/>
    <w:next w:val="a"/>
    <w:link w:val="30"/>
    <w:uiPriority w:val="9"/>
    <w:unhideWhenUsed/>
    <w:qFormat/>
    <w:rsid w:val="00540DA3"/>
    <w:pPr>
      <w:keepNext/>
      <w:keepLines/>
      <w:spacing w:before="120"/>
      <w:jc w:val="both"/>
      <w:outlineLvl w:val="2"/>
    </w:pPr>
    <w:rPr>
      <w:rFonts w:asciiTheme="majorHAnsi" w:eastAsiaTheme="majorEastAsia" w:hAnsiTheme="majorHAnsi"/>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uiPriority w:val="9"/>
    <w:rsid w:val="006B2EB9"/>
    <w:rPr>
      <w:rFonts w:asciiTheme="majorHAnsi" w:eastAsiaTheme="majorEastAsia" w:hAnsiTheme="majorHAnsi" w:cs="Alef"/>
      <w:b/>
      <w:bCs/>
      <w:sz w:val="26"/>
      <w:szCs w:val="26"/>
    </w:rPr>
  </w:style>
  <w:style w:type="character" w:customStyle="1" w:styleId="10">
    <w:name w:val="כותרת 1 תו"/>
    <w:basedOn w:val="a0"/>
    <w:link w:val="1"/>
    <w:uiPriority w:val="9"/>
    <w:rsid w:val="006B2EB9"/>
    <w:rPr>
      <w:rFonts w:asciiTheme="majorHAnsi" w:eastAsiaTheme="majorEastAsia" w:hAnsiTheme="majorHAnsi" w:cs="Alef"/>
      <w:b/>
      <w:bCs/>
      <w:sz w:val="26"/>
      <w:szCs w:val="32"/>
    </w:rPr>
  </w:style>
  <w:style w:type="paragraph" w:customStyle="1" w:styleId="Haeding2">
    <w:name w:val="Haeding 2"/>
    <w:basedOn w:val="1"/>
    <w:next w:val="a"/>
    <w:link w:val="Haeding2Char"/>
    <w:qFormat/>
    <w:rsid w:val="006B2EB9"/>
    <w:pPr>
      <w:keepLines w:val="0"/>
      <w:spacing w:before="240" w:after="60"/>
    </w:pPr>
    <w:rPr>
      <w:rFonts w:ascii="Arial" w:hAnsi="Arial"/>
      <w:noProof/>
      <w:kern w:val="32"/>
      <w:sz w:val="32"/>
      <w:szCs w:val="28"/>
      <w:lang w:eastAsia="he-IL"/>
    </w:rPr>
  </w:style>
  <w:style w:type="character" w:customStyle="1" w:styleId="Haeding2Char">
    <w:name w:val="Haeding 2 Char"/>
    <w:basedOn w:val="10"/>
    <w:link w:val="Haeding2"/>
    <w:rsid w:val="006B2EB9"/>
    <w:rPr>
      <w:rFonts w:ascii="Arial" w:eastAsiaTheme="majorEastAsia" w:hAnsi="Arial" w:cs="Alef"/>
      <w:b/>
      <w:bCs/>
      <w:noProof/>
      <w:kern w:val="32"/>
      <w:sz w:val="32"/>
      <w:szCs w:val="28"/>
      <w:lang w:eastAsia="he-IL"/>
    </w:rPr>
  </w:style>
  <w:style w:type="character" w:customStyle="1" w:styleId="30">
    <w:name w:val="כותרת 3 תו"/>
    <w:basedOn w:val="a0"/>
    <w:link w:val="3"/>
    <w:uiPriority w:val="9"/>
    <w:rsid w:val="00540DA3"/>
    <w:rPr>
      <w:rFonts w:asciiTheme="majorHAnsi" w:eastAsiaTheme="majorEastAsia" w:hAnsiTheme="majorHAnsi" w:cs="Alef"/>
      <w:b/>
      <w:bCs/>
      <w:szCs w:val="24"/>
    </w:rPr>
  </w:style>
  <w:style w:type="paragraph" w:styleId="a3">
    <w:name w:val="footer"/>
    <w:basedOn w:val="a"/>
    <w:link w:val="a4"/>
    <w:rsid w:val="00C52950"/>
    <w:pPr>
      <w:tabs>
        <w:tab w:val="center" w:pos="4153"/>
        <w:tab w:val="right" w:pos="8306"/>
      </w:tabs>
    </w:pPr>
  </w:style>
  <w:style w:type="character" w:customStyle="1" w:styleId="a4">
    <w:name w:val="כותרת תחתונה תו"/>
    <w:basedOn w:val="a0"/>
    <w:link w:val="a3"/>
    <w:rsid w:val="00C52950"/>
    <w:rPr>
      <w:rFonts w:ascii="Times New Roman" w:eastAsia="Times New Roman" w:hAnsi="Times New Roman" w:cs="Times New Roman"/>
      <w:sz w:val="24"/>
      <w:szCs w:val="24"/>
    </w:rPr>
  </w:style>
  <w:style w:type="paragraph" w:styleId="a5">
    <w:name w:val="header"/>
    <w:basedOn w:val="a"/>
    <w:link w:val="a6"/>
    <w:rsid w:val="00C52950"/>
    <w:pPr>
      <w:tabs>
        <w:tab w:val="center" w:pos="4153"/>
        <w:tab w:val="right" w:pos="8306"/>
      </w:tabs>
    </w:pPr>
  </w:style>
  <w:style w:type="character" w:customStyle="1" w:styleId="a6">
    <w:name w:val="כותרת עליונה תו"/>
    <w:basedOn w:val="a0"/>
    <w:link w:val="a5"/>
    <w:rsid w:val="00C52950"/>
    <w:rPr>
      <w:rFonts w:ascii="Times New Roman" w:eastAsia="Times New Roman" w:hAnsi="Times New Roman" w:cs="Times New Roman"/>
      <w:sz w:val="24"/>
      <w:szCs w:val="24"/>
    </w:rPr>
  </w:style>
  <w:style w:type="paragraph" w:styleId="a7">
    <w:name w:val="List Paragraph"/>
    <w:basedOn w:val="a"/>
    <w:uiPriority w:val="34"/>
    <w:qFormat/>
    <w:rsid w:val="00C52950"/>
    <w:pPr>
      <w:ind w:left="720"/>
      <w:contextualSpacing/>
    </w:pPr>
  </w:style>
  <w:style w:type="character" w:styleId="a8">
    <w:name w:val="Emphasis"/>
    <w:basedOn w:val="a0"/>
    <w:uiPriority w:val="20"/>
    <w:qFormat/>
    <w:rsid w:val="00C52950"/>
    <w:rPr>
      <w:i/>
      <w:iCs/>
    </w:rPr>
  </w:style>
  <w:style w:type="paragraph" w:styleId="a9">
    <w:name w:val="Balloon Text"/>
    <w:basedOn w:val="a"/>
    <w:link w:val="aa"/>
    <w:uiPriority w:val="99"/>
    <w:semiHidden/>
    <w:unhideWhenUsed/>
    <w:rsid w:val="00C52950"/>
    <w:rPr>
      <w:rFonts w:ascii="Tahoma" w:hAnsi="Tahoma" w:cs="Tahoma"/>
      <w:sz w:val="16"/>
      <w:szCs w:val="16"/>
    </w:rPr>
  </w:style>
  <w:style w:type="character" w:customStyle="1" w:styleId="aa">
    <w:name w:val="טקסט בלונים תו"/>
    <w:basedOn w:val="a0"/>
    <w:link w:val="a9"/>
    <w:uiPriority w:val="99"/>
    <w:semiHidden/>
    <w:rsid w:val="00C5295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767BB7-E0D6-47E6-93F9-397252E6C85C}"/>
</file>

<file path=customXml/itemProps2.xml><?xml version="1.0" encoding="utf-8"?>
<ds:datastoreItem xmlns:ds="http://schemas.openxmlformats.org/officeDocument/2006/customXml" ds:itemID="{32037360-0C15-44BC-88D4-0522EB925518}"/>
</file>

<file path=customXml/itemProps3.xml><?xml version="1.0" encoding="utf-8"?>
<ds:datastoreItem xmlns:ds="http://schemas.openxmlformats.org/officeDocument/2006/customXml" ds:itemID="{16FA42EA-E050-42E8-B920-D58C2AB5FC82}"/>
</file>

<file path=docProps/app.xml><?xml version="1.0" encoding="utf-8"?>
<Properties xmlns="http://schemas.openxmlformats.org/officeDocument/2006/extended-properties" xmlns:vt="http://schemas.openxmlformats.org/officeDocument/2006/docPropsVTypes">
  <Template>Normal</Template>
  <TotalTime>2</TotalTime>
  <Pages>3</Pages>
  <Words>768</Words>
  <Characters>3840</Characters>
  <Application>Microsoft Office Word</Application>
  <DocSecurity>4</DocSecurity>
  <Lines>32</Lines>
  <Paragraphs>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נוגה יוסף</cp:lastModifiedBy>
  <cp:revision>2</cp:revision>
  <cp:lastPrinted>2017-07-06T11:41:00Z</cp:lastPrinted>
  <dcterms:created xsi:type="dcterms:W3CDTF">2017-07-09T12:55:00Z</dcterms:created>
  <dcterms:modified xsi:type="dcterms:W3CDTF">2017-07-09T12:55:00Z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2019378</vt:r8>
  </property>
</Properties>
</file>