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2016634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מירב בן ארי</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יעקב מרגי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פ/4301/20</w:t>
      </w:r>
      <w:bookmarkEnd w:id="7"/>
    </w:p>
    <w:p w14:paraId="7F6961AC" w14:textId="77777777" w:rsidR="00E13C27" w:rsidRDefault="00E13C27" w:rsidP="00E13C27">
      <w:pPr>
        <w:spacing w:before="0" w:line="360" w:lineRule="auto"/>
        <w:ind w:left="2880" w:firstLine="720"/>
        <w:rPr>
          <w:rFonts w:cs="David"/>
          <w:sz w:val="26"/>
          <w:szCs w:val="26"/>
          <w:rtl/>
        </w:rPr>
      </w:pPr>
    </w:p>
    <w:p w14:paraId="71DCBBD4" w14:textId="77777777" w:rsidR="007F5B27" w:rsidRPr="00F67051" w:rsidRDefault="007F5B27" w:rsidP="007F5B27">
      <w:pPr>
        <w:pStyle w:val="HeadHatzaotHok"/>
        <w:rPr>
          <w:rtl/>
        </w:rPr>
      </w:pPr>
      <w:bookmarkStart w:id="8" w:name="LGS_Subject"/>
      <w:r>
        <w:rPr>
          <w:rFonts w:hint="cs"/>
          <w:rtl/>
        </w:rPr>
        <w:t xml:space="preserve">הצעת חוק המועצה להשכלה גבוהה (תיקון – שכר לימוד לסטודנטים בין-לאומיים), </w:t>
      </w:r>
      <w:proofErr w:type="spellStart"/>
      <w:r>
        <w:rPr>
          <w:rFonts w:hint="cs"/>
          <w:rtl/>
        </w:rPr>
        <w:t>התשע"ז</w:t>
      </w:r>
      <w:proofErr w:type="spellEnd"/>
      <w:r>
        <w:rPr>
          <w:rFonts w:hint="cs"/>
          <w:rtl/>
        </w:rPr>
        <w:t>–2017</w:t>
      </w:r>
      <w:bookmarkEnd w:id="8"/>
    </w:p>
    <w:p w14:paraId="3C1EB9FD" w14:textId="77777777" w:rsidR="007F5B27" w:rsidRDefault="007F5B27" w:rsidP="007F5B27">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F5B27" w14:paraId="7148D6D4" w14:textId="77777777" w:rsidTr="009F0D14">
        <w:trPr>
          <w:cantSplit/>
          <w:trHeight w:val="60"/>
        </w:trPr>
        <w:tc>
          <w:tcPr>
            <w:tcW w:w="1871" w:type="dxa"/>
          </w:tcPr>
          <w:p w14:paraId="01D1F010" w14:textId="77777777" w:rsidR="007F5B27" w:rsidRDefault="007F5B27" w:rsidP="009F0D14">
            <w:pPr>
              <w:pStyle w:val="TableSideHeading"/>
              <w:keepLines w:val="0"/>
            </w:pPr>
            <w:r>
              <w:rPr>
                <w:rFonts w:hint="cs"/>
                <w:rtl/>
              </w:rPr>
              <w:t>תיקון סעיף 17ב</w:t>
            </w:r>
          </w:p>
        </w:tc>
        <w:tc>
          <w:tcPr>
            <w:tcW w:w="624" w:type="dxa"/>
          </w:tcPr>
          <w:p w14:paraId="6DF33E6C" w14:textId="77777777" w:rsidR="007F5B27" w:rsidRDefault="007F5B27" w:rsidP="009F0D14">
            <w:pPr>
              <w:pStyle w:val="TableText"/>
              <w:keepLines w:val="0"/>
            </w:pPr>
            <w:r>
              <w:rPr>
                <w:rFonts w:hint="cs"/>
                <w:rtl/>
              </w:rPr>
              <w:t>1.</w:t>
            </w:r>
          </w:p>
        </w:tc>
        <w:tc>
          <w:tcPr>
            <w:tcW w:w="7146" w:type="dxa"/>
          </w:tcPr>
          <w:p w14:paraId="27AEA050" w14:textId="4B8EF0E6" w:rsidR="007F5B27" w:rsidRPr="00C34DE2" w:rsidRDefault="007F5B27" w:rsidP="009F0D14">
            <w:pPr>
              <w:pStyle w:val="TableBlock"/>
            </w:pPr>
            <w:r w:rsidRPr="000C25ED">
              <w:rPr>
                <w:rFonts w:hint="cs"/>
                <w:rtl/>
              </w:rPr>
              <w:t xml:space="preserve">בחוק המועצה להשכלה גבוהה, </w:t>
            </w:r>
            <w:proofErr w:type="spellStart"/>
            <w:r w:rsidRPr="000C25ED">
              <w:rPr>
                <w:rFonts w:hint="cs"/>
                <w:rtl/>
              </w:rPr>
              <w:t>התשי"ח</w:t>
            </w:r>
            <w:proofErr w:type="spellEnd"/>
            <w:r w:rsidRPr="000C25ED">
              <w:rPr>
                <w:rFonts w:hint="eastAsia"/>
                <w:rtl/>
              </w:rPr>
              <w:t>–</w:t>
            </w:r>
            <w:r w:rsidRPr="000C25ED">
              <w:rPr>
                <w:rFonts w:hint="cs"/>
                <w:rtl/>
              </w:rPr>
              <w:t>1958</w:t>
            </w:r>
            <w:r w:rsidRPr="00964E0F">
              <w:rPr>
                <w:vertAlign w:val="superscript"/>
                <w:rtl/>
              </w:rPr>
              <w:footnoteReference w:id="2"/>
            </w:r>
            <w:r w:rsidRPr="000C25ED">
              <w:rPr>
                <w:rFonts w:hint="cs"/>
                <w:rtl/>
              </w:rPr>
              <w:t>, בסעיף 17ב(א)</w:t>
            </w:r>
            <w:r>
              <w:rPr>
                <w:rFonts w:hint="cs"/>
                <w:rtl/>
              </w:rPr>
              <w:t>, אחרי</w:t>
            </w:r>
            <w:r w:rsidRPr="000C25ED">
              <w:rPr>
                <w:rFonts w:hint="cs"/>
                <w:rtl/>
              </w:rPr>
              <w:t xml:space="preserve"> "</w:t>
            </w:r>
            <w:r>
              <w:rPr>
                <w:rFonts w:hint="cs"/>
                <w:rtl/>
              </w:rPr>
              <w:t xml:space="preserve">גובה </w:t>
            </w:r>
            <w:r w:rsidRPr="000C25ED">
              <w:rPr>
                <w:rFonts w:hint="cs"/>
                <w:rtl/>
              </w:rPr>
              <w:t xml:space="preserve">התשלומים הנלווים" </w:t>
            </w:r>
            <w:r>
              <w:rPr>
                <w:rFonts w:hint="cs"/>
                <w:rtl/>
              </w:rPr>
              <w:t>יבוא</w:t>
            </w:r>
            <w:r w:rsidR="002B0119">
              <w:rPr>
                <w:rFonts w:hint="cs"/>
                <w:rtl/>
              </w:rPr>
              <w:t xml:space="preserve"> "ושכר הלימוד לסטודנטים בין-</w:t>
            </w:r>
            <w:r w:rsidRPr="000C25ED">
              <w:rPr>
                <w:rFonts w:hint="cs"/>
                <w:rtl/>
              </w:rPr>
              <w:t>לאומיים"</w:t>
            </w:r>
            <w:r>
              <w:rPr>
                <w:rFonts w:hint="cs"/>
                <w:rtl/>
              </w:rPr>
              <w:t>, ובסופו יבוא "</w:t>
            </w:r>
            <w:r w:rsidRPr="000C25ED">
              <w:rPr>
                <w:rFonts w:hint="cs"/>
                <w:rtl/>
              </w:rPr>
              <w:t xml:space="preserve">"סטודנטים </w:t>
            </w:r>
            <w:r w:rsidR="002B0119">
              <w:rPr>
                <w:rFonts w:hint="cs"/>
                <w:rtl/>
              </w:rPr>
              <w:t>בין-</w:t>
            </w:r>
            <w:r w:rsidRPr="000C25ED">
              <w:rPr>
                <w:rFonts w:hint="cs"/>
                <w:rtl/>
              </w:rPr>
              <w:t>לאומיים"</w:t>
            </w:r>
            <w:r>
              <w:rPr>
                <w:rFonts w:hint="cs"/>
                <w:rtl/>
              </w:rPr>
              <w:t xml:space="preserve"> </w:t>
            </w:r>
            <w:r>
              <w:rPr>
                <w:rFonts w:hint="eastAsia"/>
                <w:rtl/>
              </w:rPr>
              <w:t>–</w:t>
            </w:r>
            <w:r w:rsidRPr="000C25ED">
              <w:rPr>
                <w:rFonts w:hint="cs"/>
                <w:rtl/>
              </w:rPr>
              <w:t xml:space="preserve"> סטודנטים שאינם אזרחי ישראל או תושבי ישראל.</w:t>
            </w:r>
            <w:r>
              <w:rPr>
                <w:rFonts w:hint="cs"/>
                <w:rtl/>
              </w:rPr>
              <w:t>"</w:t>
            </w:r>
          </w:p>
        </w:tc>
      </w:tr>
    </w:tbl>
    <w:p w14:paraId="126684F2" w14:textId="77777777" w:rsidR="007F5B27" w:rsidRDefault="007F5B27" w:rsidP="007F5B27">
      <w:pPr>
        <w:pStyle w:val="HeadDivreiHesber"/>
        <w:rPr>
          <w:rtl/>
        </w:rPr>
      </w:pPr>
      <w:r w:rsidRPr="0027450A">
        <w:rPr>
          <w:rFonts w:hint="cs"/>
          <w:rtl/>
        </w:rPr>
        <w:t>דברי הסבר</w:t>
      </w:r>
    </w:p>
    <w:p w14:paraId="0206EA32" w14:textId="5AD2EB4A" w:rsidR="007F5B27" w:rsidRDefault="007F5B27" w:rsidP="007F5B27">
      <w:pPr>
        <w:pStyle w:val="Hesber"/>
        <w:rPr>
          <w:rtl/>
        </w:rPr>
      </w:pPr>
      <w:r>
        <w:rPr>
          <w:rFonts w:hint="cs"/>
          <w:rtl/>
        </w:rPr>
        <w:t xml:space="preserve">גובה שכר הלימוד במוסדות להשכלה גבוהה שהמדינה משתתפת בתקציבם נקבע עד היום במסגרת ועדות ציבוריות שמינה שר החינוך וזאת על פי החלטת ממשלה. הוועדה הציבורית האחרונה שקבעה כללים בנושא שכר לימוד </w:t>
      </w:r>
      <w:r w:rsidR="002B0119">
        <w:rPr>
          <w:rFonts w:hint="cs"/>
          <w:rtl/>
        </w:rPr>
        <w:t xml:space="preserve">לסטודנטים בין-לאומיים </w:t>
      </w:r>
      <w:proofErr w:type="spellStart"/>
      <w:r w:rsidR="002B0119">
        <w:rPr>
          <w:rFonts w:hint="cs"/>
          <w:rtl/>
        </w:rPr>
        <w:t>ה</w:t>
      </w:r>
      <w:r>
        <w:rPr>
          <w:rFonts w:hint="cs"/>
          <w:rtl/>
        </w:rPr>
        <w:t>ית</w:t>
      </w:r>
      <w:r>
        <w:rPr>
          <w:rFonts w:hint="eastAsia"/>
          <w:rtl/>
        </w:rPr>
        <w:t>ה</w:t>
      </w:r>
      <w:proofErr w:type="spellEnd"/>
      <w:r w:rsidR="002B0119">
        <w:rPr>
          <w:rFonts w:hint="cs"/>
          <w:rtl/>
        </w:rPr>
        <w:t xml:space="preserve"> בראשות כבוד</w:t>
      </w:r>
      <w:r>
        <w:rPr>
          <w:rFonts w:hint="cs"/>
          <w:rtl/>
        </w:rPr>
        <w:t xml:space="preserve"> השופט (בדימוס) יעקב מלץ ודוח שכתבה פורסם בשנת 1996 (להלן </w:t>
      </w:r>
      <w:r>
        <w:rPr>
          <w:rtl/>
        </w:rPr>
        <w:t>–</w:t>
      </w:r>
      <w:r>
        <w:rPr>
          <w:rFonts w:hint="cs"/>
          <w:rtl/>
        </w:rPr>
        <w:t xml:space="preserve"> דוח ועדת מלץ).</w:t>
      </w:r>
    </w:p>
    <w:p w14:paraId="5E532F11" w14:textId="77777777" w:rsidR="007F5B27" w:rsidRDefault="007F5B27" w:rsidP="007F5B27">
      <w:pPr>
        <w:pStyle w:val="Hesber"/>
        <w:rPr>
          <w:rtl/>
        </w:rPr>
      </w:pPr>
      <w:r>
        <w:rPr>
          <w:rFonts w:hint="cs"/>
          <w:rtl/>
        </w:rPr>
        <w:t>דוח זה קבע, בין היתר, כי המוסדות להשכלה גבוהה שהמדינה משתתפת בתקציבם רשאים לגבות מסטודנטים שאינם אזרחי או תושבי ישראל שכר לימוד הגבוה בעד 25% משכר הלימוד אותו משלמים סטודנטים אזרחי או תושבי ישראל.</w:t>
      </w:r>
    </w:p>
    <w:p w14:paraId="38419424" w14:textId="2E8DD60D" w:rsidR="007F5B27" w:rsidRDefault="002B0119" w:rsidP="002B0119">
      <w:pPr>
        <w:pStyle w:val="Hesber"/>
        <w:rPr>
          <w:rtl/>
        </w:rPr>
      </w:pPr>
      <w:r>
        <w:rPr>
          <w:rFonts w:hint="cs"/>
          <w:rtl/>
        </w:rPr>
        <w:t>נושא הבין-</w:t>
      </w:r>
      <w:r w:rsidR="007F5B27">
        <w:rPr>
          <w:rFonts w:hint="cs"/>
          <w:rtl/>
        </w:rPr>
        <w:t>לאומיות בהשכלה הגבוהה בכ</w:t>
      </w:r>
      <w:r>
        <w:rPr>
          <w:rFonts w:hint="cs"/>
          <w:rtl/>
        </w:rPr>
        <w:t>לל, ועידוד הגעתם של סטודנטים בין-</w:t>
      </w:r>
      <w:r w:rsidR="007F5B27">
        <w:rPr>
          <w:rFonts w:hint="cs"/>
          <w:rtl/>
        </w:rPr>
        <w:t xml:space="preserve">לאומיים לישראל בפרט, נקבעו כיעדים מרכזיים בתכנית הרב שנתית של מערכת ההשכלה הגבוהה לשנים </w:t>
      </w:r>
      <w:proofErr w:type="spellStart"/>
      <w:r w:rsidR="007F5B27">
        <w:rPr>
          <w:rFonts w:hint="cs"/>
          <w:rtl/>
        </w:rPr>
        <w:t>התשע"ז</w:t>
      </w:r>
      <w:proofErr w:type="spellEnd"/>
      <w:r>
        <w:rPr>
          <w:rFonts w:hint="cs"/>
          <w:rtl/>
        </w:rPr>
        <w:t xml:space="preserve"> עד </w:t>
      </w:r>
      <w:proofErr w:type="spellStart"/>
      <w:r w:rsidR="007F5B27">
        <w:rPr>
          <w:rFonts w:hint="cs"/>
          <w:rtl/>
        </w:rPr>
        <w:t>התשפ"ב</w:t>
      </w:r>
      <w:proofErr w:type="spellEnd"/>
      <w:r w:rsidR="007F5B27">
        <w:rPr>
          <w:rFonts w:hint="cs"/>
          <w:rtl/>
        </w:rPr>
        <w:t>.</w:t>
      </w:r>
    </w:p>
    <w:p w14:paraId="46DD0850" w14:textId="77777777" w:rsidR="007F5B27" w:rsidRDefault="007F5B27" w:rsidP="007F5B27">
      <w:pPr>
        <w:pStyle w:val="Hesber"/>
        <w:rPr>
          <w:rtl/>
        </w:rPr>
      </w:pPr>
      <w:r>
        <w:rPr>
          <w:rFonts w:hint="cs"/>
          <w:rtl/>
        </w:rPr>
        <w:t>המוטיבציה העיקרית לקידום הנושא היא העלאת הרמה והתחרותיות של מערכת ההשכלה הגבוהה בישראל באופן שימשוך סטודנטים בינלאומיים ברמה אקדמית גבוהה לישראל שישולבו, ככל הניתן, באותן כיתות עם הסטודנטים הישראליים.</w:t>
      </w:r>
    </w:p>
    <w:p w14:paraId="2894B9BC" w14:textId="12596BD8" w:rsidR="007F5B27" w:rsidRDefault="007F5B27" w:rsidP="007F5B27">
      <w:pPr>
        <w:pStyle w:val="Hesber"/>
        <w:rPr>
          <w:rtl/>
        </w:rPr>
      </w:pPr>
      <w:r>
        <w:rPr>
          <w:rFonts w:hint="cs"/>
          <w:rtl/>
        </w:rPr>
        <w:t>במודל התקצוב של הו</w:t>
      </w:r>
      <w:r w:rsidR="002B0119">
        <w:rPr>
          <w:rFonts w:hint="cs"/>
          <w:rtl/>
        </w:rPr>
        <w:t>ו</w:t>
      </w:r>
      <w:r>
        <w:rPr>
          <w:rFonts w:hint="cs"/>
          <w:rtl/>
        </w:rPr>
        <w:t xml:space="preserve">עדה לתכנון ותקצוב (להלן </w:t>
      </w:r>
      <w:r>
        <w:rPr>
          <w:rFonts w:hint="eastAsia"/>
          <w:rtl/>
        </w:rPr>
        <w:t>–</w:t>
      </w:r>
      <w:r>
        <w:rPr>
          <w:rFonts w:hint="cs"/>
          <w:rtl/>
        </w:rPr>
        <w:t xml:space="preserve"> ות"ת) הקיים היום, ות"ת מסבסדת את כל הסטודנטים בתכניות המתוקצבות במוסדות להשכלה גבוהה שהמדינה משתתפת בתקציבם, ללא הבחנה בין אזרחי ותושבי ישראל לאלה שאינם כאלה.</w:t>
      </w:r>
    </w:p>
    <w:p w14:paraId="6CA61E83" w14:textId="0CFA4C5B" w:rsidR="007F5B27" w:rsidRDefault="007F5B27" w:rsidP="002B0119">
      <w:pPr>
        <w:pStyle w:val="Hesber"/>
        <w:rPr>
          <w:rtl/>
        </w:rPr>
      </w:pPr>
      <w:r>
        <w:rPr>
          <w:rFonts w:hint="cs"/>
          <w:rtl/>
        </w:rPr>
        <w:lastRenderedPageBreak/>
        <w:t xml:space="preserve">בעת עריכת דוח ועדת מלץ, </w:t>
      </w:r>
      <w:r w:rsidR="002B0119">
        <w:rPr>
          <w:rFonts w:hint="cs"/>
          <w:rtl/>
        </w:rPr>
        <w:t>מספר</w:t>
      </w:r>
      <w:r>
        <w:rPr>
          <w:rFonts w:hint="cs"/>
          <w:rtl/>
        </w:rPr>
        <w:t xml:space="preserve"> הסטודנטים הבינל</w:t>
      </w:r>
      <w:r w:rsidR="002B0119">
        <w:rPr>
          <w:rFonts w:hint="cs"/>
          <w:rtl/>
        </w:rPr>
        <w:t>אומיים שהגיעו ללמוד בישראל היה קטן</w:t>
      </w:r>
      <w:r>
        <w:rPr>
          <w:rFonts w:hint="cs"/>
          <w:rtl/>
        </w:rPr>
        <w:t xml:space="preserve"> ומרביתם היו יהודים הזכאים לעשות עלייה לארץ בהתאם לחוק השבות, </w:t>
      </w:r>
      <w:proofErr w:type="spellStart"/>
      <w:r>
        <w:rPr>
          <w:rFonts w:hint="cs"/>
          <w:rtl/>
        </w:rPr>
        <w:t>התש"י</w:t>
      </w:r>
      <w:proofErr w:type="spellEnd"/>
      <w:r>
        <w:rPr>
          <w:rFonts w:hint="eastAsia"/>
          <w:rtl/>
        </w:rPr>
        <w:t>–</w:t>
      </w:r>
      <w:r>
        <w:rPr>
          <w:rFonts w:hint="cs"/>
          <w:rtl/>
        </w:rPr>
        <w:t xml:space="preserve">1950. ואולם, כיום, לאור מדיניותה של מדינת ישראל ככלל ושל המועצה להשכלה גבוהה </w:t>
      </w:r>
      <w:proofErr w:type="spellStart"/>
      <w:r>
        <w:rPr>
          <w:rFonts w:hint="cs"/>
          <w:rtl/>
        </w:rPr>
        <w:t>וות"ת</w:t>
      </w:r>
      <w:proofErr w:type="spellEnd"/>
      <w:r>
        <w:rPr>
          <w:rFonts w:hint="cs"/>
          <w:rtl/>
        </w:rPr>
        <w:t xml:space="preserve"> בפרט, לקידום שיתופי פעולה בתחום ההשכלה הגבוהה עם מדינות רבות בעולם ובעקבות הסכמי שיתוף פעולה שנחתמו בעניין זה, גדל ב</w:t>
      </w:r>
      <w:r w:rsidR="002B0119">
        <w:rPr>
          <w:rFonts w:hint="cs"/>
          <w:rtl/>
        </w:rPr>
        <w:t>אופן משמעותי היקף הסטודנטים הבין-</w:t>
      </w:r>
      <w:r>
        <w:rPr>
          <w:rFonts w:hint="cs"/>
          <w:rtl/>
        </w:rPr>
        <w:t>לאומיים המגיעים ללמוד בישראל ונראה שאין מקום להמשיך לסבסד סטודנטים אלה על חשבון סטודנטים ישראלים.</w:t>
      </w:r>
    </w:p>
    <w:p w14:paraId="3BED70CA" w14:textId="0902F6D8" w:rsidR="007F5B27" w:rsidRDefault="007F5B27" w:rsidP="007F5B27">
      <w:pPr>
        <w:pStyle w:val="Hesber"/>
        <w:rPr>
          <w:rtl/>
        </w:rPr>
      </w:pPr>
      <w:r>
        <w:rPr>
          <w:rFonts w:hint="cs"/>
          <w:rtl/>
        </w:rPr>
        <w:t>לאור זאת, יש מקום להתיר למוסדות להשכלה גבוהה שהמדינה מש</w:t>
      </w:r>
      <w:r w:rsidR="002B0119">
        <w:rPr>
          <w:rFonts w:hint="cs"/>
          <w:rtl/>
        </w:rPr>
        <w:t>תתפת בתקציבם לגבות מסטודנטים בין-</w:t>
      </w:r>
      <w:r>
        <w:rPr>
          <w:rFonts w:hint="cs"/>
          <w:rtl/>
        </w:rPr>
        <w:t xml:space="preserve">לאומיים שכר לימוד גבוה יותר מזה הקבוע בדוח ועדת מלץ, בהתאם לעקרונות המדיניות ביחס למערכת ההשכלה הגבוהה ולצרכיה. </w:t>
      </w:r>
    </w:p>
    <w:p w14:paraId="1F0CD020" w14:textId="1863F99B" w:rsidR="007F5B27" w:rsidRDefault="007F5B27" w:rsidP="002B0119">
      <w:pPr>
        <w:pStyle w:val="Hesber"/>
        <w:rPr>
          <w:rtl/>
        </w:rPr>
      </w:pPr>
      <w:r>
        <w:rPr>
          <w:rFonts w:hint="cs"/>
          <w:rtl/>
        </w:rPr>
        <w:t>לפיכך, מוצע לתקן את חוק המועצה להשכלה גבוהה,</w:t>
      </w:r>
      <w:r w:rsidR="002B0119">
        <w:rPr>
          <w:rFonts w:hint="cs"/>
          <w:rtl/>
        </w:rPr>
        <w:t xml:space="preserve"> </w:t>
      </w:r>
      <w:proofErr w:type="spellStart"/>
      <w:r w:rsidR="002B0119">
        <w:rPr>
          <w:rFonts w:hint="cs"/>
          <w:rtl/>
        </w:rPr>
        <w:t>התשי"ח</w:t>
      </w:r>
      <w:proofErr w:type="spellEnd"/>
      <w:r w:rsidR="002B0119">
        <w:rPr>
          <w:rFonts w:hint="eastAsia"/>
          <w:rtl/>
        </w:rPr>
        <w:t>–</w:t>
      </w:r>
      <w:r w:rsidR="002B0119">
        <w:rPr>
          <w:rFonts w:hint="cs"/>
          <w:rtl/>
        </w:rPr>
        <w:t>1958,</w:t>
      </w:r>
      <w:r>
        <w:rPr>
          <w:rFonts w:hint="cs"/>
          <w:rtl/>
        </w:rPr>
        <w:t xml:space="preserve"> ולקבוע כי המועצה להשכלה גבוהה, לפי הצעת ות"ת, ולאחר התייעצות עם המוסדות להשכלה גבוהה שהמדינה משתתפת בתקציבם, תקבע כללים בדבר גביית שכר הלימוד מסטודנטים בינלאומיים ובדבר עדכונו.</w:t>
      </w:r>
    </w:p>
    <w:p w14:paraId="11013FD2" w14:textId="11C29BB9" w:rsidR="00934869" w:rsidRDefault="00934869" w:rsidP="007F5B27">
      <w:pPr>
        <w:pStyle w:val="HeadHatzaotHok"/>
        <w:rPr>
          <w:rtl/>
        </w:rPr>
      </w:pPr>
    </w:p>
    <w:p w14:paraId="552643DC" w14:textId="77777777" w:rsidR="002B0119" w:rsidRPr="00D73212" w:rsidRDefault="002B0119" w:rsidP="002B0119">
      <w:pPr>
        <w:pStyle w:val="Hesber"/>
        <w:rPr>
          <w:color w:val="auto"/>
          <w:rtl/>
          <w:lang w:eastAsia="en-US"/>
        </w:rPr>
      </w:pPr>
      <w:r w:rsidRPr="00D73212">
        <w:rPr>
          <w:color w:val="auto"/>
          <w:rtl/>
          <w:lang w:eastAsia="en-US"/>
        </w:rPr>
        <w:t>---------------------------------</w:t>
      </w:r>
    </w:p>
    <w:p w14:paraId="38063BDE" w14:textId="77777777" w:rsidR="002B0119" w:rsidRPr="00D73212" w:rsidRDefault="002B0119" w:rsidP="002B011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2339188" w14:textId="77777777" w:rsidR="002B0119" w:rsidRPr="00D73212" w:rsidRDefault="002B0119" w:rsidP="002B011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F62FF19" w14:textId="77777777" w:rsidR="002B0119" w:rsidRPr="00317312" w:rsidRDefault="002B0119" w:rsidP="002B0119">
      <w:pPr>
        <w:pStyle w:val="Hesber"/>
      </w:pPr>
      <w:r>
        <w:rPr>
          <w:rFonts w:hint="cs"/>
          <w:color w:val="auto"/>
          <w:rtl/>
          <w:lang w:eastAsia="en-US"/>
        </w:rPr>
        <w:t>י"ח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12.6</w:t>
      </w:r>
      <w:r w:rsidRPr="00D73212">
        <w:rPr>
          <w:color w:val="auto"/>
          <w:rtl/>
          <w:lang w:eastAsia="en-US"/>
        </w:rPr>
        <w:t>.</w:t>
      </w:r>
      <w:r>
        <w:rPr>
          <w:rFonts w:hint="cs"/>
          <w:color w:val="auto"/>
          <w:rtl/>
          <w:lang w:eastAsia="en-US"/>
        </w:rPr>
        <w:t>17</w:t>
      </w:r>
    </w:p>
    <w:p w14:paraId="4E6B61BC" w14:textId="77777777" w:rsidR="002B0119" w:rsidRDefault="002B0119" w:rsidP="007F5B27">
      <w:pPr>
        <w:pStyle w:val="HeadHatzaotHok"/>
        <w:rPr>
          <w:rtl/>
        </w:rPr>
      </w:pPr>
    </w:p>
    <w:sectPr w:rsidR="002B011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2E562" w14:textId="77777777" w:rsidR="000017CA" w:rsidRDefault="000017CA">
      <w:r>
        <w:separator/>
      </w:r>
    </w:p>
  </w:endnote>
  <w:endnote w:type="continuationSeparator" w:id="0">
    <w:p w14:paraId="2D2AFBB4" w14:textId="77777777" w:rsidR="000017CA" w:rsidRDefault="000017CA">
      <w:r>
        <w:continuationSeparator/>
      </w:r>
    </w:p>
  </w:endnote>
  <w:endnote w:type="continuationNotice" w:id="1">
    <w:p w14:paraId="5829EBE6" w14:textId="77777777" w:rsidR="000017CA" w:rsidRDefault="000017C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21FCC">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DA427F" w14:textId="77777777" w:rsidR="000017CA" w:rsidRDefault="000017CA">
      <w:r>
        <w:separator/>
      </w:r>
    </w:p>
  </w:footnote>
  <w:footnote w:type="continuationSeparator" w:id="0">
    <w:p w14:paraId="1E3C8EE7" w14:textId="77777777" w:rsidR="000017CA" w:rsidRDefault="000017CA">
      <w:r>
        <w:continuationSeparator/>
      </w:r>
    </w:p>
  </w:footnote>
  <w:footnote w:type="continuationNotice" w:id="1">
    <w:p w14:paraId="682F22C8" w14:textId="77777777" w:rsidR="000017CA" w:rsidRDefault="000017CA"/>
  </w:footnote>
  <w:footnote w:id="2">
    <w:p w14:paraId="49990DD4" w14:textId="77777777" w:rsidR="007F5B27" w:rsidRDefault="007F5B27" w:rsidP="007F5B27">
      <w:pPr>
        <w:pStyle w:val="a4"/>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17CA"/>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0119"/>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55FA6"/>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F5B27"/>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4869"/>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21FCC"/>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96178D7C-F23D-4FFD-9968-7C293FDB4072}"/>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16EA31-7019-4278-B4BA-C9C9D4614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2208</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2017-06-08T08:07:00Z</cp:lastPrinted>
  <dcterms:created xsi:type="dcterms:W3CDTF">2017-07-11T11:12:00Z</dcterms:created>
  <dcterms:modified xsi:type="dcterms:W3CDTF">2017-07-11T11:12:00Z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2019900</vt:r8>
  </property>
</Properties>
</file>