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32FE" w:rsidRPr="00FA3503" w:rsidRDefault="00ED1135" w:rsidP="00ED1135">
      <w:pPr>
        <w:spacing w:after="0" w:line="240" w:lineRule="auto"/>
        <w:jc w:val="center"/>
        <w:rPr>
          <w:rFonts w:ascii="Times New Roman" w:hAnsi="Times New Roman" w:cs="David"/>
          <w:b/>
          <w:bCs/>
          <w:sz w:val="24"/>
          <w:szCs w:val="24"/>
          <w:rtl/>
        </w:rPr>
      </w:pPr>
      <w:bookmarkStart w:id="0" w:name="_GoBack"/>
      <w:bookmarkEnd w:id="0"/>
      <w:r>
        <w:rPr>
          <w:rFonts w:ascii="Times New Roman" w:hAnsi="Times New Roman" w:cs="David"/>
          <w:b/>
          <w:bCs/>
          <w:noProof/>
          <w:sz w:val="24"/>
          <w:szCs w:val="24"/>
        </w:rPr>
        <w:drawing>
          <wp:inline distT="0" distB="0" distL="0" distR="0">
            <wp:extent cx="1094692" cy="1094692"/>
            <wp:effectExtent l="0" t="0" r="0" b="0"/>
            <wp:docPr id="1" name="Picture 1" descr="C:\Users\dannyg\Desktop\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nnyg\Desktop\60.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04317" cy="1104317"/>
                    </a:xfrm>
                    <a:prstGeom prst="rect">
                      <a:avLst/>
                    </a:prstGeom>
                    <a:noFill/>
                    <a:ln>
                      <a:noFill/>
                    </a:ln>
                  </pic:spPr>
                </pic:pic>
              </a:graphicData>
            </a:graphic>
          </wp:inline>
        </w:drawing>
      </w:r>
    </w:p>
    <w:p w:rsidR="00ED1135" w:rsidRDefault="00ED1135" w:rsidP="00AD42AE">
      <w:pPr>
        <w:spacing w:after="0" w:line="360" w:lineRule="auto"/>
        <w:jc w:val="center"/>
        <w:rPr>
          <w:b/>
          <w:bCs/>
          <w:sz w:val="36"/>
          <w:szCs w:val="36"/>
          <w:u w:val="single"/>
          <w:rtl/>
        </w:rPr>
      </w:pPr>
    </w:p>
    <w:p w:rsidR="008732FE" w:rsidRDefault="00D11F07" w:rsidP="00AD42AE">
      <w:pPr>
        <w:spacing w:after="0" w:line="360" w:lineRule="auto"/>
        <w:jc w:val="center"/>
        <w:rPr>
          <w:b/>
          <w:bCs/>
          <w:sz w:val="36"/>
          <w:szCs w:val="36"/>
          <w:u w:val="single"/>
          <w:rtl/>
        </w:rPr>
      </w:pPr>
      <w:r>
        <w:rPr>
          <w:rFonts w:hint="cs"/>
          <w:b/>
          <w:bCs/>
          <w:sz w:val="36"/>
          <w:szCs w:val="36"/>
          <w:u w:val="single"/>
          <w:rtl/>
        </w:rPr>
        <w:t xml:space="preserve">נייר עמדה </w:t>
      </w:r>
      <w:r w:rsidR="008732FE">
        <w:rPr>
          <w:rFonts w:hint="cs"/>
          <w:b/>
          <w:bCs/>
          <w:sz w:val="36"/>
          <w:szCs w:val="36"/>
          <w:u w:val="single"/>
          <w:rtl/>
        </w:rPr>
        <w:t xml:space="preserve">לדיון ביום הדיור ב-18.7.2017 </w:t>
      </w:r>
    </w:p>
    <w:p w:rsidR="00462859" w:rsidRPr="00AD42AE" w:rsidRDefault="008732FE" w:rsidP="00AD42AE">
      <w:pPr>
        <w:spacing w:after="0" w:line="360" w:lineRule="auto"/>
        <w:jc w:val="center"/>
        <w:rPr>
          <w:b/>
          <w:bCs/>
          <w:sz w:val="36"/>
          <w:szCs w:val="36"/>
          <w:u w:val="single"/>
          <w:rtl/>
        </w:rPr>
      </w:pPr>
      <w:r>
        <w:rPr>
          <w:rFonts w:hint="cs"/>
          <w:b/>
          <w:bCs/>
          <w:sz w:val="36"/>
          <w:szCs w:val="36"/>
          <w:u w:val="single"/>
          <w:rtl/>
        </w:rPr>
        <w:t>בנושא:</w:t>
      </w:r>
      <w:r w:rsidR="0093100F">
        <w:rPr>
          <w:rFonts w:hint="cs"/>
          <w:b/>
          <w:bCs/>
          <w:sz w:val="36"/>
          <w:szCs w:val="36"/>
          <w:u w:val="single"/>
          <w:rtl/>
        </w:rPr>
        <w:t xml:space="preserve"> </w:t>
      </w:r>
      <w:r w:rsidR="00462859" w:rsidRPr="00AD42AE">
        <w:rPr>
          <w:rFonts w:hint="cs"/>
          <w:b/>
          <w:bCs/>
          <w:sz w:val="36"/>
          <w:szCs w:val="36"/>
          <w:u w:val="single"/>
          <w:rtl/>
        </w:rPr>
        <w:t xml:space="preserve">הפינויים מהדיור הציבורי </w:t>
      </w:r>
      <w:r w:rsidR="00C815B1" w:rsidRPr="00AD42AE">
        <w:rPr>
          <w:rFonts w:hint="cs"/>
          <w:b/>
          <w:bCs/>
          <w:sz w:val="36"/>
          <w:szCs w:val="36"/>
          <w:u w:val="single"/>
          <w:rtl/>
        </w:rPr>
        <w:t>נובעים מ</w:t>
      </w:r>
      <w:r w:rsidR="00462859" w:rsidRPr="00AD42AE">
        <w:rPr>
          <w:rFonts w:hint="cs"/>
          <w:b/>
          <w:bCs/>
          <w:sz w:val="36"/>
          <w:szCs w:val="36"/>
          <w:u w:val="single"/>
          <w:rtl/>
        </w:rPr>
        <w:t>מצוקת מלאי הדיור הציבורי  ויש לבטלם</w:t>
      </w:r>
    </w:p>
    <w:p w:rsidR="00AD42AE" w:rsidRPr="00AD42AE" w:rsidRDefault="00AD42AE" w:rsidP="00AD42AE">
      <w:pPr>
        <w:spacing w:after="0" w:line="360" w:lineRule="auto"/>
        <w:jc w:val="center"/>
        <w:rPr>
          <w:b/>
          <w:bCs/>
          <w:sz w:val="24"/>
          <w:szCs w:val="24"/>
          <w:u w:val="single"/>
          <w:rtl/>
        </w:rPr>
      </w:pPr>
    </w:p>
    <w:p w:rsidR="00462859" w:rsidRPr="00DE632F" w:rsidRDefault="00462859" w:rsidP="00AD42AE">
      <w:pPr>
        <w:spacing w:after="0" w:line="360" w:lineRule="auto"/>
        <w:jc w:val="both"/>
        <w:rPr>
          <w:sz w:val="24"/>
          <w:szCs w:val="24"/>
          <w:u w:val="single"/>
          <w:rtl/>
        </w:rPr>
      </w:pPr>
      <w:r w:rsidRPr="00DE632F">
        <w:rPr>
          <w:rFonts w:hint="cs"/>
          <w:sz w:val="24"/>
          <w:szCs w:val="24"/>
          <w:u w:val="single"/>
          <w:rtl/>
        </w:rPr>
        <w:t xml:space="preserve">"סוגיית הפינויים מהדיור הציבורי היא במהותה תחרות על המשאב המצומצם" </w:t>
      </w:r>
      <w:r w:rsidRPr="00DE632F">
        <w:rPr>
          <w:sz w:val="24"/>
          <w:szCs w:val="24"/>
          <w:u w:val="single"/>
          <w:rtl/>
        </w:rPr>
        <w:t>–</w:t>
      </w:r>
      <w:r w:rsidRPr="00DE632F">
        <w:rPr>
          <w:rFonts w:hint="cs"/>
          <w:sz w:val="24"/>
          <w:szCs w:val="24"/>
          <w:u w:val="single"/>
          <w:rtl/>
        </w:rPr>
        <w:t xml:space="preserve"> כך </w:t>
      </w:r>
      <w:r w:rsidR="00DE632F" w:rsidRPr="00DE632F">
        <w:rPr>
          <w:rFonts w:hint="cs"/>
          <w:sz w:val="24"/>
          <w:szCs w:val="24"/>
          <w:u w:val="single"/>
          <w:rtl/>
        </w:rPr>
        <w:t xml:space="preserve">נכתב </w:t>
      </w:r>
      <w:r w:rsidRPr="00DE632F">
        <w:rPr>
          <w:rFonts w:hint="cs"/>
          <w:sz w:val="24"/>
          <w:szCs w:val="24"/>
          <w:u w:val="single"/>
          <w:rtl/>
        </w:rPr>
        <w:t xml:space="preserve">במבוא למסקנות ועדת משרד השיכון לבחינת שאלת הפינויים.  </w:t>
      </w:r>
    </w:p>
    <w:p w:rsidR="007C226E" w:rsidRDefault="007C226E" w:rsidP="007C226E">
      <w:pPr>
        <w:spacing w:after="0" w:line="360" w:lineRule="auto"/>
        <w:jc w:val="both"/>
        <w:rPr>
          <w:b/>
          <w:bCs/>
          <w:sz w:val="24"/>
          <w:szCs w:val="24"/>
          <w:rtl/>
        </w:rPr>
      </w:pPr>
    </w:p>
    <w:p w:rsidR="006834D5" w:rsidRPr="007C226E" w:rsidRDefault="00462859" w:rsidP="00D11F07">
      <w:pPr>
        <w:spacing w:after="0" w:line="360" w:lineRule="auto"/>
        <w:jc w:val="both"/>
        <w:rPr>
          <w:b/>
          <w:bCs/>
          <w:sz w:val="24"/>
          <w:szCs w:val="24"/>
          <w:rtl/>
        </w:rPr>
      </w:pPr>
      <w:r w:rsidRPr="007C226E">
        <w:rPr>
          <w:rFonts w:hint="cs"/>
          <w:b/>
          <w:bCs/>
          <w:sz w:val="24"/>
          <w:szCs w:val="24"/>
          <w:rtl/>
        </w:rPr>
        <w:t xml:space="preserve">כפי שמציגה הגב' </w:t>
      </w:r>
      <w:proofErr w:type="spellStart"/>
      <w:r w:rsidRPr="007C226E">
        <w:rPr>
          <w:rFonts w:hint="cs"/>
          <w:b/>
          <w:bCs/>
          <w:sz w:val="24"/>
          <w:szCs w:val="24"/>
          <w:rtl/>
        </w:rPr>
        <w:t>ברביבאי</w:t>
      </w:r>
      <w:proofErr w:type="spellEnd"/>
      <w:r w:rsidRPr="007C226E">
        <w:rPr>
          <w:rFonts w:hint="cs"/>
          <w:b/>
          <w:bCs/>
          <w:sz w:val="24"/>
          <w:szCs w:val="24"/>
          <w:rtl/>
        </w:rPr>
        <w:t xml:space="preserve">, יו"ר הועדה: </w:t>
      </w:r>
      <w:r w:rsidR="006834D5" w:rsidRPr="007C226E">
        <w:rPr>
          <w:rFonts w:hint="cs"/>
          <w:b/>
          <w:bCs/>
          <w:sz w:val="24"/>
          <w:szCs w:val="24"/>
          <w:rtl/>
        </w:rPr>
        <w:t>"הפינויים הם למעשה סימפטום בקצה תהליך, המבטאים בע</w:t>
      </w:r>
      <w:r w:rsidR="007C226E" w:rsidRPr="007C226E">
        <w:rPr>
          <w:rFonts w:hint="cs"/>
          <w:b/>
          <w:bCs/>
          <w:sz w:val="24"/>
          <w:szCs w:val="24"/>
          <w:rtl/>
        </w:rPr>
        <w:t xml:space="preserve">יה רחבה המתחילה הרבה יותר מוקדם... </w:t>
      </w:r>
      <w:r w:rsidR="006834D5" w:rsidRPr="007C226E">
        <w:rPr>
          <w:rFonts w:hint="cs"/>
          <w:b/>
          <w:bCs/>
          <w:sz w:val="24"/>
          <w:szCs w:val="24"/>
          <w:rtl/>
        </w:rPr>
        <w:t>במצב עניינים זה, ההתעקשות על הפינויים ככלי לגיטימי נראית לא נכונה ואני סבורה, כי יש לבטל הפינויים ולהשאירם ככלי חריג ביותר, רק כלפי אוכלוסיה מצומצמת אשר יבחנו וימצאו כמי שאינם זקוקים לדיור ציבורי"</w:t>
      </w:r>
    </w:p>
    <w:p w:rsidR="007C226E" w:rsidRDefault="007C226E" w:rsidP="00AD42AE">
      <w:pPr>
        <w:spacing w:after="0" w:line="360" w:lineRule="auto"/>
        <w:jc w:val="both"/>
        <w:rPr>
          <w:sz w:val="24"/>
          <w:szCs w:val="24"/>
          <w:rtl/>
        </w:rPr>
      </w:pPr>
    </w:p>
    <w:p w:rsidR="007C226E" w:rsidRDefault="006834D5" w:rsidP="00AD42AE">
      <w:pPr>
        <w:spacing w:after="0" w:line="360" w:lineRule="auto"/>
        <w:jc w:val="both"/>
        <w:rPr>
          <w:sz w:val="24"/>
          <w:szCs w:val="24"/>
          <w:rtl/>
        </w:rPr>
      </w:pPr>
      <w:r w:rsidRPr="007C226E">
        <w:rPr>
          <w:rFonts w:hint="cs"/>
          <w:sz w:val="24"/>
          <w:szCs w:val="24"/>
          <w:rtl/>
        </w:rPr>
        <w:t xml:space="preserve">מסקנותיה של ועדה זו (ראו נספח 1) </w:t>
      </w:r>
      <w:r w:rsidR="00AD1807" w:rsidRPr="007C226E">
        <w:rPr>
          <w:rFonts w:hint="cs"/>
          <w:sz w:val="24"/>
          <w:szCs w:val="24"/>
          <w:rtl/>
        </w:rPr>
        <w:t>תואמות את הדברים, ש</w:t>
      </w:r>
      <w:r w:rsidRPr="007C226E">
        <w:rPr>
          <w:rFonts w:hint="cs"/>
          <w:sz w:val="24"/>
          <w:szCs w:val="24"/>
          <w:rtl/>
        </w:rPr>
        <w:t xml:space="preserve">ארגוני המאבק ופורום הדיור הציבורי זועקים כבר שנים. </w:t>
      </w:r>
      <w:r w:rsidR="00462859" w:rsidRPr="007C226E">
        <w:rPr>
          <w:rFonts w:hint="cs"/>
          <w:sz w:val="24"/>
          <w:szCs w:val="24"/>
          <w:rtl/>
        </w:rPr>
        <w:t>"בני משפחה המפונים מדירת מגורים ללא כל דיור חלופי, עומדים בפני סכנה ממשית של מצוקה קיומית קשה, הזנחה רפואית ופגיעה גופנית, פיטורין ממקום העבודה, פגיעה בשלומם ובחינוכם של הילדים, בחיי המשפחה ובפרטיות."</w:t>
      </w:r>
      <w:r w:rsidR="008C214D" w:rsidRPr="007C226E">
        <w:rPr>
          <w:rFonts w:hint="cs"/>
          <w:sz w:val="24"/>
          <w:szCs w:val="24"/>
          <w:rtl/>
        </w:rPr>
        <w:t xml:space="preserve"> (ראו מבוא לגיוני הועדה) </w:t>
      </w:r>
      <w:r w:rsidR="00462859" w:rsidRPr="007C226E">
        <w:rPr>
          <w:rFonts w:hint="cs"/>
          <w:sz w:val="24"/>
          <w:szCs w:val="24"/>
          <w:rtl/>
        </w:rPr>
        <w:t xml:space="preserve"> </w:t>
      </w:r>
      <w:r w:rsidR="009F59F6" w:rsidRPr="007C226E">
        <w:rPr>
          <w:rFonts w:hint="cs"/>
          <w:sz w:val="24"/>
          <w:szCs w:val="24"/>
          <w:rtl/>
        </w:rPr>
        <w:t>וכ</w:t>
      </w:r>
      <w:r w:rsidR="008C214D" w:rsidRPr="007C226E">
        <w:rPr>
          <w:rFonts w:hint="cs"/>
          <w:sz w:val="24"/>
          <w:szCs w:val="24"/>
          <w:rtl/>
        </w:rPr>
        <w:t>ל</w:t>
      </w:r>
      <w:r w:rsidR="009F59F6" w:rsidRPr="007C226E">
        <w:rPr>
          <w:rFonts w:hint="cs"/>
          <w:sz w:val="24"/>
          <w:szCs w:val="24"/>
          <w:rtl/>
        </w:rPr>
        <w:t xml:space="preserve"> אלה נובעים אך ורק מהמחסור במלאי הדירות. </w:t>
      </w:r>
    </w:p>
    <w:p w:rsidR="007C226E" w:rsidRDefault="007C226E" w:rsidP="00AD42AE">
      <w:pPr>
        <w:spacing w:after="0" w:line="360" w:lineRule="auto"/>
        <w:jc w:val="both"/>
        <w:rPr>
          <w:sz w:val="24"/>
          <w:szCs w:val="24"/>
          <w:rtl/>
        </w:rPr>
      </w:pPr>
    </w:p>
    <w:p w:rsidR="00AD1807" w:rsidRPr="007C226E" w:rsidRDefault="009F59F6" w:rsidP="007C226E">
      <w:pPr>
        <w:spacing w:after="0" w:line="360" w:lineRule="auto"/>
        <w:jc w:val="both"/>
        <w:rPr>
          <w:b/>
          <w:bCs/>
          <w:sz w:val="24"/>
          <w:szCs w:val="24"/>
          <w:rtl/>
        </w:rPr>
      </w:pPr>
      <w:r w:rsidRPr="007C226E">
        <w:rPr>
          <w:rFonts w:hint="cs"/>
          <w:b/>
          <w:bCs/>
          <w:sz w:val="24"/>
          <w:szCs w:val="24"/>
          <w:rtl/>
        </w:rPr>
        <w:t>מן הראוי כי לא הדיירים המוכשלים אם שישלמו, המחיר כה כבד את כ</w:t>
      </w:r>
      <w:r w:rsidR="00AD42AE" w:rsidRPr="007C226E">
        <w:rPr>
          <w:rFonts w:hint="cs"/>
          <w:b/>
          <w:bCs/>
          <w:sz w:val="24"/>
          <w:szCs w:val="24"/>
          <w:rtl/>
        </w:rPr>
        <w:t>י</w:t>
      </w:r>
      <w:r w:rsidRPr="007C226E">
        <w:rPr>
          <w:rFonts w:hint="cs"/>
          <w:b/>
          <w:bCs/>
          <w:sz w:val="24"/>
          <w:szCs w:val="24"/>
          <w:rtl/>
        </w:rPr>
        <w:t xml:space="preserve">שלונה של המדינה לעמוד באחריותה. את חרב הפינויים </w:t>
      </w:r>
      <w:r w:rsidR="008C214D" w:rsidRPr="007C226E">
        <w:rPr>
          <w:rFonts w:hint="cs"/>
          <w:b/>
          <w:bCs/>
          <w:sz w:val="24"/>
          <w:szCs w:val="24"/>
          <w:rtl/>
        </w:rPr>
        <w:t xml:space="preserve">יש לבטל ולעגן את מסקנות הועדה בחקיקה כך שלא יעמדו יורת המוכשלים תחת איום מתמיד של חרב זו. </w:t>
      </w:r>
    </w:p>
    <w:p w:rsidR="007C226E" w:rsidRDefault="007C226E" w:rsidP="007C226E">
      <w:pPr>
        <w:pStyle w:val="ListParagraph"/>
        <w:spacing w:after="0" w:line="360" w:lineRule="auto"/>
        <w:ind w:left="0"/>
        <w:jc w:val="both"/>
        <w:rPr>
          <w:b/>
          <w:bCs/>
          <w:sz w:val="24"/>
          <w:szCs w:val="24"/>
          <w:u w:val="single"/>
          <w:rtl/>
        </w:rPr>
      </w:pPr>
    </w:p>
    <w:p w:rsidR="00AD1807" w:rsidRPr="007C226E" w:rsidRDefault="00AD1807" w:rsidP="007C226E">
      <w:pPr>
        <w:pStyle w:val="ListParagraph"/>
        <w:spacing w:after="0" w:line="360" w:lineRule="auto"/>
        <w:ind w:left="0"/>
        <w:jc w:val="both"/>
        <w:rPr>
          <w:sz w:val="28"/>
          <w:szCs w:val="28"/>
          <w:rtl/>
        </w:rPr>
      </w:pPr>
      <w:r w:rsidRPr="007C226E">
        <w:rPr>
          <w:rFonts w:hint="cs"/>
          <w:b/>
          <w:bCs/>
          <w:sz w:val="28"/>
          <w:szCs w:val="28"/>
          <w:u w:val="single"/>
          <w:rtl/>
        </w:rPr>
        <w:t>פינוי בעקבות חוב</w:t>
      </w:r>
      <w:r w:rsidR="00626CC6" w:rsidRPr="007C226E">
        <w:rPr>
          <w:rFonts w:hint="cs"/>
          <w:b/>
          <w:bCs/>
          <w:sz w:val="28"/>
          <w:szCs w:val="28"/>
          <w:u w:val="single"/>
          <w:rtl/>
        </w:rPr>
        <w:t>:</w:t>
      </w:r>
    </w:p>
    <w:p w:rsidR="00AD1807" w:rsidRPr="007C226E" w:rsidRDefault="00AD1807" w:rsidP="00AD42AE">
      <w:pPr>
        <w:spacing w:after="0" w:line="360" w:lineRule="auto"/>
        <w:jc w:val="both"/>
        <w:rPr>
          <w:sz w:val="24"/>
          <w:szCs w:val="24"/>
          <w:rtl/>
        </w:rPr>
      </w:pPr>
      <w:r w:rsidRPr="007C226E">
        <w:rPr>
          <w:rFonts w:hint="cs"/>
          <w:sz w:val="24"/>
          <w:szCs w:val="24"/>
          <w:rtl/>
        </w:rPr>
        <w:lastRenderedPageBreak/>
        <w:t xml:space="preserve">א. שאלת החובות צצה ועולה שוב ושוב. במקרים רבים מועלות טענות חמורות של דיירים על </w:t>
      </w:r>
      <w:r w:rsidRPr="007C226E">
        <w:rPr>
          <w:rFonts w:hint="cs"/>
          <w:sz w:val="24"/>
          <w:szCs w:val="24"/>
          <w:u w:val="single"/>
          <w:rtl/>
        </w:rPr>
        <w:t>ניפוח חובות</w:t>
      </w:r>
      <w:r w:rsidRPr="007C226E">
        <w:rPr>
          <w:rFonts w:hint="cs"/>
          <w:sz w:val="24"/>
          <w:szCs w:val="24"/>
          <w:rtl/>
        </w:rPr>
        <w:t xml:space="preserve">, ואכן </w:t>
      </w:r>
      <w:r w:rsidRPr="007C226E">
        <w:rPr>
          <w:rFonts w:hint="cs"/>
          <w:sz w:val="24"/>
          <w:szCs w:val="24"/>
          <w:u w:val="single"/>
          <w:rtl/>
        </w:rPr>
        <w:t xml:space="preserve">לעתים קרובות מתקשות החברות המשכנות להציג תיעוד מפורט של השתלשלות החוב. </w:t>
      </w:r>
    </w:p>
    <w:p w:rsidR="00AD1807" w:rsidRPr="007C226E" w:rsidRDefault="00AD1807" w:rsidP="00AD42AE">
      <w:pPr>
        <w:spacing w:after="0" w:line="360" w:lineRule="auto"/>
        <w:jc w:val="both"/>
        <w:rPr>
          <w:sz w:val="24"/>
          <w:szCs w:val="24"/>
          <w:rtl/>
        </w:rPr>
      </w:pPr>
      <w:r w:rsidRPr="007C226E">
        <w:rPr>
          <w:rFonts w:hint="cs"/>
          <w:sz w:val="24"/>
          <w:szCs w:val="24"/>
          <w:rtl/>
        </w:rPr>
        <w:t xml:space="preserve">ב. לעתים מצטבר חוב בגלל אי יכולת הדייר/ת לשלם את שכר הדירה, כשבמקביל הועלו טענות רבות על אי העברת בקשות להנחה מהחברות המשכנות אל משרד השיכון. כלומר </w:t>
      </w:r>
      <w:r w:rsidRPr="007C226E">
        <w:rPr>
          <w:rFonts w:hint="cs"/>
          <w:sz w:val="24"/>
          <w:szCs w:val="24"/>
          <w:u w:val="single"/>
          <w:rtl/>
        </w:rPr>
        <w:t>הדייר/ת ראוי להנחה בתשלום אך בגלל כשל מערכתי בחברה הנחה זו אינה ניתנת, הוא אינו יכול לשלם את שכר הדירה ונצבר חוב. הדייר נתבע לשלם את מחיר הכשל של החברה המשכנת דבר שאינו עולה על הדעת.</w:t>
      </w:r>
    </w:p>
    <w:p w:rsidR="007C226E" w:rsidRDefault="00AD1807" w:rsidP="007C226E">
      <w:pPr>
        <w:spacing w:after="0" w:line="360" w:lineRule="auto"/>
        <w:jc w:val="both"/>
        <w:rPr>
          <w:sz w:val="24"/>
          <w:szCs w:val="24"/>
          <w:rtl/>
        </w:rPr>
      </w:pPr>
      <w:r w:rsidRPr="007C226E">
        <w:rPr>
          <w:rFonts w:hint="cs"/>
          <w:sz w:val="24"/>
          <w:szCs w:val="24"/>
          <w:rtl/>
        </w:rPr>
        <w:t>ג. משרד השיכון הכריז כבר מספר פעמים בחמש השנים האחרונות, כי מדינ</w:t>
      </w:r>
      <w:r w:rsidR="009F59F6" w:rsidRPr="007C226E">
        <w:rPr>
          <w:rFonts w:hint="cs"/>
          <w:sz w:val="24"/>
          <w:szCs w:val="24"/>
          <w:rtl/>
        </w:rPr>
        <w:t>יותו כי הסדרת החוב כך שהדייר יש</w:t>
      </w:r>
      <w:r w:rsidRPr="007C226E">
        <w:rPr>
          <w:rFonts w:hint="cs"/>
          <w:sz w:val="24"/>
          <w:szCs w:val="24"/>
          <w:rtl/>
        </w:rPr>
        <w:t>לם כל חו</w:t>
      </w:r>
      <w:r w:rsidR="009F59F6" w:rsidRPr="007C226E">
        <w:rPr>
          <w:rFonts w:hint="cs"/>
          <w:sz w:val="24"/>
          <w:szCs w:val="24"/>
          <w:rtl/>
        </w:rPr>
        <w:t>ב, בנושף</w:t>
      </w:r>
      <w:r w:rsidRPr="007C226E">
        <w:rPr>
          <w:rFonts w:hint="cs"/>
          <w:sz w:val="24"/>
          <w:szCs w:val="24"/>
          <w:rtl/>
        </w:rPr>
        <w:t xml:space="preserve"> לשכר הדירה, סכום העומד ביכולתו הכלכלית. למשל, לפי דובר משרד השיכון, 100 שקל נוספים לחודש. </w:t>
      </w:r>
      <w:r w:rsidRPr="007C226E">
        <w:rPr>
          <w:rFonts w:hint="cs"/>
          <w:sz w:val="24"/>
          <w:szCs w:val="24"/>
          <w:u w:val="single"/>
          <w:rtl/>
        </w:rPr>
        <w:t xml:space="preserve">לצערנו, בשטח פועלות החברות המשכנות בצורה אחרת, והחשש הוא כי יש להן אינטרס בהוצאת הדייר מביתו כדי לקבל עוד דירה ריקה לרשותן. </w:t>
      </w:r>
    </w:p>
    <w:p w:rsidR="007C226E" w:rsidRDefault="007C226E" w:rsidP="007C226E">
      <w:pPr>
        <w:spacing w:after="0" w:line="360" w:lineRule="auto"/>
        <w:jc w:val="both"/>
        <w:rPr>
          <w:sz w:val="24"/>
          <w:szCs w:val="24"/>
          <w:rtl/>
        </w:rPr>
      </w:pPr>
    </w:p>
    <w:p w:rsidR="00626CC6" w:rsidRPr="007C226E" w:rsidRDefault="00626CC6" w:rsidP="007C226E">
      <w:pPr>
        <w:spacing w:after="0" w:line="360" w:lineRule="auto"/>
        <w:jc w:val="both"/>
        <w:rPr>
          <w:sz w:val="24"/>
          <w:szCs w:val="24"/>
          <w:rtl/>
        </w:rPr>
      </w:pPr>
      <w:r w:rsidRPr="007C226E">
        <w:rPr>
          <w:rFonts w:hint="cs"/>
          <w:sz w:val="24"/>
          <w:szCs w:val="24"/>
          <w:rtl/>
        </w:rPr>
        <w:t xml:space="preserve">בנוסף - בחינת תמונת חובות הדיירים בדיווחי הועדה מעלה </w:t>
      </w:r>
      <w:r w:rsidRPr="007C226E">
        <w:rPr>
          <w:sz w:val="24"/>
          <w:szCs w:val="24"/>
          <w:rtl/>
        </w:rPr>
        <w:t>–</w:t>
      </w:r>
      <w:r w:rsidRPr="007C226E">
        <w:rPr>
          <w:rFonts w:hint="cs"/>
          <w:sz w:val="24"/>
          <w:szCs w:val="24"/>
          <w:rtl/>
        </w:rPr>
        <w:t xml:space="preserve"> כי רובם של החובות אינם עולים על כ-10.000 ₪. כמו כן, יש פער עצום בין מספר הדיירים הנתבעים עקב חוב כשרובם של הדיירים הנתבעים הם דיירי חברת עמידר. דבר זה מעלה ספקות כבדים לגבי כשרות חובות אלה ולגבי כשרות התנהלות חברת עמידר ביצירתם. </w:t>
      </w:r>
    </w:p>
    <w:p w:rsidR="007C226E" w:rsidRPr="007C226E" w:rsidRDefault="007C226E" w:rsidP="00AD42AE">
      <w:pPr>
        <w:spacing w:after="0" w:line="360" w:lineRule="auto"/>
        <w:jc w:val="both"/>
        <w:rPr>
          <w:sz w:val="24"/>
          <w:szCs w:val="24"/>
          <w:u w:val="single"/>
          <w:rtl/>
        </w:rPr>
      </w:pPr>
    </w:p>
    <w:p w:rsidR="00AD1807" w:rsidRPr="007C226E" w:rsidRDefault="00AD1807" w:rsidP="00DE632F">
      <w:pPr>
        <w:spacing w:after="0" w:line="360" w:lineRule="auto"/>
        <w:jc w:val="both"/>
        <w:rPr>
          <w:b/>
          <w:bCs/>
          <w:sz w:val="28"/>
          <w:szCs w:val="28"/>
          <w:rtl/>
        </w:rPr>
      </w:pPr>
      <w:r w:rsidRPr="007C226E">
        <w:rPr>
          <w:rFonts w:hint="cs"/>
          <w:b/>
          <w:bCs/>
          <w:sz w:val="28"/>
          <w:szCs w:val="28"/>
          <w:rtl/>
        </w:rPr>
        <w:t>לסיכום - בנושא החובות</w:t>
      </w:r>
      <w:r w:rsidR="007C226E">
        <w:rPr>
          <w:rFonts w:hint="cs"/>
          <w:b/>
          <w:bCs/>
          <w:sz w:val="28"/>
          <w:szCs w:val="28"/>
          <w:rtl/>
        </w:rPr>
        <w:t xml:space="preserve"> -</w:t>
      </w:r>
      <w:r w:rsidRPr="007C226E">
        <w:rPr>
          <w:rFonts w:hint="cs"/>
          <w:b/>
          <w:bCs/>
          <w:sz w:val="28"/>
          <w:szCs w:val="28"/>
          <w:rtl/>
        </w:rPr>
        <w:t xml:space="preserve"> הדרך ההוגנת חוקית ומוסרית היא </w:t>
      </w:r>
      <w:r w:rsidR="00A70DFE" w:rsidRPr="007C226E">
        <w:rPr>
          <w:rFonts w:hint="cs"/>
          <w:b/>
          <w:bCs/>
          <w:sz w:val="28"/>
          <w:szCs w:val="28"/>
          <w:rtl/>
        </w:rPr>
        <w:t xml:space="preserve">לבחון שוב את </w:t>
      </w:r>
      <w:r w:rsidR="007C226E" w:rsidRPr="007C226E">
        <w:rPr>
          <w:rFonts w:hint="cs"/>
          <w:b/>
          <w:bCs/>
          <w:sz w:val="28"/>
          <w:szCs w:val="28"/>
          <w:rtl/>
        </w:rPr>
        <w:t>השתלשלות</w:t>
      </w:r>
      <w:r w:rsidR="00A70DFE" w:rsidRPr="007C226E">
        <w:rPr>
          <w:rFonts w:hint="cs"/>
          <w:b/>
          <w:bCs/>
          <w:sz w:val="28"/>
          <w:szCs w:val="28"/>
          <w:rtl/>
        </w:rPr>
        <w:t xml:space="preserve"> יצירת החוב לגבי כל אחד מהדיירים ובכלל זה גם הטיפול בבקשות להנחה בגובה שכר הדירה ולעצור כל הליך עד לבדיקה מדוקדקת זו (ראה נספח </w:t>
      </w:r>
      <w:r w:rsidR="00DE632F">
        <w:rPr>
          <w:rFonts w:hint="cs"/>
          <w:b/>
          <w:bCs/>
          <w:sz w:val="28"/>
          <w:szCs w:val="28"/>
          <w:rtl/>
        </w:rPr>
        <w:t>1</w:t>
      </w:r>
      <w:r w:rsidR="00A70DFE" w:rsidRPr="007C226E">
        <w:rPr>
          <w:rFonts w:hint="cs"/>
          <w:b/>
          <w:bCs/>
          <w:sz w:val="28"/>
          <w:szCs w:val="28"/>
          <w:rtl/>
        </w:rPr>
        <w:t xml:space="preserve">). כמו כן יש </w:t>
      </w:r>
      <w:r w:rsidRPr="007C226E">
        <w:rPr>
          <w:rFonts w:hint="cs"/>
          <w:b/>
          <w:bCs/>
          <w:sz w:val="28"/>
          <w:szCs w:val="28"/>
          <w:rtl/>
        </w:rPr>
        <w:t xml:space="preserve">לאפשר הסדר חוב בו יכול הדייר לעמוד במצבו הכלכלי וללא כל דרישה לתשלום סכום חד פעמי שאינו יכול לעמוד בו. </w:t>
      </w:r>
    </w:p>
    <w:p w:rsidR="007C226E" w:rsidRPr="007C226E" w:rsidRDefault="007C226E" w:rsidP="00AD42AE">
      <w:pPr>
        <w:spacing w:after="0" w:line="360" w:lineRule="auto"/>
        <w:jc w:val="both"/>
        <w:rPr>
          <w:b/>
          <w:bCs/>
          <w:sz w:val="28"/>
          <w:szCs w:val="28"/>
          <w:rtl/>
        </w:rPr>
      </w:pPr>
    </w:p>
    <w:p w:rsidR="007C226E" w:rsidRPr="007C226E" w:rsidRDefault="007C226E" w:rsidP="00AD42AE">
      <w:pPr>
        <w:spacing w:after="0" w:line="360" w:lineRule="auto"/>
        <w:jc w:val="both"/>
        <w:rPr>
          <w:sz w:val="24"/>
          <w:szCs w:val="24"/>
          <w:rtl/>
        </w:rPr>
      </w:pPr>
    </w:p>
    <w:p w:rsidR="00AD1807" w:rsidRPr="007C226E" w:rsidRDefault="00AD1807" w:rsidP="00AD42AE">
      <w:pPr>
        <w:spacing w:after="0" w:line="360" w:lineRule="auto"/>
        <w:jc w:val="both"/>
        <w:rPr>
          <w:sz w:val="28"/>
          <w:szCs w:val="28"/>
          <w:u w:val="single"/>
          <w:rtl/>
        </w:rPr>
      </w:pPr>
      <w:r w:rsidRPr="007C226E">
        <w:rPr>
          <w:rFonts w:hint="cs"/>
          <w:b/>
          <w:bCs/>
          <w:sz w:val="28"/>
          <w:szCs w:val="28"/>
          <w:u w:val="single"/>
          <w:rtl/>
        </w:rPr>
        <w:t>פינוי בעקבות אי הכרה בזכות דייר ממשיך לסוגיה</w:t>
      </w:r>
      <w:r w:rsidR="007C226E">
        <w:rPr>
          <w:rFonts w:hint="cs"/>
          <w:sz w:val="28"/>
          <w:szCs w:val="28"/>
          <w:u w:val="single"/>
          <w:rtl/>
        </w:rPr>
        <w:t>:</w:t>
      </w:r>
    </w:p>
    <w:p w:rsidR="007C226E" w:rsidRDefault="00AD1807" w:rsidP="00AD42AE">
      <w:pPr>
        <w:spacing w:after="0" w:line="360" w:lineRule="auto"/>
        <w:jc w:val="both"/>
        <w:rPr>
          <w:sz w:val="24"/>
          <w:szCs w:val="24"/>
          <w:rtl/>
        </w:rPr>
      </w:pPr>
      <w:r w:rsidRPr="007C226E">
        <w:rPr>
          <w:rFonts w:hint="cs"/>
          <w:sz w:val="24"/>
          <w:szCs w:val="24"/>
          <w:rtl/>
        </w:rPr>
        <w:t xml:space="preserve">סיפור זה של דייר ממשיך </w:t>
      </w:r>
      <w:r w:rsidR="00A70DFE" w:rsidRPr="007C226E">
        <w:rPr>
          <w:rFonts w:hint="cs"/>
          <w:sz w:val="24"/>
          <w:szCs w:val="24"/>
          <w:rtl/>
        </w:rPr>
        <w:t xml:space="preserve">מביא </w:t>
      </w:r>
      <w:r w:rsidRPr="007C226E">
        <w:rPr>
          <w:rFonts w:hint="cs"/>
          <w:sz w:val="24"/>
          <w:szCs w:val="24"/>
          <w:rtl/>
        </w:rPr>
        <w:t>לזעם הציבור, כיוון שמשמעו לעתים קרובות השלכת א-</w:t>
      </w:r>
      <w:r w:rsidR="00A70DFE" w:rsidRPr="007C226E">
        <w:rPr>
          <w:rFonts w:hint="cs"/>
          <w:sz w:val="24"/>
          <w:szCs w:val="24"/>
          <w:rtl/>
        </w:rPr>
        <w:t xml:space="preserve">נשים </w:t>
      </w:r>
      <w:r w:rsidRPr="007C226E">
        <w:rPr>
          <w:rFonts w:hint="cs"/>
          <w:sz w:val="24"/>
          <w:szCs w:val="24"/>
          <w:rtl/>
        </w:rPr>
        <w:t xml:space="preserve">שהיה זה בית ילדותם </w:t>
      </w:r>
      <w:r w:rsidR="00A70DFE" w:rsidRPr="007C226E">
        <w:rPr>
          <w:rFonts w:hint="cs"/>
          <w:sz w:val="24"/>
          <w:szCs w:val="24"/>
          <w:rtl/>
        </w:rPr>
        <w:t>מסיבות של מחסור במלאי ותוך פגיעה בזכותם שלהם.</w:t>
      </w:r>
    </w:p>
    <w:p w:rsidR="00AD1807" w:rsidRPr="007C226E" w:rsidRDefault="00A70DFE" w:rsidP="00AD42AE">
      <w:pPr>
        <w:spacing w:after="0" w:line="360" w:lineRule="auto"/>
        <w:jc w:val="both"/>
        <w:rPr>
          <w:sz w:val="24"/>
          <w:szCs w:val="24"/>
          <w:rtl/>
        </w:rPr>
      </w:pPr>
      <w:r w:rsidRPr="007C226E">
        <w:rPr>
          <w:rFonts w:hint="cs"/>
          <w:sz w:val="24"/>
          <w:szCs w:val="24"/>
          <w:rtl/>
        </w:rPr>
        <w:t xml:space="preserve"> </w:t>
      </w:r>
      <w:r w:rsidR="00AD1807" w:rsidRPr="007C226E">
        <w:rPr>
          <w:rFonts w:hint="cs"/>
          <w:sz w:val="24"/>
          <w:szCs w:val="24"/>
          <w:rtl/>
        </w:rPr>
        <w:t xml:space="preserve"> </w:t>
      </w:r>
    </w:p>
    <w:p w:rsidR="00AD1807" w:rsidRDefault="00AD1807" w:rsidP="00AD42AE">
      <w:pPr>
        <w:spacing w:after="0" w:line="360" w:lineRule="auto"/>
        <w:jc w:val="both"/>
        <w:rPr>
          <w:sz w:val="24"/>
          <w:szCs w:val="24"/>
          <w:rtl/>
        </w:rPr>
      </w:pPr>
      <w:r w:rsidRPr="007C226E">
        <w:rPr>
          <w:rFonts w:hint="cs"/>
          <w:sz w:val="24"/>
          <w:szCs w:val="24"/>
          <w:rtl/>
        </w:rPr>
        <w:t>א. התקנה משנת 2008 סייגה את החלת הזכות לדייר ממשיך כך שת</w:t>
      </w:r>
      <w:r w:rsidR="007C226E">
        <w:rPr>
          <w:rFonts w:hint="cs"/>
          <w:sz w:val="24"/>
          <w:szCs w:val="24"/>
          <w:rtl/>
        </w:rPr>
        <w:t>י</w:t>
      </w:r>
      <w:r w:rsidRPr="007C226E">
        <w:rPr>
          <w:rFonts w:hint="cs"/>
          <w:sz w:val="24"/>
          <w:szCs w:val="24"/>
          <w:rtl/>
        </w:rPr>
        <w:t xml:space="preserve">נתן אך ורק למי שיש לו זכאות לדיור ציבורי. במצב הנוכחי, בו הקריטריונים לזכאות אינם עומדים במבחן המציאות גם </w:t>
      </w:r>
      <w:r w:rsidRPr="007C226E">
        <w:rPr>
          <w:rFonts w:hint="cs"/>
          <w:sz w:val="24"/>
          <w:szCs w:val="24"/>
          <w:rtl/>
        </w:rPr>
        <w:lastRenderedPageBreak/>
        <w:t xml:space="preserve">לפי הודאת משרד השיכון עצמו, </w:t>
      </w:r>
      <w:r w:rsidR="00A70DFE" w:rsidRPr="007C226E">
        <w:rPr>
          <w:rFonts w:hint="cs"/>
          <w:sz w:val="24"/>
          <w:szCs w:val="24"/>
          <w:rtl/>
        </w:rPr>
        <w:t>יש</w:t>
      </w:r>
      <w:r w:rsidRPr="007C226E">
        <w:rPr>
          <w:rFonts w:hint="cs"/>
          <w:sz w:val="24"/>
          <w:szCs w:val="24"/>
          <w:rtl/>
        </w:rPr>
        <w:t xml:space="preserve"> בתקנה זו משום אבסורד והצגת מכשול בפני עיוור. מן הראוי כי משרד השיכון יתקן תקנה על פיה </w:t>
      </w:r>
      <w:proofErr w:type="spellStart"/>
      <w:r w:rsidRPr="007C226E">
        <w:rPr>
          <w:rFonts w:hint="cs"/>
          <w:sz w:val="24"/>
          <w:szCs w:val="24"/>
          <w:rtl/>
        </w:rPr>
        <w:t>תנתן</w:t>
      </w:r>
      <w:proofErr w:type="spellEnd"/>
      <w:r w:rsidRPr="007C226E">
        <w:rPr>
          <w:rFonts w:hint="cs"/>
          <w:sz w:val="24"/>
          <w:szCs w:val="24"/>
          <w:rtl/>
        </w:rPr>
        <w:t xml:space="preserve"> זכאות לדייר ממשיך לכל משפחה שאינה משתכרת (לא כולל קצבאות שהן למטרות </w:t>
      </w:r>
      <w:proofErr w:type="spellStart"/>
      <w:r w:rsidRPr="007C226E">
        <w:rPr>
          <w:rFonts w:hint="cs"/>
          <w:sz w:val="24"/>
          <w:szCs w:val="24"/>
          <w:rtl/>
        </w:rPr>
        <w:t>יעודיות</w:t>
      </w:r>
      <w:proofErr w:type="spellEnd"/>
      <w:r w:rsidRPr="007C226E">
        <w:rPr>
          <w:rFonts w:hint="cs"/>
          <w:sz w:val="24"/>
          <w:szCs w:val="24"/>
          <w:rtl/>
        </w:rPr>
        <w:t xml:space="preserve">) מעל הכנסה של כ-3000 שקל לנפש לאורך שנה שלמה, ללא צורך בהצגת כושר השתכרות והבטחת או השלמת הכנסה כלשהי.  מדובר </w:t>
      </w:r>
      <w:proofErr w:type="spellStart"/>
      <w:r w:rsidRPr="007C226E">
        <w:rPr>
          <w:rFonts w:hint="cs"/>
          <w:sz w:val="24"/>
          <w:szCs w:val="24"/>
          <w:rtl/>
        </w:rPr>
        <w:t>בכעשרות</w:t>
      </w:r>
      <w:proofErr w:type="spellEnd"/>
      <w:r w:rsidRPr="007C226E">
        <w:rPr>
          <w:rFonts w:hint="cs"/>
          <w:sz w:val="24"/>
          <w:szCs w:val="24"/>
          <w:rtl/>
        </w:rPr>
        <w:t xml:space="preserve"> מקרים בודדים וסעד זה חיוני להרגעת הרוחות ולהצגת צעדים בוני אמון מצד משרד השיכון.</w:t>
      </w:r>
    </w:p>
    <w:p w:rsidR="00AD1807" w:rsidRPr="007C226E" w:rsidRDefault="00AD1807" w:rsidP="00AD42AE">
      <w:pPr>
        <w:spacing w:after="0" w:line="360" w:lineRule="auto"/>
        <w:jc w:val="both"/>
        <w:rPr>
          <w:sz w:val="24"/>
          <w:szCs w:val="24"/>
          <w:rtl/>
        </w:rPr>
      </w:pPr>
      <w:r w:rsidRPr="007C226E">
        <w:rPr>
          <w:rFonts w:hint="cs"/>
          <w:sz w:val="24"/>
          <w:szCs w:val="24"/>
          <w:rtl/>
        </w:rPr>
        <w:t xml:space="preserve">ב. על פי התקנה על הדייר הממשיך להיות מתגורר בבית הוריו 3 שנים לפני פטירתם. הבעיה בשטח היא, שלעתים קרובות קשה לדייר להוכיח זאת - כיוון שעול ההוכחה עליו ולא על המשרד. </w:t>
      </w:r>
    </w:p>
    <w:p w:rsidR="00AD1807" w:rsidRPr="007C226E" w:rsidRDefault="00AD1807" w:rsidP="00AD42AE">
      <w:pPr>
        <w:spacing w:after="0" w:line="360" w:lineRule="auto"/>
        <w:jc w:val="both"/>
        <w:rPr>
          <w:sz w:val="24"/>
          <w:szCs w:val="24"/>
          <w:rtl/>
        </w:rPr>
      </w:pPr>
      <w:r w:rsidRPr="007C226E">
        <w:rPr>
          <w:rFonts w:hint="cs"/>
          <w:sz w:val="24"/>
          <w:szCs w:val="24"/>
          <w:rtl/>
        </w:rPr>
        <w:t xml:space="preserve">ב.1 במקרים רבים עדותם של רכזי השטח כי מי שמבקש זכות דייר ממשיך לא התגורר בית הוריו </w:t>
      </w:r>
      <w:proofErr w:type="spellStart"/>
      <w:r w:rsidRPr="007C226E">
        <w:rPr>
          <w:rFonts w:hint="cs"/>
          <w:sz w:val="24"/>
          <w:szCs w:val="24"/>
          <w:rtl/>
        </w:rPr>
        <w:t>היתה</w:t>
      </w:r>
      <w:proofErr w:type="spellEnd"/>
      <w:r w:rsidRPr="007C226E">
        <w:rPr>
          <w:rFonts w:hint="cs"/>
          <w:sz w:val="24"/>
          <w:szCs w:val="24"/>
          <w:rtl/>
        </w:rPr>
        <w:t xml:space="preserve"> לקויה בחסר ולא נדרשה מהם הוכחה ברורה מלבד דבריהם שלהם. (להזכירכם, לחברה המשכנת אינטרס בהוצאת המשפחה כך שאמינות עובדיה מוטלת מראש בספק עקב ניגוד </w:t>
      </w:r>
      <w:proofErr w:type="spellStart"/>
      <w:r w:rsidRPr="007C226E">
        <w:rPr>
          <w:rFonts w:hint="cs"/>
          <w:sz w:val="24"/>
          <w:szCs w:val="24"/>
          <w:rtl/>
        </w:rPr>
        <w:t>אינרטסים</w:t>
      </w:r>
      <w:proofErr w:type="spellEnd"/>
      <w:r w:rsidRPr="007C226E">
        <w:rPr>
          <w:rFonts w:hint="cs"/>
          <w:sz w:val="24"/>
          <w:szCs w:val="24"/>
          <w:rtl/>
        </w:rPr>
        <w:t xml:space="preserve">). </w:t>
      </w:r>
    </w:p>
    <w:p w:rsidR="00AD1807" w:rsidRPr="007C226E" w:rsidRDefault="00AD1807" w:rsidP="00AD42AE">
      <w:pPr>
        <w:spacing w:after="0" w:line="360" w:lineRule="auto"/>
        <w:jc w:val="both"/>
        <w:rPr>
          <w:sz w:val="24"/>
          <w:szCs w:val="24"/>
          <w:rtl/>
        </w:rPr>
      </w:pPr>
      <w:r w:rsidRPr="007C226E">
        <w:rPr>
          <w:rFonts w:hint="cs"/>
          <w:sz w:val="24"/>
          <w:szCs w:val="24"/>
          <w:rtl/>
        </w:rPr>
        <w:t xml:space="preserve">ב.2  במקרים רבים הוחתם ההורה הקשיש על מסמך לפיו הוא גר לבד, כיוון שרכז השטח שכנע אותו כי כך ישלם פחות שכר דירה. גם כאן - מן הראוי כי עדויות שכנים יעמדו כהוכחה מספקת גם אם הוחתם ההורה הקשיש במרמה על מסמך מסוג זה. </w:t>
      </w:r>
    </w:p>
    <w:p w:rsidR="007C226E" w:rsidRDefault="007C226E" w:rsidP="00AD42AE">
      <w:pPr>
        <w:spacing w:after="0" w:line="360" w:lineRule="auto"/>
        <w:jc w:val="both"/>
        <w:rPr>
          <w:sz w:val="24"/>
          <w:szCs w:val="24"/>
          <w:u w:val="single"/>
          <w:rtl/>
        </w:rPr>
      </w:pPr>
    </w:p>
    <w:p w:rsidR="00AD1807" w:rsidRPr="007C226E" w:rsidRDefault="00AD1807" w:rsidP="00AD42AE">
      <w:pPr>
        <w:spacing w:after="0" w:line="360" w:lineRule="auto"/>
        <w:jc w:val="both"/>
        <w:rPr>
          <w:b/>
          <w:bCs/>
          <w:sz w:val="24"/>
          <w:szCs w:val="24"/>
          <w:u w:val="single"/>
          <w:rtl/>
        </w:rPr>
      </w:pPr>
      <w:r w:rsidRPr="007C226E">
        <w:rPr>
          <w:rFonts w:hint="cs"/>
          <w:sz w:val="24"/>
          <w:szCs w:val="24"/>
          <w:u w:val="single"/>
          <w:rtl/>
        </w:rPr>
        <w:t>לסיכום</w:t>
      </w:r>
      <w:r w:rsidRPr="007C226E">
        <w:rPr>
          <w:rFonts w:hint="cs"/>
          <w:sz w:val="24"/>
          <w:szCs w:val="24"/>
          <w:rtl/>
        </w:rPr>
        <w:t xml:space="preserve"> - זכות הדייר הממשיך מהותית בעקרון הצדק החלוקתי, על פיו גם מי שאי</w:t>
      </w:r>
      <w:r w:rsidR="00A70DFE" w:rsidRPr="007C226E">
        <w:rPr>
          <w:rFonts w:hint="cs"/>
          <w:sz w:val="24"/>
          <w:szCs w:val="24"/>
          <w:rtl/>
        </w:rPr>
        <w:t>ן</w:t>
      </w:r>
      <w:r w:rsidRPr="007C226E">
        <w:rPr>
          <w:rFonts w:hint="cs"/>
          <w:sz w:val="24"/>
          <w:szCs w:val="24"/>
          <w:rtl/>
        </w:rPr>
        <w:t xml:space="preserve"> ביכולתם לדאוג כלכלית לעתיד ילדיהם - יוכלו לפחות לדעת בלב שקט כי הם מספקים להם קורת גג בעתיד, כדי לשבור את אותו מעגל עוני בלתי פוסק של דורות. </w:t>
      </w:r>
      <w:r w:rsidRPr="007C226E">
        <w:rPr>
          <w:rFonts w:hint="cs"/>
          <w:b/>
          <w:bCs/>
          <w:sz w:val="24"/>
          <w:szCs w:val="24"/>
          <w:u w:val="single"/>
          <w:rtl/>
        </w:rPr>
        <w:t>לכן - זכות הדייר הממשיך צריכה על פי כל דין ומוסר להפוך לרחבה יותר ולה</w:t>
      </w:r>
      <w:r w:rsidR="007C226E">
        <w:rPr>
          <w:rFonts w:hint="cs"/>
          <w:b/>
          <w:bCs/>
          <w:sz w:val="24"/>
          <w:szCs w:val="24"/>
          <w:u w:val="single"/>
          <w:rtl/>
        </w:rPr>
        <w:t>י</w:t>
      </w:r>
      <w:r w:rsidRPr="007C226E">
        <w:rPr>
          <w:rFonts w:hint="cs"/>
          <w:b/>
          <w:bCs/>
          <w:sz w:val="24"/>
          <w:szCs w:val="24"/>
          <w:u w:val="single"/>
          <w:rtl/>
        </w:rPr>
        <w:t xml:space="preserve">נתן לכל מי שנמצא כללית בעשירונים התחתונים של המעמד הבינוני ומטה. זאת, כיוון שרק כך אפשר יהיה במציאות הכלכלית האיומה שלנו לבצע תיקון העוול הנמשך ולאפשר לא-שנים </w:t>
      </w:r>
      <w:proofErr w:type="spellStart"/>
      <w:r w:rsidRPr="007C226E">
        <w:rPr>
          <w:rFonts w:hint="cs"/>
          <w:b/>
          <w:bCs/>
          <w:sz w:val="24"/>
          <w:szCs w:val="24"/>
          <w:u w:val="single"/>
          <w:rtl/>
        </w:rPr>
        <w:t>לןצאת</w:t>
      </w:r>
      <w:proofErr w:type="spellEnd"/>
      <w:r w:rsidRPr="007C226E">
        <w:rPr>
          <w:rFonts w:hint="cs"/>
          <w:b/>
          <w:bCs/>
          <w:sz w:val="24"/>
          <w:szCs w:val="24"/>
          <w:u w:val="single"/>
          <w:rtl/>
        </w:rPr>
        <w:t xml:space="preserve"> מהמעגל האיום בו היו נתונים הוריהם ולהבטיח כי ילדיהם לא יגררו למעגל זה.</w:t>
      </w:r>
    </w:p>
    <w:p w:rsidR="00AD1807" w:rsidRPr="007C226E" w:rsidRDefault="00AD1807" w:rsidP="00AD42AE">
      <w:pPr>
        <w:spacing w:after="0" w:line="360" w:lineRule="auto"/>
        <w:jc w:val="both"/>
        <w:rPr>
          <w:sz w:val="24"/>
          <w:szCs w:val="24"/>
          <w:rtl/>
        </w:rPr>
      </w:pPr>
    </w:p>
    <w:p w:rsidR="00AD1807" w:rsidRPr="007C226E" w:rsidRDefault="00AD1807" w:rsidP="00AD42AE">
      <w:pPr>
        <w:spacing w:after="0" w:line="360" w:lineRule="auto"/>
        <w:jc w:val="both"/>
        <w:rPr>
          <w:sz w:val="24"/>
          <w:szCs w:val="24"/>
          <w:rtl/>
        </w:rPr>
      </w:pPr>
      <w:r w:rsidRPr="007C226E">
        <w:rPr>
          <w:rFonts w:hint="cs"/>
          <w:sz w:val="24"/>
          <w:szCs w:val="24"/>
          <w:rtl/>
        </w:rPr>
        <w:t xml:space="preserve">3. </w:t>
      </w:r>
      <w:r w:rsidRPr="007C226E">
        <w:rPr>
          <w:rFonts w:hint="cs"/>
          <w:b/>
          <w:bCs/>
          <w:sz w:val="24"/>
          <w:szCs w:val="24"/>
          <w:rtl/>
        </w:rPr>
        <w:t>פינוי משפחות שבצר להן ובחוסר ברירה נכנסו לדירות ציבוריות, שעמדו ריקות</w:t>
      </w:r>
      <w:r w:rsidRPr="007C226E">
        <w:rPr>
          <w:rFonts w:hint="cs"/>
          <w:sz w:val="24"/>
          <w:szCs w:val="24"/>
          <w:rtl/>
        </w:rPr>
        <w:t xml:space="preserve">. </w:t>
      </w:r>
    </w:p>
    <w:p w:rsidR="00AD1807" w:rsidRPr="007C226E" w:rsidRDefault="00AD1807" w:rsidP="00DD57DB">
      <w:pPr>
        <w:spacing w:after="0" w:line="360" w:lineRule="auto"/>
        <w:jc w:val="both"/>
        <w:rPr>
          <w:sz w:val="24"/>
          <w:szCs w:val="24"/>
          <w:rtl/>
        </w:rPr>
      </w:pPr>
      <w:r w:rsidRPr="007C226E">
        <w:rPr>
          <w:rFonts w:hint="cs"/>
          <w:sz w:val="24"/>
          <w:szCs w:val="24"/>
          <w:rtl/>
        </w:rPr>
        <w:t xml:space="preserve">חשוב לציין גם כי </w:t>
      </w:r>
      <w:r w:rsidRPr="007C226E">
        <w:rPr>
          <w:rFonts w:hint="cs"/>
          <w:sz w:val="24"/>
          <w:szCs w:val="24"/>
          <w:u w:val="single"/>
          <w:rtl/>
        </w:rPr>
        <w:t>הכינוי הרווח של "פולשים" הוא כינוי פוגעני</w:t>
      </w:r>
      <w:r w:rsidRPr="007C226E">
        <w:rPr>
          <w:rFonts w:hint="cs"/>
          <w:sz w:val="24"/>
          <w:szCs w:val="24"/>
          <w:rtl/>
        </w:rPr>
        <w:t xml:space="preserve">, המתייחס גם לעתים קרובות למי שחיו בדירה זו מלידתם ועד מות הוריהם. </w:t>
      </w:r>
      <w:proofErr w:type="spellStart"/>
      <w:r w:rsidRPr="007C226E">
        <w:rPr>
          <w:rFonts w:hint="cs"/>
          <w:sz w:val="24"/>
          <w:szCs w:val="24"/>
          <w:rtl/>
        </w:rPr>
        <w:t>פוגענות</w:t>
      </w:r>
      <w:proofErr w:type="spellEnd"/>
      <w:r w:rsidRPr="007C226E">
        <w:rPr>
          <w:rFonts w:hint="cs"/>
          <w:sz w:val="24"/>
          <w:szCs w:val="24"/>
          <w:rtl/>
        </w:rPr>
        <w:t xml:space="preserve"> זו</w:t>
      </w:r>
      <w:r w:rsidR="00DD57DB">
        <w:rPr>
          <w:rFonts w:hint="cs"/>
          <w:sz w:val="24"/>
          <w:szCs w:val="24"/>
          <w:rtl/>
        </w:rPr>
        <w:t xml:space="preserve"> גם מהווה גורם תסיסה וזעם בקרב </w:t>
      </w:r>
      <w:r w:rsidRPr="007C226E">
        <w:rPr>
          <w:rFonts w:hint="cs"/>
          <w:sz w:val="24"/>
          <w:szCs w:val="24"/>
          <w:rtl/>
        </w:rPr>
        <w:t>ציבור</w:t>
      </w:r>
      <w:r w:rsidR="00DD57DB">
        <w:rPr>
          <w:rFonts w:hint="cs"/>
          <w:sz w:val="24"/>
          <w:szCs w:val="24"/>
          <w:rtl/>
        </w:rPr>
        <w:t xml:space="preserve"> הזכאים</w:t>
      </w:r>
      <w:r w:rsidRPr="007C226E">
        <w:rPr>
          <w:rFonts w:hint="cs"/>
          <w:sz w:val="24"/>
          <w:szCs w:val="24"/>
          <w:rtl/>
        </w:rPr>
        <w:t xml:space="preserve">. מן הראוי </w:t>
      </w:r>
      <w:r w:rsidR="00A70DFE" w:rsidRPr="007C226E">
        <w:rPr>
          <w:rFonts w:hint="cs"/>
          <w:sz w:val="24"/>
          <w:szCs w:val="24"/>
          <w:rtl/>
        </w:rPr>
        <w:t>לבחון זאת כ</w:t>
      </w:r>
      <w:r w:rsidRPr="007C226E">
        <w:rPr>
          <w:rFonts w:hint="cs"/>
          <w:sz w:val="24"/>
          <w:szCs w:val="24"/>
          <w:rtl/>
        </w:rPr>
        <w:t xml:space="preserve"> - "זכאות הנתונה </w:t>
      </w:r>
      <w:proofErr w:type="spellStart"/>
      <w:r w:rsidRPr="007C226E">
        <w:rPr>
          <w:rFonts w:hint="cs"/>
          <w:sz w:val="24"/>
          <w:szCs w:val="24"/>
          <w:rtl/>
        </w:rPr>
        <w:t>לויכוח</w:t>
      </w:r>
      <w:proofErr w:type="spellEnd"/>
      <w:r w:rsidRPr="007C226E">
        <w:rPr>
          <w:rFonts w:hint="cs"/>
          <w:sz w:val="24"/>
          <w:szCs w:val="24"/>
          <w:rtl/>
        </w:rPr>
        <w:t>/לבירור".</w:t>
      </w:r>
      <w:r w:rsidR="00DD57DB">
        <w:rPr>
          <w:rFonts w:hint="cs"/>
          <w:sz w:val="24"/>
          <w:szCs w:val="24"/>
          <w:rtl/>
        </w:rPr>
        <w:t xml:space="preserve"> </w:t>
      </w:r>
      <w:r w:rsidRPr="007C226E">
        <w:rPr>
          <w:rFonts w:hint="cs"/>
          <w:sz w:val="24"/>
          <w:szCs w:val="24"/>
          <w:rtl/>
        </w:rPr>
        <w:t xml:space="preserve">משפחות אלה הן ברובם משפחות הזכאיות על פי כל דין לדיור ציבורי. כלומר, משפחות הצליחו לעבור אפילו את אותם קריטריונים בלתי אפשריים הקיימים כיום. גם מי שלא הוכרו כזכאיות. מוסכם גם על </w:t>
      </w:r>
      <w:proofErr w:type="spellStart"/>
      <w:r w:rsidRPr="007C226E">
        <w:rPr>
          <w:rFonts w:hint="cs"/>
          <w:sz w:val="24"/>
          <w:szCs w:val="24"/>
          <w:rtl/>
        </w:rPr>
        <w:t>הכל</w:t>
      </w:r>
      <w:proofErr w:type="spellEnd"/>
      <w:r w:rsidRPr="007C226E">
        <w:rPr>
          <w:rFonts w:hint="cs"/>
          <w:sz w:val="24"/>
          <w:szCs w:val="24"/>
          <w:rtl/>
        </w:rPr>
        <w:t xml:space="preserve"> כי הסיוע בשכר הדירה אינו יכול לשמש פתרון ממספר סיבות: הסכום אינו מספיק, המשפחות מתקשות לספק ערבויות וצ'קים כיוון שאין להם חשבונות בנקים, מעברי הדירה התכופים לא </w:t>
      </w:r>
      <w:r w:rsidRPr="007C226E">
        <w:rPr>
          <w:rFonts w:hint="cs"/>
          <w:sz w:val="24"/>
          <w:szCs w:val="24"/>
          <w:rtl/>
        </w:rPr>
        <w:lastRenderedPageBreak/>
        <w:t xml:space="preserve">מאפשרים כל בנייה מערך השתכרות ומענה קבוע לילדים ומטביעים עוד יותר את המשפחות בבור העוני. </w:t>
      </w:r>
    </w:p>
    <w:p w:rsidR="00DD57DB" w:rsidRDefault="00DD57DB" w:rsidP="00AD42AE">
      <w:pPr>
        <w:spacing w:after="0" w:line="360" w:lineRule="auto"/>
        <w:jc w:val="both"/>
        <w:rPr>
          <w:sz w:val="24"/>
          <w:szCs w:val="24"/>
          <w:rtl/>
        </w:rPr>
      </w:pPr>
    </w:p>
    <w:p w:rsidR="00AD1807" w:rsidRPr="00DD57DB" w:rsidRDefault="00AD1807" w:rsidP="00AD42AE">
      <w:pPr>
        <w:spacing w:after="0" w:line="360" w:lineRule="auto"/>
        <w:jc w:val="both"/>
        <w:rPr>
          <w:b/>
          <w:bCs/>
          <w:sz w:val="24"/>
          <w:szCs w:val="24"/>
          <w:rtl/>
        </w:rPr>
      </w:pPr>
      <w:r w:rsidRPr="00DD57DB">
        <w:rPr>
          <w:rFonts w:hint="cs"/>
          <w:b/>
          <w:bCs/>
          <w:sz w:val="24"/>
          <w:szCs w:val="24"/>
          <w:rtl/>
        </w:rPr>
        <w:t>לסיכום- אי לכך - העובדה שהמדינה כשלה מלספק פתרון אסור שתיפול על גב המשפחות עצמן. לכל אלה המ</w:t>
      </w:r>
      <w:r w:rsidR="003F3C37" w:rsidRPr="00DD57DB">
        <w:rPr>
          <w:rFonts w:hint="cs"/>
          <w:b/>
          <w:bCs/>
          <w:sz w:val="24"/>
          <w:szCs w:val="24"/>
          <w:rtl/>
        </w:rPr>
        <w:t>כונים</w:t>
      </w:r>
      <w:r w:rsidRPr="00DD57DB">
        <w:rPr>
          <w:rFonts w:hint="cs"/>
          <w:b/>
          <w:bCs/>
          <w:sz w:val="24"/>
          <w:szCs w:val="24"/>
          <w:rtl/>
        </w:rPr>
        <w:t xml:space="preserve"> "</w:t>
      </w:r>
      <w:r w:rsidR="003F3C37" w:rsidRPr="00DD57DB">
        <w:rPr>
          <w:rFonts w:hint="cs"/>
          <w:b/>
          <w:bCs/>
          <w:sz w:val="24"/>
          <w:szCs w:val="24"/>
          <w:rtl/>
        </w:rPr>
        <w:t xml:space="preserve">פולשים" מכל סוג. </w:t>
      </w:r>
      <w:r w:rsidRPr="00DD57DB">
        <w:rPr>
          <w:rFonts w:hint="cs"/>
          <w:b/>
          <w:bCs/>
          <w:sz w:val="24"/>
          <w:szCs w:val="24"/>
          <w:rtl/>
        </w:rPr>
        <w:t xml:space="preserve"> על המדינה לספק פתרון דיור ריאלי. עד להגדלת ראויה של המלאי יש לאפשר להן להמשיך ולהתגורר בדירות, שעמדו ריקות בלאו הכי. במקביל - על המדינה לשכור דירות בסביבתן ובקהילתן התומכת בהן יוכלו להתגורר עד שתתפנה דירה במלאי. זאת תוך הבטחה כי </w:t>
      </w:r>
      <w:proofErr w:type="spellStart"/>
      <w:r w:rsidRPr="00DD57DB">
        <w:rPr>
          <w:rFonts w:hint="cs"/>
          <w:b/>
          <w:bCs/>
          <w:sz w:val="24"/>
          <w:szCs w:val="24"/>
          <w:rtl/>
        </w:rPr>
        <w:t>ינתן</w:t>
      </w:r>
      <w:proofErr w:type="spellEnd"/>
      <w:r w:rsidRPr="00DD57DB">
        <w:rPr>
          <w:rFonts w:hint="cs"/>
          <w:b/>
          <w:bCs/>
          <w:sz w:val="24"/>
          <w:szCs w:val="24"/>
          <w:rtl/>
        </w:rPr>
        <w:t xml:space="preserve"> להם פתרון של קבע, כי לא </w:t>
      </w:r>
      <w:proofErr w:type="spellStart"/>
      <w:r w:rsidRPr="00DD57DB">
        <w:rPr>
          <w:rFonts w:hint="cs"/>
          <w:b/>
          <w:bCs/>
          <w:sz w:val="24"/>
          <w:szCs w:val="24"/>
          <w:rtl/>
        </w:rPr>
        <w:t>תשלל</w:t>
      </w:r>
      <w:proofErr w:type="spellEnd"/>
      <w:r w:rsidRPr="00DD57DB">
        <w:rPr>
          <w:rFonts w:hint="cs"/>
          <w:b/>
          <w:bCs/>
          <w:sz w:val="24"/>
          <w:szCs w:val="24"/>
          <w:rtl/>
        </w:rPr>
        <w:t xml:space="preserve"> זכאותן גם א</w:t>
      </w:r>
      <w:r w:rsidR="003F3C37" w:rsidRPr="00DD57DB">
        <w:rPr>
          <w:rFonts w:hint="cs"/>
          <w:b/>
          <w:bCs/>
          <w:sz w:val="24"/>
          <w:szCs w:val="24"/>
          <w:rtl/>
        </w:rPr>
        <w:t>חר</w:t>
      </w:r>
      <w:r w:rsidRPr="00DD57DB">
        <w:rPr>
          <w:rFonts w:hint="cs"/>
          <w:b/>
          <w:bCs/>
          <w:sz w:val="24"/>
          <w:szCs w:val="24"/>
          <w:rtl/>
        </w:rPr>
        <w:t xml:space="preserve"> שיגדלו ילדיהן וכי רצף המגורים יחשב להן מרגע כניסתם לדירה הזמנית שסופקה על ידי המדינה. </w:t>
      </w:r>
    </w:p>
    <w:p w:rsidR="00AD1807" w:rsidRPr="007C226E" w:rsidRDefault="00AD1807" w:rsidP="00AD42AE">
      <w:pPr>
        <w:spacing w:after="0" w:line="360" w:lineRule="auto"/>
        <w:jc w:val="both"/>
        <w:rPr>
          <w:sz w:val="24"/>
          <w:szCs w:val="24"/>
          <w:rtl/>
        </w:rPr>
      </w:pPr>
    </w:p>
    <w:p w:rsidR="00DD57DB" w:rsidRPr="00DD57DB" w:rsidRDefault="00DD57DB" w:rsidP="00733816">
      <w:pPr>
        <w:spacing w:after="0" w:line="360" w:lineRule="auto"/>
        <w:jc w:val="both"/>
        <w:rPr>
          <w:b/>
          <w:bCs/>
          <w:sz w:val="24"/>
          <w:szCs w:val="24"/>
          <w:u w:val="single"/>
          <w:rtl/>
        </w:rPr>
      </w:pPr>
      <w:r w:rsidRPr="00DD57DB">
        <w:rPr>
          <w:rFonts w:hint="cs"/>
          <w:b/>
          <w:bCs/>
          <w:sz w:val="24"/>
          <w:szCs w:val="24"/>
          <w:u w:val="single"/>
          <w:rtl/>
        </w:rPr>
        <w:t xml:space="preserve">ההמלצות ברוח דבריה של וועדת </w:t>
      </w:r>
      <w:proofErr w:type="spellStart"/>
      <w:r w:rsidRPr="00DD57DB">
        <w:rPr>
          <w:rFonts w:hint="cs"/>
          <w:b/>
          <w:bCs/>
          <w:sz w:val="24"/>
          <w:szCs w:val="24"/>
          <w:u w:val="single"/>
          <w:rtl/>
        </w:rPr>
        <w:t>ברביבאי</w:t>
      </w:r>
      <w:proofErr w:type="spellEnd"/>
      <w:r w:rsidRPr="00DD57DB">
        <w:rPr>
          <w:rFonts w:hint="cs"/>
          <w:b/>
          <w:bCs/>
          <w:sz w:val="24"/>
          <w:szCs w:val="24"/>
          <w:u w:val="single"/>
          <w:rtl/>
        </w:rPr>
        <w:t xml:space="preserve">: </w:t>
      </w:r>
    </w:p>
    <w:p w:rsidR="00AD1807" w:rsidRPr="00DD57DB" w:rsidRDefault="00AD1807" w:rsidP="00F339D3">
      <w:pPr>
        <w:spacing w:after="0" w:line="360" w:lineRule="auto"/>
        <w:jc w:val="both"/>
        <w:rPr>
          <w:sz w:val="24"/>
          <w:szCs w:val="24"/>
          <w:u w:val="single"/>
          <w:rtl/>
        </w:rPr>
      </w:pPr>
      <w:r w:rsidRPr="00DD57DB">
        <w:rPr>
          <w:rFonts w:hint="cs"/>
          <w:sz w:val="24"/>
          <w:szCs w:val="24"/>
          <w:u w:val="single"/>
          <w:rtl/>
        </w:rPr>
        <w:t xml:space="preserve">א. לא יפונו אדם או משפחה מדירה ציבורית, בכל מקרה והקשר  עד לבחינת המלצות האלה והקמת ועדה </w:t>
      </w:r>
      <w:r w:rsidR="00DD57DB">
        <w:rPr>
          <w:rFonts w:hint="cs"/>
          <w:sz w:val="24"/>
          <w:szCs w:val="24"/>
          <w:u w:val="single"/>
          <w:rtl/>
        </w:rPr>
        <w:t>(</w:t>
      </w:r>
      <w:r w:rsidRPr="00DD57DB">
        <w:rPr>
          <w:rFonts w:hint="cs"/>
          <w:sz w:val="24"/>
          <w:szCs w:val="24"/>
          <w:u w:val="single"/>
          <w:rtl/>
        </w:rPr>
        <w:t xml:space="preserve">כנאמר בנספח </w:t>
      </w:r>
      <w:r w:rsidR="00F339D3">
        <w:rPr>
          <w:rFonts w:hint="cs"/>
          <w:sz w:val="24"/>
          <w:szCs w:val="24"/>
          <w:u w:val="single"/>
          <w:rtl/>
        </w:rPr>
        <w:t>2</w:t>
      </w:r>
      <w:r w:rsidR="00DD57DB">
        <w:rPr>
          <w:rFonts w:hint="cs"/>
          <w:sz w:val="24"/>
          <w:szCs w:val="24"/>
          <w:u w:val="single"/>
          <w:rtl/>
        </w:rPr>
        <w:t>).</w:t>
      </w:r>
    </w:p>
    <w:p w:rsidR="00AD1807" w:rsidRPr="00DD57DB" w:rsidRDefault="00AD1807" w:rsidP="00AD42AE">
      <w:pPr>
        <w:spacing w:after="0" w:line="360" w:lineRule="auto"/>
        <w:jc w:val="both"/>
        <w:rPr>
          <w:sz w:val="24"/>
          <w:szCs w:val="24"/>
          <w:u w:val="single"/>
          <w:rtl/>
        </w:rPr>
      </w:pPr>
      <w:r w:rsidRPr="00DD57DB">
        <w:rPr>
          <w:rFonts w:hint="cs"/>
          <w:sz w:val="24"/>
          <w:szCs w:val="24"/>
          <w:u w:val="single"/>
          <w:rtl/>
        </w:rPr>
        <w:t xml:space="preserve">ב. בכל מקרה והקשר לא יפונו אדם או משפחה מדירה ציבורית בלא שיסופק להם פתרון דיור אחר - בסביבתם ובקהילתם התומכת ובהסכמתם שלהם.  </w:t>
      </w:r>
    </w:p>
    <w:p w:rsidR="007C226E" w:rsidRPr="00DD57DB" w:rsidRDefault="007C226E" w:rsidP="00AD42AE">
      <w:pPr>
        <w:spacing w:after="0" w:line="360" w:lineRule="auto"/>
        <w:jc w:val="both"/>
        <w:rPr>
          <w:b/>
          <w:bCs/>
          <w:sz w:val="24"/>
          <w:szCs w:val="24"/>
          <w:rtl/>
        </w:rPr>
      </w:pPr>
    </w:p>
    <w:p w:rsidR="00E7339E" w:rsidRPr="007C226E" w:rsidRDefault="00733816" w:rsidP="00733816">
      <w:pPr>
        <w:spacing w:after="0" w:line="360" w:lineRule="auto"/>
        <w:jc w:val="both"/>
        <w:rPr>
          <w:b/>
          <w:bCs/>
          <w:sz w:val="24"/>
          <w:szCs w:val="24"/>
          <w:rtl/>
        </w:rPr>
      </w:pPr>
      <w:r>
        <w:rPr>
          <w:rFonts w:hint="cs"/>
          <w:b/>
          <w:bCs/>
          <w:sz w:val="24"/>
          <w:szCs w:val="24"/>
          <w:rtl/>
        </w:rPr>
        <w:t xml:space="preserve">אנו </w:t>
      </w:r>
      <w:r w:rsidR="00DE632F">
        <w:rPr>
          <w:rFonts w:hint="cs"/>
          <w:b/>
          <w:bCs/>
          <w:sz w:val="24"/>
          <w:szCs w:val="24"/>
          <w:rtl/>
        </w:rPr>
        <w:t xml:space="preserve"> מברכים על המלצות הוועדה. </w:t>
      </w:r>
      <w:r w:rsidR="00E7339E" w:rsidRPr="007C226E">
        <w:rPr>
          <w:rFonts w:hint="cs"/>
          <w:b/>
          <w:bCs/>
          <w:sz w:val="24"/>
          <w:szCs w:val="24"/>
          <w:rtl/>
        </w:rPr>
        <w:t xml:space="preserve">יש לזכור, כי זוהי רוח מסקנות ועדת משרד השיכון האמורה לבחינת נושא הפינויים. </w:t>
      </w:r>
      <w:r>
        <w:rPr>
          <w:rFonts w:hint="cs"/>
          <w:b/>
          <w:bCs/>
          <w:sz w:val="24"/>
          <w:szCs w:val="24"/>
          <w:rtl/>
        </w:rPr>
        <w:t xml:space="preserve">אנו </w:t>
      </w:r>
      <w:r w:rsidR="00E7339E" w:rsidRPr="007C226E">
        <w:rPr>
          <w:rFonts w:hint="cs"/>
          <w:b/>
          <w:bCs/>
          <w:sz w:val="24"/>
          <w:szCs w:val="24"/>
          <w:rtl/>
        </w:rPr>
        <w:t xml:space="preserve"> קורא</w:t>
      </w:r>
      <w:r>
        <w:rPr>
          <w:rFonts w:hint="cs"/>
          <w:b/>
          <w:bCs/>
          <w:sz w:val="24"/>
          <w:szCs w:val="24"/>
          <w:rtl/>
        </w:rPr>
        <w:t>ים</w:t>
      </w:r>
      <w:r w:rsidR="00E7339E" w:rsidRPr="007C226E">
        <w:rPr>
          <w:rFonts w:hint="cs"/>
          <w:b/>
          <w:bCs/>
          <w:sz w:val="24"/>
          <w:szCs w:val="24"/>
          <w:rtl/>
        </w:rPr>
        <w:t xml:space="preserve"> לעיגון מסקנות אלה, ובכלל זה הכרה בזכות הדייר הממשיך וביטול התקנה המתנה זאת בזכאות לדיור ציבורי בחוק. </w:t>
      </w:r>
    </w:p>
    <w:p w:rsidR="00AD1807" w:rsidRPr="007C226E" w:rsidRDefault="00AD1807" w:rsidP="00AD42AE">
      <w:pPr>
        <w:bidi w:val="0"/>
        <w:spacing w:after="0" w:line="360" w:lineRule="auto"/>
        <w:jc w:val="both"/>
        <w:rPr>
          <w:b/>
          <w:bCs/>
          <w:sz w:val="24"/>
          <w:szCs w:val="24"/>
          <w:rtl/>
        </w:rPr>
      </w:pPr>
      <w:r w:rsidRPr="007C226E">
        <w:rPr>
          <w:b/>
          <w:bCs/>
          <w:sz w:val="24"/>
          <w:szCs w:val="24"/>
          <w:rtl/>
        </w:rPr>
        <w:br w:type="page"/>
      </w:r>
    </w:p>
    <w:p w:rsidR="00F339D3" w:rsidRDefault="00F339D3" w:rsidP="00F339D3">
      <w:pPr>
        <w:spacing w:after="0" w:line="360" w:lineRule="auto"/>
        <w:jc w:val="both"/>
        <w:rPr>
          <w:b/>
          <w:bCs/>
          <w:sz w:val="24"/>
          <w:szCs w:val="24"/>
          <w:u w:val="single"/>
          <w:rtl/>
        </w:rPr>
      </w:pPr>
      <w:r>
        <w:rPr>
          <w:rFonts w:hint="cs"/>
          <w:b/>
          <w:bCs/>
          <w:sz w:val="24"/>
          <w:szCs w:val="24"/>
          <w:u w:val="single"/>
          <w:rtl/>
        </w:rPr>
        <w:lastRenderedPageBreak/>
        <w:t xml:space="preserve">נספח 1 מתוך החלטת הוועדה: </w:t>
      </w:r>
    </w:p>
    <w:p w:rsidR="00F339D3" w:rsidRDefault="00F339D3" w:rsidP="00F339D3">
      <w:pPr>
        <w:spacing w:after="0" w:line="360" w:lineRule="auto"/>
        <w:jc w:val="both"/>
        <w:rPr>
          <w:b/>
          <w:bCs/>
          <w:sz w:val="24"/>
          <w:szCs w:val="24"/>
          <w:u w:val="single"/>
          <w:rtl/>
        </w:rPr>
      </w:pPr>
    </w:p>
    <w:p w:rsidR="007F74F0" w:rsidRDefault="007F74F0" w:rsidP="007F74F0">
      <w:pPr>
        <w:spacing w:after="0" w:line="360" w:lineRule="auto"/>
        <w:jc w:val="both"/>
        <w:rPr>
          <w:b/>
          <w:bCs/>
          <w:sz w:val="24"/>
          <w:szCs w:val="24"/>
          <w:rtl/>
        </w:rPr>
      </w:pPr>
      <w:r w:rsidRPr="007F74F0">
        <w:rPr>
          <w:rFonts w:hint="cs"/>
          <w:b/>
          <w:bCs/>
          <w:sz w:val="24"/>
          <w:szCs w:val="24"/>
          <w:rtl/>
        </w:rPr>
        <w:t>תקציר המלצות ועדת משרד השיכון בנושא הפינויים מהדיור הציבורי</w:t>
      </w:r>
    </w:p>
    <w:p w:rsidR="007F74F0" w:rsidRPr="007F74F0" w:rsidRDefault="007F74F0" w:rsidP="007F74F0">
      <w:pPr>
        <w:spacing w:after="0" w:line="360" w:lineRule="auto"/>
        <w:jc w:val="both"/>
        <w:rPr>
          <w:b/>
          <w:bCs/>
          <w:sz w:val="24"/>
          <w:szCs w:val="24"/>
          <w:rtl/>
        </w:rPr>
      </w:pPr>
    </w:p>
    <w:p w:rsidR="007F74F0" w:rsidRPr="007F74F0" w:rsidRDefault="007F74F0" w:rsidP="007F74F0">
      <w:pPr>
        <w:numPr>
          <w:ilvl w:val="0"/>
          <w:numId w:val="3"/>
        </w:numPr>
        <w:spacing w:after="0" w:line="360" w:lineRule="auto"/>
        <w:jc w:val="both"/>
        <w:rPr>
          <w:sz w:val="24"/>
          <w:szCs w:val="24"/>
        </w:rPr>
      </w:pPr>
      <w:r w:rsidRPr="007F74F0">
        <w:rPr>
          <w:rFonts w:hint="cs"/>
          <w:b/>
          <w:bCs/>
          <w:sz w:val="24"/>
          <w:szCs w:val="24"/>
          <w:rtl/>
        </w:rPr>
        <w:t>פינויים של בעלי חוב שכר דירה</w:t>
      </w:r>
    </w:p>
    <w:p w:rsidR="007F74F0" w:rsidRPr="007F74F0" w:rsidRDefault="007F74F0" w:rsidP="007F74F0">
      <w:pPr>
        <w:numPr>
          <w:ilvl w:val="1"/>
          <w:numId w:val="3"/>
        </w:numPr>
        <w:spacing w:after="0" w:line="360" w:lineRule="auto"/>
        <w:jc w:val="both"/>
        <w:rPr>
          <w:sz w:val="24"/>
          <w:szCs w:val="24"/>
          <w:rtl/>
        </w:rPr>
      </w:pPr>
      <w:r w:rsidRPr="007F74F0">
        <w:rPr>
          <w:rFonts w:hint="cs"/>
          <w:sz w:val="24"/>
          <w:szCs w:val="24"/>
          <w:rtl/>
        </w:rPr>
        <w:t xml:space="preserve">לא ינקטו הליכי פינוי בגין חובות שכר דירה ובכלל זה התראות ואיומים בפינוי. </w:t>
      </w:r>
    </w:p>
    <w:p w:rsidR="007F74F0" w:rsidRPr="007F74F0" w:rsidRDefault="007F74F0" w:rsidP="007F74F0">
      <w:pPr>
        <w:numPr>
          <w:ilvl w:val="1"/>
          <w:numId w:val="3"/>
        </w:numPr>
        <w:spacing w:after="0" w:line="360" w:lineRule="auto"/>
        <w:jc w:val="both"/>
        <w:rPr>
          <w:sz w:val="24"/>
          <w:szCs w:val="24"/>
        </w:rPr>
      </w:pPr>
      <w:r w:rsidRPr="007F74F0">
        <w:rPr>
          <w:rFonts w:hint="cs"/>
          <w:sz w:val="24"/>
          <w:szCs w:val="24"/>
          <w:rtl/>
        </w:rPr>
        <w:t>להטיל על רשויות האכיפה והגבייה את הטיפול בחובות הדיירים כזרוע מבצעת של המדינות לגביית חובות.</w:t>
      </w:r>
    </w:p>
    <w:p w:rsidR="007F74F0" w:rsidRDefault="007F74F0" w:rsidP="007F74F0">
      <w:pPr>
        <w:numPr>
          <w:ilvl w:val="1"/>
          <w:numId w:val="3"/>
        </w:numPr>
        <w:spacing w:after="0" w:line="360" w:lineRule="auto"/>
        <w:jc w:val="both"/>
        <w:rPr>
          <w:sz w:val="24"/>
          <w:szCs w:val="24"/>
        </w:rPr>
      </w:pPr>
      <w:r w:rsidRPr="007F74F0">
        <w:rPr>
          <w:rFonts w:hint="cs"/>
          <w:sz w:val="24"/>
          <w:szCs w:val="24"/>
          <w:rtl/>
        </w:rPr>
        <w:t>ועדת גביית החובות בראשות האוצר תבחן מחדש את מדיניות קביעת תעריפי כר הדירה, הסיבות להיווצרות חובות והטיפול בגבייתם בהתאמה למאפייני דיירי הדיור הציבורי וכן הגדלת סל הכלים והפתרונות להסדרים מול החייבים.</w:t>
      </w:r>
    </w:p>
    <w:p w:rsidR="007F74F0" w:rsidRPr="007F74F0" w:rsidRDefault="007F74F0" w:rsidP="007F74F0">
      <w:pPr>
        <w:spacing w:after="0" w:line="360" w:lineRule="auto"/>
        <w:ind w:left="720"/>
        <w:jc w:val="both"/>
        <w:rPr>
          <w:sz w:val="24"/>
          <w:szCs w:val="24"/>
        </w:rPr>
      </w:pPr>
    </w:p>
    <w:p w:rsidR="007F74F0" w:rsidRPr="007F74F0" w:rsidRDefault="007F74F0" w:rsidP="007F74F0">
      <w:pPr>
        <w:numPr>
          <w:ilvl w:val="0"/>
          <w:numId w:val="3"/>
        </w:numPr>
        <w:spacing w:after="0" w:line="360" w:lineRule="auto"/>
        <w:jc w:val="both"/>
        <w:rPr>
          <w:b/>
          <w:bCs/>
          <w:sz w:val="24"/>
          <w:szCs w:val="24"/>
        </w:rPr>
      </w:pPr>
      <w:r w:rsidRPr="007F74F0">
        <w:rPr>
          <w:rFonts w:hint="cs"/>
          <w:b/>
          <w:bCs/>
          <w:sz w:val="24"/>
          <w:szCs w:val="24"/>
          <w:rtl/>
        </w:rPr>
        <w:t>פינויים של דיירים שלא הוכרו כדיירים ממשיכים:</w:t>
      </w:r>
    </w:p>
    <w:p w:rsidR="007F74F0" w:rsidRPr="007F74F0" w:rsidRDefault="007F74F0" w:rsidP="007F74F0">
      <w:pPr>
        <w:numPr>
          <w:ilvl w:val="1"/>
          <w:numId w:val="3"/>
        </w:numPr>
        <w:spacing w:after="0" w:line="360" w:lineRule="auto"/>
        <w:jc w:val="both"/>
        <w:rPr>
          <w:sz w:val="24"/>
          <w:szCs w:val="24"/>
          <w:rtl/>
        </w:rPr>
      </w:pPr>
      <w:r w:rsidRPr="007F74F0">
        <w:rPr>
          <w:rFonts w:hint="cs"/>
          <w:sz w:val="24"/>
          <w:szCs w:val="24"/>
          <w:rtl/>
        </w:rPr>
        <w:t>לשנות את התיקון משנת 2009 שנעשה לחוק זכויות הדייר בדיור הציבורי (תשנ"ח-1998) ולהסיר את התנאי שעל הדייר לעמוד בתבחינים לזכאות לדיור ציבורי.</w:t>
      </w:r>
    </w:p>
    <w:p w:rsidR="007F74F0" w:rsidRPr="007F74F0" w:rsidRDefault="007F74F0" w:rsidP="007F74F0">
      <w:pPr>
        <w:numPr>
          <w:ilvl w:val="1"/>
          <w:numId w:val="3"/>
        </w:numPr>
        <w:spacing w:after="0" w:line="360" w:lineRule="auto"/>
        <w:jc w:val="both"/>
        <w:rPr>
          <w:sz w:val="24"/>
          <w:szCs w:val="24"/>
        </w:rPr>
      </w:pPr>
      <w:r w:rsidRPr="007F74F0">
        <w:rPr>
          <w:rFonts w:hint="cs"/>
          <w:sz w:val="24"/>
          <w:szCs w:val="24"/>
          <w:rtl/>
        </w:rPr>
        <w:t>לבדוק משפטית האם ניתן לשנות מדיניות האכיפה עד לתיקון החוק.</w:t>
      </w:r>
    </w:p>
    <w:p w:rsidR="007F74F0" w:rsidRDefault="007F74F0" w:rsidP="007F74F0">
      <w:pPr>
        <w:numPr>
          <w:ilvl w:val="1"/>
          <w:numId w:val="3"/>
        </w:numPr>
        <w:spacing w:after="0" w:line="360" w:lineRule="auto"/>
        <w:jc w:val="both"/>
        <w:rPr>
          <w:sz w:val="24"/>
          <w:szCs w:val="24"/>
        </w:rPr>
      </w:pPr>
      <w:r w:rsidRPr="007F74F0">
        <w:rPr>
          <w:rFonts w:hint="cs"/>
          <w:sz w:val="24"/>
          <w:szCs w:val="24"/>
          <w:rtl/>
        </w:rPr>
        <w:t>ככל שהוכר כדייר ממשיך, יש להתאים את תעריף שכר הדירה ברצף לתקופת מדוריו כך שלא יחולו עליו תשלומים עודפים הנובעים מהליכי טיפול בירוקרטי מתמשכים שאינם תלויים בו.</w:t>
      </w:r>
    </w:p>
    <w:p w:rsidR="007F74F0" w:rsidRPr="007F74F0" w:rsidRDefault="007F74F0" w:rsidP="007F74F0">
      <w:pPr>
        <w:spacing w:after="0" w:line="360" w:lineRule="auto"/>
        <w:ind w:left="1110"/>
        <w:jc w:val="both"/>
        <w:rPr>
          <w:sz w:val="24"/>
          <w:szCs w:val="24"/>
        </w:rPr>
      </w:pPr>
    </w:p>
    <w:p w:rsidR="007F74F0" w:rsidRPr="007F74F0" w:rsidRDefault="007F74F0" w:rsidP="007F74F0">
      <w:pPr>
        <w:numPr>
          <w:ilvl w:val="0"/>
          <w:numId w:val="3"/>
        </w:numPr>
        <w:spacing w:after="0" w:line="360" w:lineRule="auto"/>
        <w:jc w:val="both"/>
        <w:rPr>
          <w:sz w:val="24"/>
          <w:szCs w:val="24"/>
        </w:rPr>
      </w:pPr>
      <w:r w:rsidRPr="007F74F0">
        <w:rPr>
          <w:rFonts w:hint="cs"/>
          <w:b/>
          <w:bCs/>
          <w:sz w:val="24"/>
          <w:szCs w:val="24"/>
          <w:rtl/>
        </w:rPr>
        <w:t>פינויי פולשים:</w:t>
      </w:r>
    </w:p>
    <w:p w:rsidR="007F74F0" w:rsidRPr="007F74F0" w:rsidRDefault="007F74F0" w:rsidP="007F74F0">
      <w:pPr>
        <w:numPr>
          <w:ilvl w:val="1"/>
          <w:numId w:val="3"/>
        </w:numPr>
        <w:spacing w:after="0" w:line="360" w:lineRule="auto"/>
        <w:jc w:val="both"/>
        <w:rPr>
          <w:sz w:val="24"/>
          <w:szCs w:val="24"/>
          <w:rtl/>
        </w:rPr>
      </w:pPr>
      <w:r w:rsidRPr="007F74F0">
        <w:rPr>
          <w:rFonts w:hint="cs"/>
          <w:sz w:val="24"/>
          <w:szCs w:val="24"/>
          <w:rtl/>
        </w:rPr>
        <w:t>הקמת ועדה בין משרדית אינטגרטיבית</w:t>
      </w:r>
    </w:p>
    <w:p w:rsidR="007F74F0" w:rsidRPr="007F74F0" w:rsidRDefault="007F74F0" w:rsidP="007F74F0">
      <w:pPr>
        <w:numPr>
          <w:ilvl w:val="0"/>
          <w:numId w:val="4"/>
        </w:numPr>
        <w:spacing w:after="0" w:line="360" w:lineRule="auto"/>
        <w:jc w:val="both"/>
        <w:rPr>
          <w:sz w:val="24"/>
          <w:szCs w:val="24"/>
        </w:rPr>
      </w:pPr>
      <w:r w:rsidRPr="007F74F0">
        <w:rPr>
          <w:rFonts w:hint="cs"/>
          <w:sz w:val="24"/>
          <w:szCs w:val="24"/>
          <w:rtl/>
        </w:rPr>
        <w:t>הועדה תידרש לסייע בגיבוש מתווה לפתרון שייתן מענה לסוגיית הדיור תוך שאיפה למתן עצמאות כלכלית.</w:t>
      </w:r>
    </w:p>
    <w:p w:rsidR="007F74F0" w:rsidRDefault="007F74F0" w:rsidP="007F74F0">
      <w:pPr>
        <w:numPr>
          <w:ilvl w:val="0"/>
          <w:numId w:val="4"/>
        </w:numPr>
        <w:spacing w:after="0" w:line="360" w:lineRule="auto"/>
        <w:jc w:val="both"/>
        <w:rPr>
          <w:sz w:val="24"/>
          <w:szCs w:val="24"/>
        </w:rPr>
      </w:pPr>
      <w:proofErr w:type="spellStart"/>
      <w:r w:rsidRPr="007F74F0">
        <w:rPr>
          <w:rFonts w:hint="cs"/>
          <w:sz w:val="24"/>
          <w:szCs w:val="24"/>
          <w:rtl/>
        </w:rPr>
        <w:t>לועדה</w:t>
      </w:r>
      <w:proofErr w:type="spellEnd"/>
      <w:r w:rsidRPr="007F74F0">
        <w:rPr>
          <w:rFonts w:hint="cs"/>
          <w:sz w:val="24"/>
          <w:szCs w:val="24"/>
          <w:rtl/>
        </w:rPr>
        <w:t xml:space="preserve"> תינתן סמכות בהחלטה שלא לפנות לפי גורמי העניין</w:t>
      </w:r>
    </w:p>
    <w:p w:rsidR="007F74F0" w:rsidRPr="007F74F0" w:rsidRDefault="007F74F0" w:rsidP="007F74F0">
      <w:pPr>
        <w:spacing w:after="0" w:line="360" w:lineRule="auto"/>
        <w:ind w:left="1470"/>
        <w:jc w:val="both"/>
        <w:rPr>
          <w:sz w:val="24"/>
          <w:szCs w:val="24"/>
        </w:rPr>
      </w:pPr>
    </w:p>
    <w:p w:rsidR="007F74F0" w:rsidRPr="007F74F0" w:rsidRDefault="007F74F0" w:rsidP="007F74F0">
      <w:pPr>
        <w:numPr>
          <w:ilvl w:val="1"/>
          <w:numId w:val="3"/>
        </w:numPr>
        <w:spacing w:after="0" w:line="360" w:lineRule="auto"/>
        <w:jc w:val="both"/>
        <w:rPr>
          <w:b/>
          <w:bCs/>
          <w:sz w:val="24"/>
          <w:szCs w:val="24"/>
          <w:rtl/>
        </w:rPr>
      </w:pPr>
      <w:r w:rsidRPr="007F74F0">
        <w:rPr>
          <w:rFonts w:hint="cs"/>
          <w:b/>
          <w:bCs/>
          <w:sz w:val="24"/>
          <w:szCs w:val="24"/>
          <w:rtl/>
        </w:rPr>
        <w:t>פולשים טריים (במסגרת 30 יום)</w:t>
      </w:r>
    </w:p>
    <w:p w:rsidR="007F74F0" w:rsidRDefault="007F74F0" w:rsidP="007F74F0">
      <w:pPr>
        <w:spacing w:after="0" w:line="360" w:lineRule="auto"/>
        <w:jc w:val="both"/>
        <w:rPr>
          <w:sz w:val="24"/>
          <w:szCs w:val="24"/>
          <w:rtl/>
        </w:rPr>
      </w:pPr>
      <w:r w:rsidRPr="007F74F0">
        <w:rPr>
          <w:rFonts w:hint="cs"/>
          <w:sz w:val="24"/>
          <w:szCs w:val="24"/>
          <w:rtl/>
        </w:rPr>
        <w:t xml:space="preserve">נכון לפעול לגיבוש מדיניות ייחודית המאושרת משפטית </w:t>
      </w:r>
      <w:r w:rsidRPr="007F74F0">
        <w:rPr>
          <w:rFonts w:hint="cs"/>
          <w:b/>
          <w:bCs/>
          <w:sz w:val="24"/>
          <w:szCs w:val="24"/>
          <w:rtl/>
        </w:rPr>
        <w:t>בנושא</w:t>
      </w:r>
      <w:r w:rsidRPr="007F74F0">
        <w:rPr>
          <w:rFonts w:hint="cs"/>
          <w:sz w:val="24"/>
          <w:szCs w:val="24"/>
          <w:rtl/>
        </w:rPr>
        <w:t xml:space="preserve"> הפינויים מדירות הדיור הציבורי לנוכח המשמעות של הוצאת משפחה לרחוב ללא כל אלטרנטיבה לדיור.</w:t>
      </w:r>
    </w:p>
    <w:p w:rsidR="007F74F0" w:rsidRDefault="007F74F0" w:rsidP="007F74F0">
      <w:pPr>
        <w:spacing w:after="0" w:line="360" w:lineRule="auto"/>
        <w:jc w:val="both"/>
        <w:rPr>
          <w:sz w:val="24"/>
          <w:szCs w:val="24"/>
          <w:rtl/>
        </w:rPr>
      </w:pPr>
    </w:p>
    <w:p w:rsidR="007F74F0" w:rsidRDefault="007F74F0" w:rsidP="007F74F0">
      <w:pPr>
        <w:spacing w:after="0" w:line="360" w:lineRule="auto"/>
        <w:jc w:val="both"/>
        <w:rPr>
          <w:sz w:val="24"/>
          <w:szCs w:val="24"/>
          <w:rtl/>
        </w:rPr>
      </w:pPr>
    </w:p>
    <w:p w:rsidR="007F74F0" w:rsidRPr="007F74F0" w:rsidRDefault="007F74F0" w:rsidP="007F74F0">
      <w:pPr>
        <w:spacing w:after="0" w:line="360" w:lineRule="auto"/>
        <w:jc w:val="both"/>
        <w:rPr>
          <w:sz w:val="24"/>
          <w:szCs w:val="24"/>
          <w:rtl/>
        </w:rPr>
      </w:pPr>
    </w:p>
    <w:p w:rsidR="007F74F0" w:rsidRDefault="007F74F0" w:rsidP="007F74F0">
      <w:pPr>
        <w:numPr>
          <w:ilvl w:val="1"/>
          <w:numId w:val="3"/>
        </w:numPr>
        <w:spacing w:after="0" w:line="360" w:lineRule="auto"/>
        <w:jc w:val="both"/>
        <w:rPr>
          <w:sz w:val="24"/>
          <w:szCs w:val="24"/>
        </w:rPr>
      </w:pPr>
      <w:r w:rsidRPr="007F74F0">
        <w:rPr>
          <w:rFonts w:hint="cs"/>
          <w:b/>
          <w:bCs/>
          <w:sz w:val="24"/>
          <w:szCs w:val="24"/>
          <w:rtl/>
        </w:rPr>
        <w:lastRenderedPageBreak/>
        <w:t xml:space="preserve">פולשים לא טריים </w:t>
      </w:r>
    </w:p>
    <w:p w:rsidR="007F74F0" w:rsidRDefault="007F74F0" w:rsidP="007F74F0">
      <w:pPr>
        <w:numPr>
          <w:ilvl w:val="1"/>
          <w:numId w:val="3"/>
        </w:numPr>
        <w:spacing w:after="0" w:line="360" w:lineRule="auto"/>
        <w:jc w:val="both"/>
        <w:rPr>
          <w:sz w:val="24"/>
          <w:szCs w:val="24"/>
        </w:rPr>
      </w:pPr>
      <w:r w:rsidRPr="007F74F0">
        <w:rPr>
          <w:rFonts w:hint="cs"/>
          <w:sz w:val="24"/>
          <w:szCs w:val="24"/>
          <w:rtl/>
        </w:rPr>
        <w:t xml:space="preserve">מומלץ לבחון מחדש את כלל פסקי הדין נוכח המלצות הועדה ובאם ימצא צורך לפנות לבית המשפט על מנת להצדיק שינוי פסק הדין. פולשים שטרם ננקט נגדם הליך משפטי </w:t>
      </w:r>
      <w:r w:rsidRPr="007F74F0">
        <w:rPr>
          <w:sz w:val="24"/>
          <w:szCs w:val="24"/>
          <w:rtl/>
        </w:rPr>
        <w:t>–</w:t>
      </w:r>
      <w:r w:rsidRPr="007F74F0">
        <w:rPr>
          <w:rFonts w:hint="cs"/>
          <w:sz w:val="24"/>
          <w:szCs w:val="24"/>
          <w:rtl/>
        </w:rPr>
        <w:t xml:space="preserve"> יעלו לדיון </w:t>
      </w:r>
      <w:proofErr w:type="spellStart"/>
      <w:r w:rsidRPr="007F74F0">
        <w:rPr>
          <w:rFonts w:hint="cs"/>
          <w:sz w:val="24"/>
          <w:szCs w:val="24"/>
          <w:rtl/>
        </w:rPr>
        <w:t>בועדה</w:t>
      </w:r>
      <w:proofErr w:type="spellEnd"/>
      <w:r w:rsidRPr="007F74F0">
        <w:rPr>
          <w:rFonts w:hint="cs"/>
          <w:sz w:val="24"/>
          <w:szCs w:val="24"/>
          <w:rtl/>
        </w:rPr>
        <w:t xml:space="preserve"> המוסמכת.</w:t>
      </w:r>
    </w:p>
    <w:p w:rsidR="007F74F0" w:rsidRPr="007F74F0" w:rsidRDefault="007F74F0" w:rsidP="007F74F0">
      <w:pPr>
        <w:spacing w:after="0" w:line="360" w:lineRule="auto"/>
        <w:ind w:left="720"/>
        <w:jc w:val="both"/>
        <w:rPr>
          <w:sz w:val="24"/>
          <w:szCs w:val="24"/>
        </w:rPr>
      </w:pPr>
    </w:p>
    <w:p w:rsidR="007F74F0" w:rsidRPr="007F74F0" w:rsidRDefault="007F74F0" w:rsidP="007F74F0">
      <w:pPr>
        <w:spacing w:after="0" w:line="360" w:lineRule="auto"/>
        <w:jc w:val="both"/>
        <w:rPr>
          <w:sz w:val="24"/>
          <w:szCs w:val="24"/>
          <w:rtl/>
        </w:rPr>
      </w:pPr>
      <w:r w:rsidRPr="007F74F0">
        <w:rPr>
          <w:rFonts w:hint="cs"/>
          <w:sz w:val="24"/>
          <w:szCs w:val="24"/>
          <w:rtl/>
        </w:rPr>
        <w:t>* לא ינקטו הליכי פינוי כנגד מי שמחזיק זכאות לדיור ציבורי בתוקף אשר פלש לדירה בתקופת ההמתנה לקבלת דירה אלא בכפוף לאישור הועדה המוסמכת</w:t>
      </w:r>
    </w:p>
    <w:p w:rsidR="007F74F0" w:rsidRPr="007F74F0" w:rsidRDefault="007F74F0" w:rsidP="007F74F0">
      <w:pPr>
        <w:spacing w:after="0" w:line="360" w:lineRule="auto"/>
        <w:jc w:val="both"/>
        <w:rPr>
          <w:sz w:val="24"/>
          <w:szCs w:val="24"/>
          <w:rtl/>
        </w:rPr>
      </w:pPr>
      <w:r w:rsidRPr="007F74F0">
        <w:rPr>
          <w:rFonts w:hint="cs"/>
          <w:sz w:val="24"/>
          <w:szCs w:val="24"/>
          <w:rtl/>
        </w:rPr>
        <w:t>* לא ינקטו הליכי פינוי כלפי פולשים שמצוקתם מצדיקה קבלת דיור ציבורי, אלא באישור מראש של העודה המוסמכת</w:t>
      </w:r>
    </w:p>
    <w:p w:rsidR="007F74F0" w:rsidRPr="007F74F0" w:rsidRDefault="007F74F0" w:rsidP="007F74F0">
      <w:pPr>
        <w:spacing w:after="0" w:line="360" w:lineRule="auto"/>
        <w:jc w:val="both"/>
        <w:rPr>
          <w:sz w:val="24"/>
          <w:szCs w:val="24"/>
          <w:rtl/>
        </w:rPr>
      </w:pPr>
      <w:r w:rsidRPr="007F74F0">
        <w:rPr>
          <w:rFonts w:hint="cs"/>
          <w:sz w:val="24"/>
          <w:szCs w:val="24"/>
          <w:rtl/>
        </w:rPr>
        <w:t xml:space="preserve">* לא ינקטו הליכי פינוי כנגד יחידים או משפחות אשר פלשו לדירות שהמדינה לא נקטה בצעדים בכדי לאכלסן בטרם </w:t>
      </w:r>
      <w:proofErr w:type="spellStart"/>
      <w:r w:rsidRPr="007F74F0">
        <w:rPr>
          <w:rFonts w:hint="cs"/>
          <w:sz w:val="24"/>
          <w:szCs w:val="24"/>
          <w:rtl/>
        </w:rPr>
        <w:t>נפלשה</w:t>
      </w:r>
      <w:proofErr w:type="spellEnd"/>
      <w:r w:rsidRPr="007F74F0">
        <w:rPr>
          <w:rFonts w:hint="cs"/>
          <w:sz w:val="24"/>
          <w:szCs w:val="24"/>
          <w:rtl/>
        </w:rPr>
        <w:t xml:space="preserve"> והועדה המוסמכת מצאה אותם זקוקים לסיוע בדיור.</w:t>
      </w:r>
    </w:p>
    <w:p w:rsidR="007F74F0" w:rsidRPr="007F74F0" w:rsidRDefault="007F74F0" w:rsidP="007F74F0">
      <w:pPr>
        <w:spacing w:after="0" w:line="360" w:lineRule="auto"/>
        <w:jc w:val="both"/>
        <w:rPr>
          <w:sz w:val="24"/>
          <w:szCs w:val="24"/>
          <w:rtl/>
        </w:rPr>
      </w:pPr>
      <w:r w:rsidRPr="007F74F0">
        <w:rPr>
          <w:rFonts w:hint="cs"/>
          <w:sz w:val="24"/>
          <w:szCs w:val="24"/>
          <w:rtl/>
        </w:rPr>
        <w:t>* ינקטו הליכי פינוי רק כנגד פולשים שלא הוכרו כזכאים לדיור, אין להם זיקה לנכס ובחינת הנתונים האישיים שלה מאפשרים פתרון אחר שלא במסגרת הדיור הציבורי, באישור מראש של הועדה המוסמכת.</w:t>
      </w:r>
    </w:p>
    <w:p w:rsidR="007F74F0" w:rsidRDefault="007F74F0" w:rsidP="007F74F0">
      <w:pPr>
        <w:spacing w:after="0" w:line="360" w:lineRule="auto"/>
        <w:jc w:val="both"/>
        <w:rPr>
          <w:b/>
          <w:bCs/>
          <w:sz w:val="24"/>
          <w:szCs w:val="24"/>
          <w:rtl/>
        </w:rPr>
      </w:pPr>
    </w:p>
    <w:p w:rsidR="007F74F0" w:rsidRPr="007F74F0" w:rsidRDefault="007F74F0" w:rsidP="007F74F0">
      <w:pPr>
        <w:spacing w:after="0" w:line="360" w:lineRule="auto"/>
        <w:jc w:val="both"/>
        <w:rPr>
          <w:b/>
          <w:bCs/>
          <w:sz w:val="24"/>
          <w:szCs w:val="24"/>
          <w:rtl/>
        </w:rPr>
      </w:pPr>
      <w:r>
        <w:rPr>
          <w:rFonts w:hint="cs"/>
          <w:b/>
          <w:bCs/>
          <w:sz w:val="24"/>
          <w:szCs w:val="24"/>
          <w:rtl/>
        </w:rPr>
        <w:t>הוועדה ממליצה לג</w:t>
      </w:r>
      <w:r w:rsidRPr="007F74F0">
        <w:rPr>
          <w:rFonts w:hint="cs"/>
          <w:b/>
          <w:bCs/>
          <w:sz w:val="24"/>
          <w:szCs w:val="24"/>
          <w:rtl/>
        </w:rPr>
        <w:t>בש מדיניות המאפשרת הכרה של פולשים המתגוררים בדירה בפועל לפחות 7 שנים, לקבוע להם שכר דירה בהתאם לכילותם בפעול אך לשלול מהם האפשרות לרכוש את הדירה.</w:t>
      </w:r>
    </w:p>
    <w:p w:rsidR="007F74F0" w:rsidRPr="007F74F0" w:rsidRDefault="007F74F0" w:rsidP="007F74F0">
      <w:pPr>
        <w:spacing w:after="0" w:line="360" w:lineRule="auto"/>
        <w:jc w:val="both"/>
        <w:rPr>
          <w:b/>
          <w:bCs/>
          <w:sz w:val="24"/>
          <w:szCs w:val="24"/>
          <w:rtl/>
        </w:rPr>
      </w:pPr>
    </w:p>
    <w:p w:rsidR="007F74F0" w:rsidRPr="007F74F0" w:rsidRDefault="007F74F0" w:rsidP="007F74F0">
      <w:pPr>
        <w:spacing w:after="0" w:line="360" w:lineRule="auto"/>
        <w:jc w:val="both"/>
        <w:rPr>
          <w:sz w:val="24"/>
          <w:szCs w:val="24"/>
          <w:rtl/>
        </w:rPr>
      </w:pPr>
      <w:r w:rsidRPr="007F74F0">
        <w:rPr>
          <w:rFonts w:hint="cs"/>
          <w:sz w:val="24"/>
          <w:szCs w:val="24"/>
          <w:u w:val="single"/>
          <w:rtl/>
        </w:rPr>
        <w:t xml:space="preserve">בנוסף ממליצה הועדה: </w:t>
      </w:r>
    </w:p>
    <w:p w:rsidR="007F74F0" w:rsidRPr="007F74F0" w:rsidRDefault="007F74F0" w:rsidP="007F74F0">
      <w:pPr>
        <w:numPr>
          <w:ilvl w:val="0"/>
          <w:numId w:val="5"/>
        </w:numPr>
        <w:spacing w:after="0" w:line="360" w:lineRule="auto"/>
        <w:jc w:val="both"/>
        <w:rPr>
          <w:sz w:val="24"/>
          <w:szCs w:val="24"/>
        </w:rPr>
      </w:pPr>
      <w:r w:rsidRPr="007F74F0">
        <w:rPr>
          <w:rFonts w:hint="cs"/>
          <w:sz w:val="24"/>
          <w:szCs w:val="24"/>
          <w:rtl/>
        </w:rPr>
        <w:t>לשנות את אופן תפעול מערך הדיור הציבורי ולבצע הפרדה בין הגורם האחראי על אכלוס הדירות, שמירה על המצב התחזוקתי של הדירה וגביית שכר דירה שוטף לבין הגורם המטפל בגביית חובות.</w:t>
      </w:r>
    </w:p>
    <w:p w:rsidR="007F74F0" w:rsidRPr="007F74F0" w:rsidRDefault="007F74F0" w:rsidP="007F74F0">
      <w:pPr>
        <w:numPr>
          <w:ilvl w:val="0"/>
          <w:numId w:val="5"/>
        </w:numPr>
        <w:spacing w:after="0" w:line="360" w:lineRule="auto"/>
        <w:jc w:val="both"/>
        <w:rPr>
          <w:sz w:val="24"/>
          <w:szCs w:val="24"/>
        </w:rPr>
      </w:pPr>
      <w:r w:rsidRPr="007F74F0">
        <w:rPr>
          <w:rFonts w:hint="cs"/>
          <w:sz w:val="24"/>
          <w:szCs w:val="24"/>
          <w:rtl/>
        </w:rPr>
        <w:t xml:space="preserve">לתרגם את מדיניות הגבייה לכדי נוהל אחיד מסודר </w:t>
      </w:r>
      <w:r w:rsidRPr="007F74F0">
        <w:rPr>
          <w:sz w:val="24"/>
          <w:szCs w:val="24"/>
          <w:rtl/>
        </w:rPr>
        <w:t>–</w:t>
      </w:r>
      <w:r w:rsidRPr="007F74F0">
        <w:rPr>
          <w:rFonts w:hint="cs"/>
          <w:sz w:val="24"/>
          <w:szCs w:val="24"/>
          <w:rtl/>
        </w:rPr>
        <w:t xml:space="preserve"> על מנת למנוע צבירת החובות.</w:t>
      </w:r>
    </w:p>
    <w:p w:rsidR="007F74F0" w:rsidRPr="007F74F0" w:rsidRDefault="007F74F0" w:rsidP="007F74F0">
      <w:pPr>
        <w:numPr>
          <w:ilvl w:val="0"/>
          <w:numId w:val="5"/>
        </w:numPr>
        <w:spacing w:after="0" w:line="360" w:lineRule="auto"/>
        <w:jc w:val="both"/>
        <w:rPr>
          <w:sz w:val="24"/>
          <w:szCs w:val="24"/>
          <w:rtl/>
        </w:rPr>
      </w:pPr>
      <w:r w:rsidRPr="007F74F0">
        <w:rPr>
          <w:rFonts w:hint="cs"/>
          <w:sz w:val="24"/>
          <w:szCs w:val="24"/>
          <w:rtl/>
        </w:rPr>
        <w:t>3. הקטנת פוטנציאל הפינויים וצוברי החובות באמצעות עדכון גובה שכר הדירה לאלו הזכאים לסיוע בשכר דירה</w:t>
      </w:r>
    </w:p>
    <w:p w:rsidR="00F339D3" w:rsidRPr="00F339D3" w:rsidRDefault="00F339D3" w:rsidP="00F339D3">
      <w:pPr>
        <w:spacing w:after="0" w:line="360" w:lineRule="auto"/>
        <w:jc w:val="both"/>
        <w:rPr>
          <w:b/>
          <w:bCs/>
          <w:sz w:val="24"/>
          <w:szCs w:val="24"/>
          <w:rtl/>
        </w:rPr>
      </w:pPr>
    </w:p>
    <w:p w:rsidR="00F339D3" w:rsidRPr="00F339D3" w:rsidRDefault="00F339D3" w:rsidP="00F339D3">
      <w:pPr>
        <w:spacing w:after="0" w:line="360" w:lineRule="auto"/>
        <w:jc w:val="both"/>
        <w:rPr>
          <w:b/>
          <w:bCs/>
          <w:sz w:val="24"/>
          <w:szCs w:val="24"/>
          <w:u w:val="single"/>
          <w:rtl/>
        </w:rPr>
      </w:pPr>
      <w:r w:rsidRPr="00F339D3">
        <w:rPr>
          <w:rFonts w:hint="cs"/>
          <w:b/>
          <w:bCs/>
          <w:sz w:val="24"/>
          <w:szCs w:val="24"/>
          <w:u w:val="single"/>
          <w:rtl/>
        </w:rPr>
        <w:t>נספח מס 2:</w:t>
      </w:r>
    </w:p>
    <w:p w:rsidR="00AD1807" w:rsidRPr="00AD42AE" w:rsidRDefault="00AD1807" w:rsidP="00AD42AE">
      <w:pPr>
        <w:spacing w:after="0" w:line="360" w:lineRule="auto"/>
        <w:jc w:val="both"/>
        <w:rPr>
          <w:b/>
          <w:bCs/>
          <w:sz w:val="24"/>
          <w:szCs w:val="24"/>
          <w:u w:val="single"/>
          <w:rtl/>
        </w:rPr>
      </w:pPr>
      <w:r w:rsidRPr="00AD42AE">
        <w:rPr>
          <w:rFonts w:hint="cs"/>
          <w:b/>
          <w:bCs/>
          <w:sz w:val="24"/>
          <w:szCs w:val="24"/>
          <w:u w:val="single"/>
          <w:rtl/>
        </w:rPr>
        <w:t>ועדה לבחינת צווי הפינוי השונים הקיימים כיום לדיירים/</w:t>
      </w:r>
      <w:proofErr w:type="spellStart"/>
      <w:r w:rsidRPr="00AD42AE">
        <w:rPr>
          <w:rFonts w:hint="cs"/>
          <w:b/>
          <w:bCs/>
          <w:sz w:val="24"/>
          <w:szCs w:val="24"/>
          <w:u w:val="single"/>
          <w:rtl/>
        </w:rPr>
        <w:t>ות</w:t>
      </w:r>
      <w:proofErr w:type="spellEnd"/>
      <w:r w:rsidRPr="00AD42AE">
        <w:rPr>
          <w:rFonts w:hint="cs"/>
          <w:b/>
          <w:bCs/>
          <w:sz w:val="24"/>
          <w:szCs w:val="24"/>
          <w:u w:val="single"/>
          <w:rtl/>
        </w:rPr>
        <w:t xml:space="preserve"> בדיור הציבורי</w:t>
      </w:r>
    </w:p>
    <w:p w:rsidR="00DE632F" w:rsidRDefault="00DE632F" w:rsidP="00AD42AE">
      <w:pPr>
        <w:shd w:val="clear" w:color="auto" w:fill="FFFFFF"/>
        <w:spacing w:after="0" w:line="360" w:lineRule="auto"/>
        <w:jc w:val="both"/>
        <w:rPr>
          <w:rFonts w:asciiTheme="minorBidi" w:eastAsia="Times New Roman" w:hAnsiTheme="minorBidi"/>
          <w:color w:val="000000"/>
          <w:sz w:val="24"/>
          <w:szCs w:val="24"/>
          <w:rtl/>
        </w:rPr>
      </w:pPr>
    </w:p>
    <w:p w:rsidR="00AD1807" w:rsidRPr="00AD42AE" w:rsidRDefault="00AD1807" w:rsidP="00AD42AE">
      <w:pPr>
        <w:shd w:val="clear" w:color="auto" w:fill="FFFFFF"/>
        <w:spacing w:after="0" w:line="360" w:lineRule="auto"/>
        <w:jc w:val="both"/>
        <w:rPr>
          <w:rFonts w:asciiTheme="minorBidi" w:eastAsia="Times New Roman" w:hAnsiTheme="minorBidi"/>
          <w:color w:val="222222"/>
          <w:sz w:val="24"/>
          <w:szCs w:val="24"/>
          <w:rtl/>
        </w:rPr>
      </w:pPr>
      <w:r w:rsidRPr="00AD42AE">
        <w:rPr>
          <w:rFonts w:asciiTheme="minorBidi" w:eastAsia="Times New Roman" w:hAnsiTheme="minorBidi" w:hint="cs"/>
          <w:color w:val="000000"/>
          <w:sz w:val="24"/>
          <w:szCs w:val="24"/>
          <w:rtl/>
        </w:rPr>
        <w:t xml:space="preserve">משרד השיכון הודיע על השעיית הפינויים. הודעות מסוג זה נמסרו כבר מספר פעמים, כאשר אחר זמן מה הוחזרו הפינויים עד לעליית המחאה והזעקות שוב, ואז שוב הושעו וחוזר חלילה. </w:t>
      </w:r>
      <w:r w:rsidRPr="00AD42AE">
        <w:rPr>
          <w:rFonts w:asciiTheme="minorBidi" w:eastAsia="Times New Roman" w:hAnsiTheme="minorBidi"/>
          <w:color w:val="000000"/>
          <w:sz w:val="24"/>
          <w:szCs w:val="24"/>
          <w:rtl/>
        </w:rPr>
        <w:t>לא מספיק להשעות את הפינויים.</w:t>
      </w:r>
      <w:r w:rsidRPr="00AD42AE">
        <w:rPr>
          <w:rFonts w:asciiTheme="minorBidi" w:eastAsia="Times New Roman" w:hAnsiTheme="minorBidi" w:hint="cs"/>
          <w:color w:val="222222"/>
          <w:sz w:val="24"/>
          <w:szCs w:val="24"/>
          <w:rtl/>
        </w:rPr>
        <w:t xml:space="preserve"> אין זה אלא פלסטר זמני שהפצע שתחתיו גדל והולך </w:t>
      </w:r>
      <w:r w:rsidRPr="00AD42AE">
        <w:rPr>
          <w:rFonts w:asciiTheme="minorBidi" w:eastAsia="Times New Roman" w:hAnsiTheme="minorBidi"/>
          <w:color w:val="000000"/>
          <w:sz w:val="24"/>
          <w:szCs w:val="24"/>
          <w:shd w:val="clear" w:color="auto" w:fill="FFFFFF"/>
          <w:rtl/>
        </w:rPr>
        <w:t xml:space="preserve">עכשיו </w:t>
      </w:r>
      <w:r w:rsidRPr="00AD42AE">
        <w:rPr>
          <w:rFonts w:asciiTheme="minorBidi" w:eastAsia="Times New Roman" w:hAnsiTheme="minorBidi"/>
          <w:color w:val="000000"/>
          <w:sz w:val="24"/>
          <w:szCs w:val="24"/>
          <w:shd w:val="clear" w:color="auto" w:fill="FFFFFF"/>
          <w:rtl/>
        </w:rPr>
        <w:lastRenderedPageBreak/>
        <w:t>צריך משרד השיכון לעשות את המוטל עליו ולבדוק מחדש את כל צווי ה</w:t>
      </w:r>
      <w:r w:rsidRPr="00AD42AE">
        <w:rPr>
          <w:rFonts w:asciiTheme="minorBidi" w:eastAsia="Times New Roman" w:hAnsiTheme="minorBidi"/>
          <w:color w:val="000000"/>
          <w:sz w:val="24"/>
          <w:szCs w:val="24"/>
          <w:rtl/>
        </w:rPr>
        <w:t>פינוי</w:t>
      </w:r>
      <w:r w:rsidRPr="00AD42AE">
        <w:rPr>
          <w:rFonts w:asciiTheme="minorBidi" w:eastAsia="Times New Roman" w:hAnsiTheme="minorBidi" w:hint="cs"/>
          <w:color w:val="000000"/>
          <w:sz w:val="24"/>
          <w:szCs w:val="24"/>
          <w:shd w:val="clear" w:color="auto" w:fill="FFFFFF"/>
          <w:rtl/>
        </w:rPr>
        <w:t xml:space="preserve"> </w:t>
      </w:r>
      <w:r w:rsidRPr="00AD42AE">
        <w:rPr>
          <w:rFonts w:asciiTheme="minorBidi" w:eastAsia="Times New Roman" w:hAnsiTheme="minorBidi"/>
          <w:color w:val="000000"/>
          <w:sz w:val="24"/>
          <w:szCs w:val="24"/>
          <w:shd w:val="clear" w:color="auto" w:fill="FFFFFF"/>
          <w:rtl/>
        </w:rPr>
        <w:t>התלויים ואת התיקים התלויים ועומדים בבית המשפט בדרישה לפנות דיירים.</w:t>
      </w:r>
    </w:p>
    <w:p w:rsidR="00DE632F" w:rsidRDefault="00DE632F" w:rsidP="00AD42AE">
      <w:pPr>
        <w:shd w:val="clear" w:color="auto" w:fill="FFFFFF"/>
        <w:spacing w:after="0" w:line="360" w:lineRule="auto"/>
        <w:jc w:val="both"/>
        <w:rPr>
          <w:rFonts w:asciiTheme="minorBidi" w:eastAsia="Times New Roman" w:hAnsiTheme="minorBidi"/>
          <w:color w:val="000000"/>
          <w:sz w:val="24"/>
          <w:szCs w:val="24"/>
          <w:rtl/>
        </w:rPr>
      </w:pPr>
    </w:p>
    <w:p w:rsidR="00AD1807" w:rsidRPr="00AD42AE" w:rsidRDefault="00AD1807" w:rsidP="00AD42AE">
      <w:pPr>
        <w:shd w:val="clear" w:color="auto" w:fill="FFFFFF"/>
        <w:spacing w:after="0" w:line="360" w:lineRule="auto"/>
        <w:jc w:val="both"/>
        <w:rPr>
          <w:rFonts w:asciiTheme="minorBidi" w:eastAsia="Times New Roman" w:hAnsiTheme="minorBidi"/>
          <w:color w:val="222222"/>
          <w:sz w:val="24"/>
          <w:szCs w:val="24"/>
          <w:rtl/>
        </w:rPr>
      </w:pPr>
      <w:r w:rsidRPr="00AD42AE">
        <w:rPr>
          <w:rFonts w:asciiTheme="minorBidi" w:eastAsia="Times New Roman" w:hAnsiTheme="minorBidi"/>
          <w:color w:val="000000"/>
          <w:sz w:val="24"/>
          <w:szCs w:val="24"/>
          <w:rtl/>
        </w:rPr>
        <w:t xml:space="preserve">על המשרד להקים ועדת אד הוק אשר תבחן מחדש, בלב פתוח ובנפש חפצה, וללא כל לחץ זמן את כל </w:t>
      </w:r>
      <w:proofErr w:type="spellStart"/>
      <w:r w:rsidRPr="00AD42AE">
        <w:rPr>
          <w:rFonts w:asciiTheme="minorBidi" w:eastAsia="Times New Roman" w:hAnsiTheme="minorBidi"/>
          <w:color w:val="000000"/>
          <w:sz w:val="24"/>
          <w:szCs w:val="24"/>
          <w:rtl/>
        </w:rPr>
        <w:t>צוי</w:t>
      </w:r>
      <w:proofErr w:type="spellEnd"/>
      <w:r w:rsidRPr="00AD42AE">
        <w:rPr>
          <w:rFonts w:asciiTheme="minorBidi" w:eastAsia="Times New Roman" w:hAnsiTheme="minorBidi"/>
          <w:color w:val="000000"/>
          <w:sz w:val="24"/>
          <w:szCs w:val="24"/>
          <w:rtl/>
        </w:rPr>
        <w:t xml:space="preserve"> הפינוי וההליכים המשפטיים בהם דורש המשרד או החברות המשכנות את</w:t>
      </w:r>
      <w:r w:rsidRPr="00AD42AE">
        <w:rPr>
          <w:rFonts w:asciiTheme="minorBidi" w:eastAsia="Times New Roman" w:hAnsiTheme="minorBidi" w:hint="cs"/>
          <w:color w:val="000000"/>
          <w:sz w:val="24"/>
          <w:szCs w:val="24"/>
          <w:rtl/>
        </w:rPr>
        <w:t xml:space="preserve"> </w:t>
      </w:r>
      <w:r w:rsidRPr="00AD42AE">
        <w:rPr>
          <w:rFonts w:asciiTheme="minorBidi" w:eastAsia="Times New Roman" w:hAnsiTheme="minorBidi"/>
          <w:color w:val="000000"/>
          <w:sz w:val="24"/>
          <w:szCs w:val="24"/>
          <w:rtl/>
        </w:rPr>
        <w:t>פינוי הדיירים מדירות דיור ציבורי. הוועדה תבחן את הסיבות לפינוי, את מיצוי ההליכים מול הדייר, את הניסיונות להגיע לפתרונות יצירתיים אשר יאפשרו את המשך מגורי הדייר בדירה.</w:t>
      </w:r>
    </w:p>
    <w:p w:rsidR="00AD1807" w:rsidRPr="00AD42AE" w:rsidRDefault="00AD1807" w:rsidP="00AD42AE">
      <w:pPr>
        <w:spacing w:after="0" w:line="360" w:lineRule="auto"/>
        <w:jc w:val="both"/>
        <w:rPr>
          <w:rFonts w:asciiTheme="minorBidi" w:eastAsia="Times New Roman" w:hAnsiTheme="minorBidi"/>
          <w:color w:val="500050"/>
          <w:sz w:val="24"/>
          <w:szCs w:val="24"/>
          <w:shd w:val="clear" w:color="auto" w:fill="FFFFFF"/>
          <w:rtl/>
        </w:rPr>
      </w:pPr>
      <w:r w:rsidRPr="00AD42AE">
        <w:rPr>
          <w:rFonts w:asciiTheme="minorBidi" w:eastAsia="Times New Roman" w:hAnsiTheme="minorBidi"/>
          <w:color w:val="000000"/>
          <w:sz w:val="24"/>
          <w:szCs w:val="24"/>
          <w:shd w:val="clear" w:color="auto" w:fill="FFFFFF"/>
          <w:rtl/>
        </w:rPr>
        <w:t>בין חברי הוועדה צריכים להיות משפטן בלתי תלוי המומחה בתחום, עובד סוציאלי ונציג ציבור.</w:t>
      </w:r>
    </w:p>
    <w:p w:rsidR="00AD1807" w:rsidRPr="00AD42AE" w:rsidRDefault="00AD1807" w:rsidP="00AD42AE">
      <w:pPr>
        <w:spacing w:after="0" w:line="360" w:lineRule="auto"/>
        <w:jc w:val="both"/>
        <w:rPr>
          <w:rFonts w:asciiTheme="minorBidi" w:eastAsia="Times New Roman" w:hAnsiTheme="minorBidi"/>
          <w:color w:val="500050"/>
          <w:sz w:val="24"/>
          <w:szCs w:val="24"/>
          <w:shd w:val="clear" w:color="auto" w:fill="FFFFFF"/>
          <w:rtl/>
        </w:rPr>
      </w:pPr>
      <w:r w:rsidRPr="00AD42AE">
        <w:rPr>
          <w:rFonts w:asciiTheme="minorBidi" w:eastAsia="Times New Roman" w:hAnsiTheme="minorBidi"/>
          <w:color w:val="000000"/>
          <w:sz w:val="24"/>
          <w:szCs w:val="24"/>
          <w:shd w:val="clear" w:color="auto" w:fill="FFFFFF"/>
          <w:rtl/>
        </w:rPr>
        <w:t>פעילות הוועדה חייבת להיות שקופה, משמע - להעניק לדייר זכות עיון מלאה בחומר העומד בפניה וכן זכות טיעון בפניה ולנהל פרוטוקולים אשר יועברו לדייר ככל שיבקש.</w:t>
      </w:r>
    </w:p>
    <w:p w:rsidR="00AD1807" w:rsidRPr="00AD42AE" w:rsidRDefault="00AD1807" w:rsidP="00AD42AE">
      <w:pPr>
        <w:spacing w:after="0" w:line="360" w:lineRule="auto"/>
        <w:jc w:val="both"/>
        <w:rPr>
          <w:rFonts w:asciiTheme="minorBidi" w:eastAsia="Times New Roman" w:hAnsiTheme="minorBidi"/>
          <w:color w:val="500050"/>
          <w:sz w:val="24"/>
          <w:szCs w:val="24"/>
          <w:shd w:val="clear" w:color="auto" w:fill="FFFFFF"/>
          <w:rtl/>
        </w:rPr>
      </w:pPr>
      <w:r w:rsidRPr="00AD42AE">
        <w:rPr>
          <w:rFonts w:asciiTheme="minorBidi" w:eastAsia="Times New Roman" w:hAnsiTheme="minorBidi"/>
          <w:color w:val="000000"/>
          <w:sz w:val="24"/>
          <w:szCs w:val="24"/>
          <w:shd w:val="clear" w:color="auto" w:fill="FFFFFF"/>
          <w:rtl/>
        </w:rPr>
        <w:t>לאחר החלטת הוועדה צריך להינתן לדייר פרק זמן של 60 ימים לערעור בפני בית המשפט לעניינים מנהליים.</w:t>
      </w:r>
    </w:p>
    <w:p w:rsidR="00DE632F" w:rsidRDefault="00DE632F" w:rsidP="00AD42AE">
      <w:pPr>
        <w:shd w:val="clear" w:color="auto" w:fill="FFFFFF"/>
        <w:spacing w:after="0" w:line="360" w:lineRule="auto"/>
        <w:jc w:val="both"/>
        <w:rPr>
          <w:rFonts w:asciiTheme="minorBidi" w:eastAsia="Times New Roman" w:hAnsiTheme="minorBidi"/>
          <w:color w:val="000000"/>
          <w:sz w:val="24"/>
          <w:szCs w:val="24"/>
          <w:rtl/>
        </w:rPr>
      </w:pPr>
    </w:p>
    <w:p w:rsidR="00AD1807" w:rsidRPr="00AD42AE" w:rsidRDefault="00AD1807" w:rsidP="00AD42AE">
      <w:pPr>
        <w:shd w:val="clear" w:color="auto" w:fill="FFFFFF"/>
        <w:spacing w:after="0" w:line="360" w:lineRule="auto"/>
        <w:jc w:val="both"/>
        <w:rPr>
          <w:rFonts w:asciiTheme="minorBidi" w:eastAsia="Times New Roman" w:hAnsiTheme="minorBidi"/>
          <w:color w:val="222222"/>
          <w:sz w:val="24"/>
          <w:szCs w:val="24"/>
          <w:rtl/>
        </w:rPr>
      </w:pPr>
      <w:r w:rsidRPr="00AD42AE">
        <w:rPr>
          <w:rFonts w:asciiTheme="minorBidi" w:eastAsia="Times New Roman" w:hAnsiTheme="minorBidi"/>
          <w:color w:val="000000"/>
          <w:sz w:val="24"/>
          <w:szCs w:val="24"/>
          <w:rtl/>
        </w:rPr>
        <w:t>יש לזכור -   </w:t>
      </w:r>
      <w:r w:rsidRPr="00AD42AE">
        <w:rPr>
          <w:rFonts w:asciiTheme="minorBidi" w:eastAsia="Times New Roman" w:hAnsiTheme="minorBidi"/>
          <w:color w:val="222222"/>
          <w:sz w:val="24"/>
          <w:szCs w:val="24"/>
          <w:rtl/>
        </w:rPr>
        <w:t>השלכת א-נשים לרחוב מכל סיבה שהיא לא רק שהיא מהווה עוול, היא תגרום גם אך ורק ולהגדלת המצוקה וללחץ נוסף על השוק החופשי של ההשכרה. השימוש הנעשה בהליכי פינוי והשלכה לרחוב כדי להכניס אחרים במקומם (או למכור את הדירות בשוק החופשי, כפי שנתגלה כבר מספר פעמים), אינו אלא התחמקות מהמצוקה ולא פתרונה. לכן, על משרד הבינוי להעמיד בפניו את היעד של קורת גג של קבע לכל מי  שכל פתרון דיור אחר אינו בר השגה לגביו.</w:t>
      </w:r>
    </w:p>
    <w:p w:rsidR="00AD1807" w:rsidRPr="00AD42AE" w:rsidRDefault="00AD1807" w:rsidP="00AD42AE">
      <w:pPr>
        <w:spacing w:after="0" w:line="360" w:lineRule="auto"/>
        <w:jc w:val="both"/>
        <w:rPr>
          <w:sz w:val="24"/>
          <w:szCs w:val="24"/>
          <w:rtl/>
        </w:rPr>
      </w:pPr>
    </w:p>
    <w:p w:rsidR="006834D5" w:rsidRPr="00AD42AE" w:rsidRDefault="006834D5" w:rsidP="00AD42AE">
      <w:pPr>
        <w:spacing w:after="0"/>
        <w:jc w:val="both"/>
        <w:rPr>
          <w:sz w:val="24"/>
          <w:szCs w:val="24"/>
        </w:rPr>
      </w:pPr>
    </w:p>
    <w:sectPr w:rsidR="006834D5" w:rsidRPr="00AD42AE" w:rsidSect="004E6A97">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8C23B5"/>
    <w:multiLevelType w:val="hybridMultilevel"/>
    <w:tmpl w:val="85BCE8A2"/>
    <w:lvl w:ilvl="0" w:tplc="24EA74DC">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2CE7D08"/>
    <w:multiLevelType w:val="hybridMultilevel"/>
    <w:tmpl w:val="268C15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42400B3"/>
    <w:multiLevelType w:val="multilevel"/>
    <w:tmpl w:val="C6740B8A"/>
    <w:lvl w:ilvl="0">
      <w:start w:val="1"/>
      <w:numFmt w:val="decimal"/>
      <w:lvlText w:val="%1."/>
      <w:lvlJc w:val="left"/>
      <w:pPr>
        <w:ind w:left="720" w:hanging="360"/>
      </w:pPr>
      <w:rPr>
        <w:rFonts w:hint="default"/>
        <w:b/>
        <w:bCs/>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3D010E44"/>
    <w:multiLevelType w:val="hybridMultilevel"/>
    <w:tmpl w:val="F0CC4F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E92B42"/>
    <w:multiLevelType w:val="hybridMultilevel"/>
    <w:tmpl w:val="706203E6"/>
    <w:lvl w:ilvl="0" w:tplc="F82EC992">
      <w:start w:val="3"/>
      <w:numFmt w:val="bullet"/>
      <w:lvlText w:val=""/>
      <w:lvlJc w:val="left"/>
      <w:pPr>
        <w:ind w:left="1470" w:hanging="360"/>
      </w:pPr>
      <w:rPr>
        <w:rFonts w:ascii="Symbol" w:eastAsiaTheme="minorHAnsi" w:hAnsi="Symbol" w:cstheme="minorBidi" w:hint="default"/>
      </w:rPr>
    </w:lvl>
    <w:lvl w:ilvl="1" w:tplc="04090003" w:tentative="1">
      <w:start w:val="1"/>
      <w:numFmt w:val="bullet"/>
      <w:lvlText w:val="o"/>
      <w:lvlJc w:val="left"/>
      <w:pPr>
        <w:ind w:left="2190" w:hanging="360"/>
      </w:pPr>
      <w:rPr>
        <w:rFonts w:ascii="Courier New" w:hAnsi="Courier New" w:cs="Courier New" w:hint="default"/>
      </w:rPr>
    </w:lvl>
    <w:lvl w:ilvl="2" w:tplc="04090005" w:tentative="1">
      <w:start w:val="1"/>
      <w:numFmt w:val="bullet"/>
      <w:lvlText w:val=""/>
      <w:lvlJc w:val="left"/>
      <w:pPr>
        <w:ind w:left="2910" w:hanging="360"/>
      </w:pPr>
      <w:rPr>
        <w:rFonts w:ascii="Wingdings" w:hAnsi="Wingdings" w:hint="default"/>
      </w:rPr>
    </w:lvl>
    <w:lvl w:ilvl="3" w:tplc="04090001" w:tentative="1">
      <w:start w:val="1"/>
      <w:numFmt w:val="bullet"/>
      <w:lvlText w:val=""/>
      <w:lvlJc w:val="left"/>
      <w:pPr>
        <w:ind w:left="3630" w:hanging="360"/>
      </w:pPr>
      <w:rPr>
        <w:rFonts w:ascii="Symbol" w:hAnsi="Symbol" w:hint="default"/>
      </w:rPr>
    </w:lvl>
    <w:lvl w:ilvl="4" w:tplc="04090003" w:tentative="1">
      <w:start w:val="1"/>
      <w:numFmt w:val="bullet"/>
      <w:lvlText w:val="o"/>
      <w:lvlJc w:val="left"/>
      <w:pPr>
        <w:ind w:left="4350" w:hanging="360"/>
      </w:pPr>
      <w:rPr>
        <w:rFonts w:ascii="Courier New" w:hAnsi="Courier New" w:cs="Courier New" w:hint="default"/>
      </w:rPr>
    </w:lvl>
    <w:lvl w:ilvl="5" w:tplc="04090005" w:tentative="1">
      <w:start w:val="1"/>
      <w:numFmt w:val="bullet"/>
      <w:lvlText w:val=""/>
      <w:lvlJc w:val="left"/>
      <w:pPr>
        <w:ind w:left="5070" w:hanging="360"/>
      </w:pPr>
      <w:rPr>
        <w:rFonts w:ascii="Wingdings" w:hAnsi="Wingdings" w:hint="default"/>
      </w:rPr>
    </w:lvl>
    <w:lvl w:ilvl="6" w:tplc="04090001" w:tentative="1">
      <w:start w:val="1"/>
      <w:numFmt w:val="bullet"/>
      <w:lvlText w:val=""/>
      <w:lvlJc w:val="left"/>
      <w:pPr>
        <w:ind w:left="5790" w:hanging="360"/>
      </w:pPr>
      <w:rPr>
        <w:rFonts w:ascii="Symbol" w:hAnsi="Symbol" w:hint="default"/>
      </w:rPr>
    </w:lvl>
    <w:lvl w:ilvl="7" w:tplc="04090003" w:tentative="1">
      <w:start w:val="1"/>
      <w:numFmt w:val="bullet"/>
      <w:lvlText w:val="o"/>
      <w:lvlJc w:val="left"/>
      <w:pPr>
        <w:ind w:left="6510" w:hanging="360"/>
      </w:pPr>
      <w:rPr>
        <w:rFonts w:ascii="Courier New" w:hAnsi="Courier New" w:cs="Courier New" w:hint="default"/>
      </w:rPr>
    </w:lvl>
    <w:lvl w:ilvl="8" w:tplc="04090005" w:tentative="1">
      <w:start w:val="1"/>
      <w:numFmt w:val="bullet"/>
      <w:lvlText w:val=""/>
      <w:lvlJc w:val="left"/>
      <w:pPr>
        <w:ind w:left="7230"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2E25"/>
    <w:rsid w:val="002271B9"/>
    <w:rsid w:val="0024699E"/>
    <w:rsid w:val="00295D3C"/>
    <w:rsid w:val="003F3C37"/>
    <w:rsid w:val="00462859"/>
    <w:rsid w:val="004E6A97"/>
    <w:rsid w:val="00626CC6"/>
    <w:rsid w:val="006834D5"/>
    <w:rsid w:val="00733816"/>
    <w:rsid w:val="007C226E"/>
    <w:rsid w:val="007E6C2C"/>
    <w:rsid w:val="007F74F0"/>
    <w:rsid w:val="008732FE"/>
    <w:rsid w:val="008C214D"/>
    <w:rsid w:val="0093100F"/>
    <w:rsid w:val="009F59F6"/>
    <w:rsid w:val="00A70DFE"/>
    <w:rsid w:val="00A72E25"/>
    <w:rsid w:val="00A86D43"/>
    <w:rsid w:val="00AD1807"/>
    <w:rsid w:val="00AD2BD7"/>
    <w:rsid w:val="00AD42AE"/>
    <w:rsid w:val="00B01F6E"/>
    <w:rsid w:val="00C42994"/>
    <w:rsid w:val="00C815B1"/>
    <w:rsid w:val="00D06658"/>
    <w:rsid w:val="00D11F07"/>
    <w:rsid w:val="00DB45E6"/>
    <w:rsid w:val="00DB7C55"/>
    <w:rsid w:val="00DD57DB"/>
    <w:rsid w:val="00DE632F"/>
    <w:rsid w:val="00E7339E"/>
    <w:rsid w:val="00ED1135"/>
    <w:rsid w:val="00F339D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60D74DF-5077-4FF5-87FD-159E55D0C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7C55"/>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21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055E44E-4F27-488F-85B1-434D1F45B9E4}"/>
</file>

<file path=customXml/itemProps2.xml><?xml version="1.0" encoding="utf-8"?>
<ds:datastoreItem xmlns:ds="http://schemas.openxmlformats.org/officeDocument/2006/customXml" ds:itemID="{EF553F17-8F28-4969-BFA5-F5FD4D598104}"/>
</file>

<file path=customXml/itemProps3.xml><?xml version="1.0" encoding="utf-8"?>
<ds:datastoreItem xmlns:ds="http://schemas.openxmlformats.org/officeDocument/2006/customXml" ds:itemID="{20EC64BD-846F-47A9-BBBF-161CDDEC958D}"/>
</file>

<file path=docProps/app.xml><?xml version="1.0" encoding="utf-8"?>
<Properties xmlns="http://schemas.openxmlformats.org/officeDocument/2006/extended-properties" xmlns:vt="http://schemas.openxmlformats.org/officeDocument/2006/docPropsVTypes">
  <Template>Normal</Template>
  <TotalTime>0</TotalTime>
  <Pages>7</Pages>
  <Words>1713</Words>
  <Characters>8565</Characters>
  <Application>Microsoft Office Word</Application>
  <DocSecurity>0</DocSecurity>
  <Lines>71</Lines>
  <Paragraphs>20</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10258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Danny Gigi</cp:lastModifiedBy>
  <cp:revision>2</cp:revision>
  <dcterms:created xsi:type="dcterms:W3CDTF">2017-07-12T10:50:00Z</dcterms:created>
  <dcterms:modified xsi:type="dcterms:W3CDTF">2017-07-12T10:50:00Z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2019696</vt:r8>
  </property>
</Properties>
</file>