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6EDF" w:rsidRPr="000D32D6" w:rsidRDefault="00896EDF" w:rsidP="00896EDF">
      <w:pPr>
        <w:spacing w:after="0" w:line="240" w:lineRule="auto"/>
        <w:ind w:left="6480"/>
        <w:jc w:val="center"/>
        <w:rPr>
          <w:rFonts w:cs="David"/>
          <w:sz w:val="24"/>
          <w:szCs w:val="24"/>
          <w:rtl/>
        </w:rPr>
      </w:pPr>
      <w:bookmarkStart w:id="0" w:name="LGS_Subject"/>
      <w:bookmarkStart w:id="1" w:name="_GoBack"/>
      <w:bookmarkEnd w:id="1"/>
      <w:r>
        <w:rPr>
          <w:rFonts w:cs="David" w:hint="cs"/>
          <w:sz w:val="24"/>
          <w:szCs w:val="24"/>
          <w:rtl/>
        </w:rPr>
        <w:t>כ"ד</w:t>
      </w:r>
      <w:r w:rsidRPr="000D32D6">
        <w:rPr>
          <w:rFonts w:cs="David" w:hint="cs"/>
          <w:sz w:val="24"/>
          <w:szCs w:val="24"/>
          <w:rtl/>
        </w:rPr>
        <w:t xml:space="preserve"> בתמוז  התשע"ז</w:t>
      </w:r>
    </w:p>
    <w:p w:rsidR="00896EDF" w:rsidRPr="000D32D6" w:rsidRDefault="00896EDF" w:rsidP="00896EDF">
      <w:pPr>
        <w:spacing w:after="0" w:line="240" w:lineRule="auto"/>
        <w:ind w:firstLine="720"/>
        <w:jc w:val="both"/>
        <w:rPr>
          <w:rFonts w:cs="David"/>
          <w:sz w:val="24"/>
          <w:szCs w:val="24"/>
          <w:rtl/>
        </w:rPr>
      </w:pPr>
      <w:r>
        <w:rPr>
          <w:rFonts w:cs="David" w:hint="cs"/>
          <w:sz w:val="24"/>
          <w:szCs w:val="24"/>
          <w:rtl/>
        </w:rPr>
        <w:t xml:space="preserve">   </w:t>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r>
      <w:r>
        <w:rPr>
          <w:rFonts w:cs="David" w:hint="cs"/>
          <w:sz w:val="24"/>
          <w:szCs w:val="24"/>
          <w:rtl/>
        </w:rPr>
        <w:tab/>
        <w:t xml:space="preserve">   18</w:t>
      </w:r>
      <w:r w:rsidRPr="000D32D6">
        <w:rPr>
          <w:rFonts w:cs="David" w:hint="cs"/>
          <w:sz w:val="24"/>
          <w:szCs w:val="24"/>
          <w:rtl/>
        </w:rPr>
        <w:t xml:space="preserve">    ביולי     2017</w:t>
      </w:r>
    </w:p>
    <w:p w:rsidR="00896EDF" w:rsidRPr="000D32D6" w:rsidRDefault="00896EDF" w:rsidP="00896EDF">
      <w:pPr>
        <w:spacing w:after="0" w:line="240" w:lineRule="auto"/>
        <w:jc w:val="both"/>
        <w:rPr>
          <w:rFonts w:cs="David"/>
          <w:sz w:val="24"/>
          <w:szCs w:val="24"/>
          <w:rtl/>
        </w:rPr>
      </w:pPr>
    </w:p>
    <w:p w:rsidR="00896EDF" w:rsidRPr="000D32D6" w:rsidRDefault="00896EDF" w:rsidP="00896EDF">
      <w:pPr>
        <w:spacing w:after="0" w:line="240" w:lineRule="auto"/>
        <w:jc w:val="both"/>
        <w:rPr>
          <w:rFonts w:cs="David"/>
          <w:sz w:val="24"/>
          <w:szCs w:val="24"/>
          <w:rtl/>
        </w:rPr>
      </w:pPr>
    </w:p>
    <w:p w:rsidR="00896EDF" w:rsidRPr="000D32D6" w:rsidRDefault="00896EDF" w:rsidP="00896EDF">
      <w:pPr>
        <w:spacing w:after="0" w:line="240" w:lineRule="auto"/>
        <w:jc w:val="both"/>
        <w:rPr>
          <w:rFonts w:cs="David"/>
          <w:sz w:val="24"/>
          <w:szCs w:val="24"/>
          <w:rtl/>
        </w:rPr>
      </w:pPr>
      <w:r w:rsidRPr="000D32D6">
        <w:rPr>
          <w:rFonts w:cs="David" w:hint="cs"/>
          <w:sz w:val="24"/>
          <w:szCs w:val="24"/>
          <w:rtl/>
        </w:rPr>
        <w:t>אל:</w:t>
      </w:r>
      <w:r>
        <w:rPr>
          <w:rFonts w:cs="David" w:hint="cs"/>
          <w:sz w:val="24"/>
          <w:szCs w:val="24"/>
          <w:rtl/>
        </w:rPr>
        <w:t xml:space="preserve"> </w:t>
      </w:r>
      <w:r w:rsidRPr="000D32D6">
        <w:rPr>
          <w:rFonts w:cs="David" w:hint="cs"/>
          <w:sz w:val="24"/>
          <w:szCs w:val="24"/>
          <w:rtl/>
        </w:rPr>
        <w:t xml:space="preserve"> חברי הוועדה המשותפת לדיון בהצעת חוק הכשרות המשפטית והאפוטרופסות (תיקון </w:t>
      </w:r>
      <w:r w:rsidRPr="000D32D6">
        <w:rPr>
          <w:rFonts w:cs="David"/>
          <w:sz w:val="24"/>
          <w:szCs w:val="24"/>
          <w:rtl/>
        </w:rPr>
        <w:t>–</w:t>
      </w:r>
      <w:r w:rsidRPr="000D32D6">
        <w:rPr>
          <w:rFonts w:cs="David" w:hint="cs"/>
          <w:sz w:val="24"/>
          <w:szCs w:val="24"/>
          <w:rtl/>
        </w:rPr>
        <w:t xml:space="preserve"> שינוי </w:t>
      </w:r>
      <w:r>
        <w:rPr>
          <w:rFonts w:cs="David" w:hint="cs"/>
          <w:sz w:val="24"/>
          <w:szCs w:val="24"/>
          <w:rtl/>
        </w:rPr>
        <w:t xml:space="preserve"> </w:t>
      </w:r>
      <w:r w:rsidRPr="000D32D6">
        <w:rPr>
          <w:rFonts w:cs="David" w:hint="cs"/>
          <w:sz w:val="24"/>
          <w:szCs w:val="24"/>
          <w:rtl/>
        </w:rPr>
        <w:t>חזקת הגיל הרך), התשע"ז</w:t>
      </w:r>
      <w:r w:rsidRPr="000D32D6">
        <w:rPr>
          <w:rFonts w:cs="David" w:hint="eastAsia"/>
          <w:sz w:val="24"/>
          <w:szCs w:val="24"/>
          <w:rtl/>
        </w:rPr>
        <w:t>–</w:t>
      </w:r>
      <w:r w:rsidRPr="000D32D6">
        <w:rPr>
          <w:rFonts w:cs="David" w:hint="cs"/>
          <w:sz w:val="24"/>
          <w:szCs w:val="24"/>
          <w:rtl/>
        </w:rPr>
        <w:t xml:space="preserve">2017 </w:t>
      </w:r>
    </w:p>
    <w:p w:rsidR="00896EDF" w:rsidRPr="000D32D6" w:rsidRDefault="00896EDF" w:rsidP="00896EDF">
      <w:pPr>
        <w:spacing w:after="0" w:line="240" w:lineRule="auto"/>
        <w:jc w:val="both"/>
        <w:rPr>
          <w:rFonts w:cs="David"/>
          <w:sz w:val="24"/>
          <w:szCs w:val="24"/>
          <w:rtl/>
        </w:rPr>
      </w:pPr>
    </w:p>
    <w:p w:rsidR="00896EDF" w:rsidRPr="000D32D6" w:rsidRDefault="00896EDF" w:rsidP="00896EDF">
      <w:pPr>
        <w:spacing w:after="0" w:line="240" w:lineRule="auto"/>
        <w:jc w:val="both"/>
        <w:rPr>
          <w:rFonts w:cs="David"/>
          <w:sz w:val="24"/>
          <w:szCs w:val="24"/>
          <w:rtl/>
        </w:rPr>
      </w:pPr>
      <w:r w:rsidRPr="000D32D6">
        <w:rPr>
          <w:rFonts w:cs="David" w:hint="cs"/>
          <w:sz w:val="24"/>
          <w:szCs w:val="24"/>
          <w:rtl/>
        </w:rPr>
        <w:t>מאת: הייעוץ המשפטי לוועדה</w:t>
      </w:r>
    </w:p>
    <w:p w:rsidR="00896EDF" w:rsidRPr="000D32D6" w:rsidRDefault="00896EDF" w:rsidP="00896EDF">
      <w:pPr>
        <w:spacing w:after="0" w:line="240" w:lineRule="auto"/>
        <w:jc w:val="both"/>
        <w:rPr>
          <w:rFonts w:cs="David"/>
          <w:sz w:val="24"/>
          <w:szCs w:val="24"/>
          <w:rtl/>
        </w:rPr>
      </w:pPr>
    </w:p>
    <w:p w:rsidR="00896EDF" w:rsidRPr="000D32D6" w:rsidRDefault="00896EDF" w:rsidP="00896EDF">
      <w:pPr>
        <w:spacing w:after="0" w:line="240" w:lineRule="auto"/>
        <w:jc w:val="center"/>
        <w:rPr>
          <w:rFonts w:cs="David"/>
          <w:b/>
          <w:bCs/>
          <w:sz w:val="24"/>
          <w:szCs w:val="24"/>
          <w:u w:val="single"/>
          <w:rtl/>
        </w:rPr>
      </w:pPr>
      <w:r w:rsidRPr="000D32D6">
        <w:rPr>
          <w:rFonts w:cs="David" w:hint="cs"/>
          <w:b/>
          <w:bCs/>
          <w:sz w:val="24"/>
          <w:szCs w:val="24"/>
          <w:u w:val="single"/>
          <w:rtl/>
        </w:rPr>
        <w:t xml:space="preserve">מסמך רקע לקראת דיון הוועדה ביום 13.7.17 </w:t>
      </w:r>
      <w:bookmarkEnd w:id="0"/>
      <w:r w:rsidRPr="000D32D6">
        <w:rPr>
          <w:rFonts w:cs="David" w:hint="cs"/>
          <w:b/>
          <w:bCs/>
          <w:sz w:val="24"/>
          <w:szCs w:val="24"/>
          <w:u w:val="single"/>
          <w:rtl/>
        </w:rPr>
        <w:t xml:space="preserve">בהצעת חוק הכשרות המשפטית והאפוטרופסות (תיקון </w:t>
      </w:r>
      <w:r w:rsidRPr="000D32D6">
        <w:rPr>
          <w:rFonts w:cs="David"/>
          <w:b/>
          <w:bCs/>
          <w:sz w:val="24"/>
          <w:szCs w:val="24"/>
          <w:u w:val="single"/>
          <w:rtl/>
        </w:rPr>
        <w:t>–</w:t>
      </w:r>
      <w:r w:rsidRPr="000D32D6">
        <w:rPr>
          <w:rFonts w:cs="David" w:hint="cs"/>
          <w:b/>
          <w:bCs/>
          <w:sz w:val="24"/>
          <w:szCs w:val="24"/>
          <w:u w:val="single"/>
          <w:rtl/>
        </w:rPr>
        <w:t xml:space="preserve"> שינוי חזקת הגיל הרך), התשע"ז</w:t>
      </w:r>
      <w:r w:rsidRPr="000D32D6">
        <w:rPr>
          <w:rFonts w:cs="David" w:hint="eastAsia"/>
          <w:b/>
          <w:bCs/>
          <w:sz w:val="24"/>
          <w:szCs w:val="24"/>
          <w:u w:val="single"/>
          <w:rtl/>
        </w:rPr>
        <w:t>–</w:t>
      </w:r>
      <w:r w:rsidRPr="000D32D6">
        <w:rPr>
          <w:rFonts w:cs="David" w:hint="cs"/>
          <w:b/>
          <w:bCs/>
          <w:sz w:val="24"/>
          <w:szCs w:val="24"/>
          <w:u w:val="single"/>
          <w:rtl/>
        </w:rPr>
        <w:t>2017</w:t>
      </w:r>
    </w:p>
    <w:p w:rsidR="00896EDF" w:rsidRPr="000D32D6" w:rsidRDefault="00896EDF" w:rsidP="00896EDF">
      <w:pPr>
        <w:spacing w:before="120" w:after="0" w:line="360" w:lineRule="auto"/>
        <w:jc w:val="center"/>
        <w:rPr>
          <w:rFonts w:cs="David"/>
          <w:b/>
          <w:bCs/>
          <w:u w:val="single"/>
          <w:rtl/>
        </w:rPr>
      </w:pPr>
      <w:r w:rsidRPr="000D32D6">
        <w:rPr>
          <w:rFonts w:cs="David" w:hint="cs"/>
          <w:b/>
          <w:bCs/>
          <w:u w:val="single"/>
          <w:rtl/>
        </w:rPr>
        <w:t xml:space="preserve"> (הצעת החוק של חה"כ יואב קיש פ 4212/20)</w:t>
      </w:r>
    </w:p>
    <w:p w:rsidR="00896EDF" w:rsidRPr="000D32D6" w:rsidRDefault="00896EDF" w:rsidP="00896EDF">
      <w:pPr>
        <w:spacing w:before="120" w:after="0" w:line="360" w:lineRule="auto"/>
        <w:jc w:val="both"/>
        <w:rPr>
          <w:rFonts w:ascii="David" w:hAnsi="David" w:cs="David"/>
          <w:b/>
          <w:bCs/>
          <w:sz w:val="24"/>
          <w:szCs w:val="24"/>
          <w:rtl/>
        </w:rPr>
      </w:pPr>
      <w:r w:rsidRPr="000D32D6">
        <w:rPr>
          <w:rFonts w:ascii="David" w:hAnsi="David" w:cs="David" w:hint="cs"/>
          <w:b/>
          <w:bCs/>
          <w:sz w:val="24"/>
          <w:szCs w:val="24"/>
          <w:rtl/>
        </w:rPr>
        <w:t xml:space="preserve">רקע </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 xml:space="preserve">חוק הכשרות המשפטית והאפוטרופסות, התשכ"ב-1962 (להלן </w:t>
      </w:r>
      <w:r w:rsidRPr="000D32D6">
        <w:rPr>
          <w:rFonts w:cs="David"/>
          <w:sz w:val="24"/>
          <w:szCs w:val="24"/>
          <w:rtl/>
        </w:rPr>
        <w:t>–</w:t>
      </w:r>
      <w:r w:rsidRPr="000D32D6">
        <w:rPr>
          <w:rFonts w:cs="David" w:hint="cs"/>
          <w:sz w:val="24"/>
          <w:szCs w:val="24"/>
          <w:rtl/>
        </w:rPr>
        <w:t xml:space="preserve"> החוק) מסדיר את היחסים המשפטיים בין הורים לילדיהם. חוק זה קובע את מעמדם של ההורים כאפוטרופסים טבעיים של ילדיהם הקטינים. עוד קובע החוק שעל ההורים לפעול לטובת הילד וכי בכל דבר הנתון לאפוטרופסותם חייבים שני ההורים לפעול תוך הסכמה. </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 xml:space="preserve">במקרה של פרידה, קובע החוק, בין היתר,  כי ההורים רשאים להסכים ביניהם מי יחזיק בקטין ומה יהיו זכויות ההורה השני, ועל מי מהם תהיה האפוטרופסות לקטין. הסכם כאמור טעון אישור בית המשפט שיאשרו רק לאחר שנוכח שהוא לטובת הקטין. סעיף 24 לחוק קובע כי במקרה בו לא באו ההורים לידי הסכמה, או שההסכם לא בוצע, רשאי בית המשפט לקבוע את אותם עניינים כפי שייראה לו לטובת הקטין. ואולם, לעניין ילדים עד גיל 6, קבוע הסעיף, כי הם יהיו אצל אמם, אם אין סיבות מיוחדות להורות אחרת (להלן </w:t>
      </w:r>
      <w:r w:rsidRPr="000D32D6">
        <w:rPr>
          <w:rFonts w:cs="David"/>
          <w:sz w:val="24"/>
          <w:szCs w:val="24"/>
          <w:rtl/>
        </w:rPr>
        <w:t>–</w:t>
      </w:r>
      <w:r w:rsidRPr="000D32D6">
        <w:rPr>
          <w:rFonts w:cs="David" w:hint="cs"/>
          <w:sz w:val="24"/>
          <w:szCs w:val="24"/>
          <w:rtl/>
        </w:rPr>
        <w:t xml:space="preserve"> חזקת הגיל הרך</w:t>
      </w:r>
      <w:r>
        <w:rPr>
          <w:rFonts w:cs="David" w:hint="cs"/>
          <w:sz w:val="24"/>
          <w:szCs w:val="24"/>
          <w:rtl/>
        </w:rPr>
        <w:t xml:space="preserve"> או החזקה</w:t>
      </w:r>
      <w:r w:rsidRPr="000D32D6">
        <w:rPr>
          <w:rFonts w:cs="David" w:hint="cs"/>
          <w:sz w:val="24"/>
          <w:szCs w:val="24"/>
          <w:rtl/>
        </w:rPr>
        <w:t xml:space="preserve">). </w:t>
      </w:r>
    </w:p>
    <w:tbl>
      <w:tblPr>
        <w:tblStyle w:val="a7"/>
        <w:bidiVisual/>
        <w:tblW w:w="0" w:type="auto"/>
        <w:tblLook w:val="04A0" w:firstRow="1" w:lastRow="0" w:firstColumn="1" w:lastColumn="0" w:noHBand="0" w:noVBand="1"/>
      </w:tblPr>
      <w:tblGrid>
        <w:gridCol w:w="8296"/>
      </w:tblGrid>
      <w:tr w:rsidR="00896EDF" w:rsidRPr="000D32D6" w:rsidTr="00B337A9">
        <w:tc>
          <w:tcPr>
            <w:tcW w:w="8296" w:type="dxa"/>
          </w:tcPr>
          <w:p w:rsidR="00896EDF" w:rsidRPr="000D32D6" w:rsidRDefault="00896EDF" w:rsidP="00B337A9">
            <w:pPr>
              <w:spacing w:before="120" w:line="360" w:lineRule="auto"/>
              <w:jc w:val="both"/>
              <w:rPr>
                <w:rStyle w:val="default"/>
                <w:rFonts w:cs="David"/>
                <w:b/>
                <w:bCs/>
                <w:sz w:val="22"/>
                <w:szCs w:val="22"/>
                <w:rtl/>
              </w:rPr>
            </w:pPr>
            <w:r w:rsidRPr="000D32D6">
              <w:rPr>
                <w:rStyle w:val="default"/>
                <w:rFonts w:cs="David" w:hint="cs"/>
                <w:b/>
                <w:bCs/>
                <w:sz w:val="22"/>
                <w:szCs w:val="22"/>
                <w:rtl/>
              </w:rPr>
              <w:t>"24. הסכם בין הורים החיים בנפרד</w:t>
            </w:r>
          </w:p>
          <w:p w:rsidR="00896EDF" w:rsidRPr="000D32D6" w:rsidRDefault="00896EDF" w:rsidP="00B337A9">
            <w:pPr>
              <w:spacing w:before="120" w:line="360" w:lineRule="auto"/>
              <w:jc w:val="both"/>
              <w:rPr>
                <w:rStyle w:val="default"/>
                <w:rFonts w:cs="David"/>
                <w:b/>
                <w:bCs/>
                <w:vanish/>
                <w:color w:val="FF0000"/>
                <w:sz w:val="22"/>
                <w:szCs w:val="22"/>
                <w:shd w:val="clear" w:color="auto" w:fill="FFFF99"/>
                <w:rtl/>
              </w:rPr>
            </w:pPr>
            <w:r w:rsidRPr="000D32D6">
              <w:rPr>
                <w:rStyle w:val="default"/>
                <w:rFonts w:cs="David"/>
                <w:b/>
                <w:bCs/>
                <w:sz w:val="22"/>
                <w:szCs w:val="22"/>
                <w:rtl/>
              </w:rPr>
              <w:t>הי</w:t>
            </w:r>
            <w:r w:rsidRPr="000D32D6">
              <w:rPr>
                <w:rStyle w:val="default"/>
                <w:rFonts w:cs="David" w:hint="cs"/>
                <w:b/>
                <w:bCs/>
                <w:sz w:val="22"/>
                <w:szCs w:val="22"/>
                <w:rtl/>
              </w:rPr>
              <w:t>ו הורי הקטין ח</w:t>
            </w:r>
            <w:r w:rsidRPr="000D32D6">
              <w:rPr>
                <w:rStyle w:val="default"/>
                <w:rFonts w:cs="David"/>
                <w:b/>
                <w:bCs/>
                <w:sz w:val="22"/>
                <w:szCs w:val="22"/>
                <w:rtl/>
              </w:rPr>
              <w:t>י</w:t>
            </w:r>
            <w:r w:rsidRPr="000D32D6">
              <w:rPr>
                <w:rStyle w:val="default"/>
                <w:rFonts w:cs="David" w:hint="cs"/>
                <w:b/>
                <w:bCs/>
                <w:sz w:val="22"/>
                <w:szCs w:val="22"/>
                <w:rtl/>
              </w:rPr>
              <w:t xml:space="preserve">ים בנפרד </w:t>
            </w:r>
            <w:r w:rsidRPr="000D32D6">
              <w:rPr>
                <w:rStyle w:val="default"/>
                <w:rFonts w:cs="David"/>
                <w:b/>
                <w:bCs/>
                <w:sz w:val="22"/>
                <w:szCs w:val="22"/>
                <w:rtl/>
              </w:rPr>
              <w:t xml:space="preserve">– </w:t>
            </w:r>
            <w:r w:rsidRPr="000D32D6">
              <w:rPr>
                <w:rStyle w:val="default"/>
                <w:rFonts w:cs="David" w:hint="cs"/>
                <w:b/>
                <w:bCs/>
                <w:sz w:val="22"/>
                <w:szCs w:val="22"/>
                <w:rtl/>
              </w:rPr>
              <w:t xml:space="preserve">בין שנישואיהם אוינו, הותרו או הופקעו בין שעדיין קיימים ובין שלא נישאו </w:t>
            </w:r>
            <w:r w:rsidRPr="000D32D6">
              <w:rPr>
                <w:rStyle w:val="default"/>
                <w:rFonts w:cs="David"/>
                <w:b/>
                <w:bCs/>
                <w:sz w:val="22"/>
                <w:szCs w:val="22"/>
                <w:rtl/>
              </w:rPr>
              <w:t xml:space="preserve">– </w:t>
            </w:r>
            <w:r w:rsidRPr="000D32D6">
              <w:rPr>
                <w:rStyle w:val="default"/>
                <w:rFonts w:cs="David" w:hint="cs"/>
                <w:b/>
                <w:bCs/>
                <w:sz w:val="22"/>
                <w:szCs w:val="22"/>
                <w:rtl/>
              </w:rPr>
              <w:t>רשאים הם להסכים ביניהם על מי מהם תהיה האפוטרופסות לקטין, כולה או מקצתה, מי מהם יחזיק בקטין, ומה יהיו זכויות ההורה</w:t>
            </w:r>
            <w:r w:rsidRPr="000D32D6">
              <w:rPr>
                <w:rStyle w:val="default"/>
                <w:rFonts w:cs="David"/>
                <w:b/>
                <w:bCs/>
                <w:sz w:val="22"/>
                <w:szCs w:val="22"/>
                <w:rtl/>
              </w:rPr>
              <w:t xml:space="preserve"> ש</w:t>
            </w:r>
            <w:r w:rsidRPr="000D32D6">
              <w:rPr>
                <w:rStyle w:val="default"/>
                <w:rFonts w:cs="David" w:hint="cs"/>
                <w:b/>
                <w:bCs/>
                <w:sz w:val="22"/>
                <w:szCs w:val="22"/>
                <w:rtl/>
              </w:rPr>
              <w:t>לא יחזיק בקטין לבוא עמו במגע; הסכם כזה טעון אישור בית המשפט והוא יאשרו לאחר שנוכח כי ההסכם הוא לטובת הקטין, ומשאושר, ד</w:t>
            </w:r>
            <w:r w:rsidRPr="000D32D6">
              <w:rPr>
                <w:rStyle w:val="default"/>
                <w:rFonts w:cs="David"/>
                <w:b/>
                <w:bCs/>
                <w:sz w:val="22"/>
                <w:szCs w:val="22"/>
                <w:rtl/>
              </w:rPr>
              <w:t>י</w:t>
            </w:r>
            <w:r w:rsidRPr="000D32D6">
              <w:rPr>
                <w:rStyle w:val="default"/>
                <w:rFonts w:cs="David" w:hint="cs"/>
                <w:b/>
                <w:bCs/>
                <w:sz w:val="22"/>
                <w:szCs w:val="22"/>
                <w:rtl/>
              </w:rPr>
              <w:t xml:space="preserve">נו </w:t>
            </w:r>
            <w:r w:rsidRPr="000D32D6">
              <w:rPr>
                <w:rStyle w:val="default"/>
                <w:rFonts w:cs="David"/>
                <w:b/>
                <w:bCs/>
                <w:sz w:val="22"/>
                <w:szCs w:val="22"/>
                <w:rtl/>
              </w:rPr>
              <w:t xml:space="preserve">– </w:t>
            </w:r>
            <w:r w:rsidRPr="000D32D6">
              <w:rPr>
                <w:rStyle w:val="default"/>
                <w:rFonts w:cs="David" w:hint="cs"/>
                <w:b/>
                <w:bCs/>
                <w:sz w:val="22"/>
                <w:szCs w:val="22"/>
                <w:rtl/>
              </w:rPr>
              <w:t xml:space="preserve">לכל ענין זולת ערעור </w:t>
            </w:r>
            <w:r w:rsidRPr="000D32D6">
              <w:rPr>
                <w:rStyle w:val="default"/>
                <w:rFonts w:cs="David"/>
                <w:b/>
                <w:bCs/>
                <w:sz w:val="22"/>
                <w:szCs w:val="22"/>
                <w:rtl/>
              </w:rPr>
              <w:t xml:space="preserve">– </w:t>
            </w:r>
            <w:r w:rsidRPr="000D32D6">
              <w:rPr>
                <w:rStyle w:val="default"/>
                <w:rFonts w:cs="David" w:hint="cs"/>
                <w:b/>
                <w:bCs/>
                <w:sz w:val="22"/>
                <w:szCs w:val="22"/>
                <w:rtl/>
              </w:rPr>
              <w:t>כדין החלטת בית המשפט.</w:t>
            </w:r>
            <w:bookmarkStart w:id="2" w:name="Rov93"/>
            <w:r w:rsidRPr="000D32D6">
              <w:rPr>
                <w:rStyle w:val="default"/>
                <w:rFonts w:cs="David" w:hint="cs"/>
                <w:b/>
                <w:bCs/>
                <w:vanish/>
                <w:color w:val="FF0000"/>
                <w:sz w:val="22"/>
                <w:szCs w:val="22"/>
                <w:shd w:val="clear" w:color="auto" w:fill="FFFF99"/>
                <w:rtl/>
              </w:rPr>
              <w:t>מיום 3.4.2005</w:t>
            </w:r>
          </w:p>
          <w:p w:rsidR="00896EDF" w:rsidRPr="000D32D6" w:rsidRDefault="00896EDF" w:rsidP="00B337A9">
            <w:pPr>
              <w:pStyle w:val="P00"/>
              <w:spacing w:before="120" w:line="360" w:lineRule="auto"/>
              <w:ind w:left="0" w:right="1134"/>
              <w:rPr>
                <w:rStyle w:val="default"/>
                <w:rFonts w:cs="David"/>
                <w:b/>
                <w:bCs/>
                <w:vanish/>
                <w:sz w:val="22"/>
                <w:szCs w:val="22"/>
                <w:shd w:val="clear" w:color="auto" w:fill="FFFF99"/>
                <w:rtl/>
              </w:rPr>
            </w:pPr>
            <w:r w:rsidRPr="000D32D6">
              <w:rPr>
                <w:rStyle w:val="default"/>
                <w:rFonts w:cs="David" w:hint="cs"/>
                <w:b/>
                <w:bCs/>
                <w:vanish/>
                <w:sz w:val="22"/>
                <w:szCs w:val="22"/>
                <w:shd w:val="clear" w:color="auto" w:fill="FFFF99"/>
                <w:rtl/>
              </w:rPr>
              <w:t>תיקון מס' 13</w:t>
            </w:r>
          </w:p>
          <w:p w:rsidR="00896EDF" w:rsidRPr="000D32D6" w:rsidRDefault="00D1767E" w:rsidP="00B337A9">
            <w:pPr>
              <w:pStyle w:val="P00"/>
              <w:spacing w:before="120" w:line="360" w:lineRule="auto"/>
              <w:ind w:left="0" w:right="1134"/>
              <w:rPr>
                <w:rStyle w:val="default"/>
                <w:rFonts w:cs="David"/>
                <w:b/>
                <w:bCs/>
                <w:vanish/>
                <w:sz w:val="22"/>
                <w:szCs w:val="22"/>
                <w:shd w:val="clear" w:color="auto" w:fill="FFFF99"/>
                <w:rtl/>
              </w:rPr>
            </w:pPr>
            <w:hyperlink r:id="rId8" w:history="1">
              <w:r w:rsidR="00896EDF" w:rsidRPr="000D32D6">
                <w:rPr>
                  <w:rStyle w:val="Hyperlink"/>
                  <w:rFonts w:cs="David" w:hint="cs"/>
                  <w:b/>
                  <w:bCs/>
                  <w:vanish/>
                  <w:sz w:val="22"/>
                  <w:szCs w:val="22"/>
                  <w:shd w:val="clear" w:color="auto" w:fill="FFFF99"/>
                  <w:rtl/>
                </w:rPr>
                <w:t>ס"ח תשס"ה מס 1993</w:t>
              </w:r>
            </w:hyperlink>
            <w:r w:rsidR="00896EDF" w:rsidRPr="000D32D6">
              <w:rPr>
                <w:rStyle w:val="default"/>
                <w:rFonts w:cs="David" w:hint="cs"/>
                <w:b/>
                <w:bCs/>
                <w:vanish/>
                <w:sz w:val="22"/>
                <w:szCs w:val="22"/>
                <w:shd w:val="clear" w:color="auto" w:fill="FFFF99"/>
                <w:rtl/>
              </w:rPr>
              <w:t xml:space="preserve"> מיום 3.4.2005 עמ' 274 (</w:t>
            </w:r>
            <w:hyperlink r:id="rId9" w:history="1">
              <w:r w:rsidR="00896EDF" w:rsidRPr="000D32D6">
                <w:rPr>
                  <w:rStyle w:val="Hyperlink"/>
                  <w:rFonts w:cs="David" w:hint="cs"/>
                  <w:b/>
                  <w:bCs/>
                  <w:vanish/>
                  <w:sz w:val="22"/>
                  <w:szCs w:val="22"/>
                  <w:shd w:val="clear" w:color="auto" w:fill="FFFF99"/>
                  <w:rtl/>
                </w:rPr>
                <w:t>ה"ח 63</w:t>
              </w:r>
            </w:hyperlink>
            <w:r w:rsidR="00896EDF" w:rsidRPr="000D32D6">
              <w:rPr>
                <w:rStyle w:val="default"/>
                <w:rFonts w:cs="David" w:hint="cs"/>
                <w:b/>
                <w:bCs/>
                <w:vanish/>
                <w:sz w:val="22"/>
                <w:szCs w:val="22"/>
                <w:shd w:val="clear" w:color="auto" w:fill="FFFF99"/>
                <w:rtl/>
              </w:rPr>
              <w:t>)</w:t>
            </w:r>
          </w:p>
          <w:p w:rsidR="00896EDF" w:rsidRPr="000D32D6" w:rsidRDefault="00896EDF" w:rsidP="00B337A9">
            <w:pPr>
              <w:pStyle w:val="P00"/>
              <w:spacing w:before="120" w:line="360" w:lineRule="auto"/>
              <w:ind w:left="0" w:right="1134"/>
              <w:rPr>
                <w:rStyle w:val="default"/>
                <w:rFonts w:cs="David"/>
                <w:b/>
                <w:bCs/>
                <w:sz w:val="22"/>
                <w:szCs w:val="22"/>
                <w:rtl/>
              </w:rPr>
            </w:pPr>
            <w:r w:rsidRPr="000D32D6">
              <w:rPr>
                <w:rStyle w:val="big-number"/>
                <w:rFonts w:cs="David" w:hint="cs"/>
                <w:b/>
                <w:bCs/>
                <w:vanish/>
                <w:sz w:val="22"/>
                <w:szCs w:val="22"/>
                <w:shd w:val="clear" w:color="auto" w:fill="FFFF99"/>
                <w:rtl/>
              </w:rPr>
              <w:t xml:space="preserve"> </w:t>
            </w:r>
            <w:r w:rsidRPr="000D32D6">
              <w:rPr>
                <w:rStyle w:val="big-number"/>
                <w:rFonts w:cs="David"/>
                <w:b/>
                <w:bCs/>
                <w:vanish/>
                <w:sz w:val="22"/>
                <w:szCs w:val="22"/>
                <w:shd w:val="clear" w:color="auto" w:fill="FFFF99"/>
                <w:rtl/>
              </w:rPr>
              <w:t>24.</w:t>
            </w:r>
            <w:r w:rsidRPr="000D32D6">
              <w:rPr>
                <w:rStyle w:val="big-number"/>
                <w:rFonts w:cs="David"/>
                <w:b/>
                <w:bCs/>
                <w:vanish/>
                <w:sz w:val="22"/>
                <w:szCs w:val="22"/>
                <w:shd w:val="clear" w:color="auto" w:fill="FFFF99"/>
                <w:rtl/>
              </w:rPr>
              <w:tab/>
            </w:r>
            <w:r w:rsidRPr="000D32D6">
              <w:rPr>
                <w:rStyle w:val="default"/>
                <w:rFonts w:cs="David"/>
                <w:b/>
                <w:bCs/>
                <w:vanish/>
                <w:sz w:val="22"/>
                <w:szCs w:val="22"/>
                <w:shd w:val="clear" w:color="auto" w:fill="FFFF99"/>
                <w:rtl/>
              </w:rPr>
              <w:t>הי</w:t>
            </w:r>
            <w:r w:rsidRPr="000D32D6">
              <w:rPr>
                <w:rStyle w:val="default"/>
                <w:rFonts w:cs="David" w:hint="cs"/>
                <w:b/>
                <w:bCs/>
                <w:vanish/>
                <w:sz w:val="22"/>
                <w:szCs w:val="22"/>
                <w:shd w:val="clear" w:color="auto" w:fill="FFFF99"/>
                <w:rtl/>
              </w:rPr>
              <w:t>ו הורי הקטין ח</w:t>
            </w:r>
            <w:r w:rsidRPr="000D32D6">
              <w:rPr>
                <w:rStyle w:val="default"/>
                <w:rFonts w:cs="David"/>
                <w:b/>
                <w:bCs/>
                <w:vanish/>
                <w:sz w:val="22"/>
                <w:szCs w:val="22"/>
                <w:shd w:val="clear" w:color="auto" w:fill="FFFF99"/>
                <w:rtl/>
              </w:rPr>
              <w:t>י</w:t>
            </w:r>
            <w:r w:rsidRPr="000D32D6">
              <w:rPr>
                <w:rStyle w:val="default"/>
                <w:rFonts w:cs="David" w:hint="cs"/>
                <w:b/>
                <w:bCs/>
                <w:vanish/>
                <w:sz w:val="22"/>
                <w:szCs w:val="22"/>
                <w:shd w:val="clear" w:color="auto" w:fill="FFFF99"/>
                <w:rtl/>
              </w:rPr>
              <w:t xml:space="preserve">ים בנפרד </w:t>
            </w:r>
            <w:r w:rsidRPr="000D32D6">
              <w:rPr>
                <w:rStyle w:val="default"/>
                <w:rFonts w:cs="David"/>
                <w:b/>
                <w:bCs/>
                <w:vanish/>
                <w:sz w:val="22"/>
                <w:szCs w:val="22"/>
                <w:shd w:val="clear" w:color="auto" w:fill="FFFF99"/>
                <w:rtl/>
              </w:rPr>
              <w:t xml:space="preserve">– </w:t>
            </w:r>
            <w:r w:rsidRPr="000D32D6">
              <w:rPr>
                <w:rStyle w:val="default"/>
                <w:rFonts w:cs="David" w:hint="cs"/>
                <w:b/>
                <w:bCs/>
                <w:vanish/>
                <w:sz w:val="22"/>
                <w:szCs w:val="22"/>
                <w:shd w:val="clear" w:color="auto" w:fill="FFFF99"/>
                <w:rtl/>
              </w:rPr>
              <w:t xml:space="preserve">בין שנישואיהם אוינו, הותרו או הופקעו </w:t>
            </w:r>
            <w:r w:rsidRPr="000D32D6">
              <w:rPr>
                <w:rStyle w:val="default"/>
                <w:rFonts w:cs="David" w:hint="cs"/>
                <w:b/>
                <w:bCs/>
                <w:strike/>
                <w:vanish/>
                <w:sz w:val="22"/>
                <w:szCs w:val="22"/>
                <w:shd w:val="clear" w:color="auto" w:fill="FFFF99"/>
                <w:rtl/>
              </w:rPr>
              <w:t>ובין שעדיין קיימים</w:t>
            </w:r>
            <w:r w:rsidRPr="000D32D6">
              <w:rPr>
                <w:rStyle w:val="default"/>
                <w:rFonts w:cs="David" w:hint="cs"/>
                <w:b/>
                <w:bCs/>
                <w:vanish/>
                <w:sz w:val="22"/>
                <w:szCs w:val="22"/>
                <w:shd w:val="clear" w:color="auto" w:fill="FFFF99"/>
                <w:rtl/>
              </w:rPr>
              <w:t xml:space="preserve"> </w:t>
            </w:r>
            <w:r w:rsidRPr="000D32D6">
              <w:rPr>
                <w:rStyle w:val="default"/>
                <w:rFonts w:cs="David" w:hint="cs"/>
                <w:b/>
                <w:bCs/>
                <w:vanish/>
                <w:sz w:val="22"/>
                <w:szCs w:val="22"/>
                <w:u w:val="single"/>
                <w:shd w:val="clear" w:color="auto" w:fill="FFFF99"/>
                <w:rtl/>
              </w:rPr>
              <w:t>בין שעדיין קיימים ובין שלא נישאו</w:t>
            </w:r>
            <w:r w:rsidRPr="000D32D6">
              <w:rPr>
                <w:rStyle w:val="default"/>
                <w:rFonts w:cs="David" w:hint="cs"/>
                <w:b/>
                <w:bCs/>
                <w:vanish/>
                <w:sz w:val="22"/>
                <w:szCs w:val="22"/>
                <w:shd w:val="clear" w:color="auto" w:fill="FFFF99"/>
                <w:rtl/>
              </w:rPr>
              <w:t xml:space="preserve"> </w:t>
            </w:r>
            <w:r w:rsidRPr="000D32D6">
              <w:rPr>
                <w:rStyle w:val="default"/>
                <w:rFonts w:cs="David"/>
                <w:b/>
                <w:bCs/>
                <w:vanish/>
                <w:sz w:val="22"/>
                <w:szCs w:val="22"/>
                <w:shd w:val="clear" w:color="auto" w:fill="FFFF99"/>
                <w:rtl/>
              </w:rPr>
              <w:t xml:space="preserve">– </w:t>
            </w:r>
            <w:r w:rsidRPr="000D32D6">
              <w:rPr>
                <w:rStyle w:val="default"/>
                <w:rFonts w:cs="David" w:hint="cs"/>
                <w:b/>
                <w:bCs/>
                <w:vanish/>
                <w:sz w:val="22"/>
                <w:szCs w:val="22"/>
                <w:shd w:val="clear" w:color="auto" w:fill="FFFF99"/>
                <w:rtl/>
              </w:rPr>
              <w:t>רשאים הם להסכים ביניהם על מי מהם תהיה האפוטרופסות לקטין, כולה או מקצתה, מי מהם יחזיק בקטין, ומה יהיו זכויות ההורה</w:t>
            </w:r>
            <w:r w:rsidRPr="000D32D6">
              <w:rPr>
                <w:rStyle w:val="default"/>
                <w:rFonts w:cs="David"/>
                <w:b/>
                <w:bCs/>
                <w:vanish/>
                <w:sz w:val="22"/>
                <w:szCs w:val="22"/>
                <w:shd w:val="clear" w:color="auto" w:fill="FFFF99"/>
                <w:rtl/>
              </w:rPr>
              <w:t xml:space="preserve"> ש</w:t>
            </w:r>
            <w:r w:rsidRPr="000D32D6">
              <w:rPr>
                <w:rStyle w:val="default"/>
                <w:rFonts w:cs="David" w:hint="cs"/>
                <w:b/>
                <w:bCs/>
                <w:vanish/>
                <w:sz w:val="22"/>
                <w:szCs w:val="22"/>
                <w:shd w:val="clear" w:color="auto" w:fill="FFFF99"/>
                <w:rtl/>
              </w:rPr>
              <w:t xml:space="preserve">לא יחזיק בקטין לבוא עמו במגע; הסכם כזה טעון אישור בית המשפט </w:t>
            </w:r>
            <w:r w:rsidRPr="000D32D6">
              <w:rPr>
                <w:rStyle w:val="default"/>
                <w:rFonts w:cs="David" w:hint="cs"/>
                <w:b/>
                <w:bCs/>
                <w:vanish/>
                <w:sz w:val="22"/>
                <w:szCs w:val="22"/>
                <w:u w:val="single"/>
                <w:shd w:val="clear" w:color="auto" w:fill="FFFF99"/>
                <w:rtl/>
              </w:rPr>
              <w:t>והוא יאשרו לאחר שנוכח כי ההסכם הוא לטובת הקטין</w:t>
            </w:r>
            <w:r w:rsidRPr="000D32D6">
              <w:rPr>
                <w:rStyle w:val="default"/>
                <w:rFonts w:cs="David" w:hint="cs"/>
                <w:b/>
                <w:bCs/>
                <w:vanish/>
                <w:sz w:val="22"/>
                <w:szCs w:val="22"/>
                <w:shd w:val="clear" w:color="auto" w:fill="FFFF99"/>
                <w:rtl/>
              </w:rPr>
              <w:t>, ומשאושר, ד</w:t>
            </w:r>
            <w:r w:rsidRPr="000D32D6">
              <w:rPr>
                <w:rStyle w:val="default"/>
                <w:rFonts w:cs="David"/>
                <w:b/>
                <w:bCs/>
                <w:vanish/>
                <w:sz w:val="22"/>
                <w:szCs w:val="22"/>
                <w:shd w:val="clear" w:color="auto" w:fill="FFFF99"/>
                <w:rtl/>
              </w:rPr>
              <w:t>י</w:t>
            </w:r>
            <w:r w:rsidRPr="000D32D6">
              <w:rPr>
                <w:rStyle w:val="default"/>
                <w:rFonts w:cs="David" w:hint="cs"/>
                <w:b/>
                <w:bCs/>
                <w:vanish/>
                <w:sz w:val="22"/>
                <w:szCs w:val="22"/>
                <w:shd w:val="clear" w:color="auto" w:fill="FFFF99"/>
                <w:rtl/>
              </w:rPr>
              <w:t xml:space="preserve">נו </w:t>
            </w:r>
            <w:r w:rsidRPr="000D32D6">
              <w:rPr>
                <w:rStyle w:val="default"/>
                <w:rFonts w:cs="David"/>
                <w:b/>
                <w:bCs/>
                <w:vanish/>
                <w:sz w:val="22"/>
                <w:szCs w:val="22"/>
                <w:shd w:val="clear" w:color="auto" w:fill="FFFF99"/>
                <w:rtl/>
              </w:rPr>
              <w:t xml:space="preserve">– </w:t>
            </w:r>
            <w:r w:rsidRPr="000D32D6">
              <w:rPr>
                <w:rStyle w:val="default"/>
                <w:rFonts w:cs="David" w:hint="cs"/>
                <w:b/>
                <w:bCs/>
                <w:vanish/>
                <w:sz w:val="22"/>
                <w:szCs w:val="22"/>
                <w:shd w:val="clear" w:color="auto" w:fill="FFFF99"/>
                <w:rtl/>
              </w:rPr>
              <w:t xml:space="preserve">לכל ענין זולת ערעור </w:t>
            </w:r>
            <w:r w:rsidRPr="000D32D6">
              <w:rPr>
                <w:rStyle w:val="default"/>
                <w:rFonts w:cs="David"/>
                <w:b/>
                <w:bCs/>
                <w:vanish/>
                <w:sz w:val="22"/>
                <w:szCs w:val="22"/>
                <w:shd w:val="clear" w:color="auto" w:fill="FFFF99"/>
                <w:rtl/>
              </w:rPr>
              <w:t xml:space="preserve">– </w:t>
            </w:r>
            <w:r w:rsidRPr="000D32D6">
              <w:rPr>
                <w:rStyle w:val="default"/>
                <w:rFonts w:cs="David" w:hint="cs"/>
                <w:b/>
                <w:bCs/>
                <w:vanish/>
                <w:sz w:val="22"/>
                <w:szCs w:val="22"/>
                <w:shd w:val="clear" w:color="auto" w:fill="FFFF99"/>
                <w:rtl/>
              </w:rPr>
              <w:t>כדין החלטת בית המשפט.</w:t>
            </w:r>
            <w:bookmarkEnd w:id="2"/>
          </w:p>
          <w:p w:rsidR="00896EDF" w:rsidRPr="000D32D6" w:rsidRDefault="00896EDF" w:rsidP="00B337A9">
            <w:pPr>
              <w:spacing w:before="120" w:line="360" w:lineRule="auto"/>
              <w:jc w:val="both"/>
              <w:rPr>
                <w:rStyle w:val="default"/>
                <w:rFonts w:cs="David"/>
                <w:b/>
                <w:bCs/>
                <w:sz w:val="22"/>
                <w:szCs w:val="22"/>
                <w:rtl/>
              </w:rPr>
            </w:pPr>
            <w:r w:rsidRPr="000D32D6">
              <w:rPr>
                <w:rStyle w:val="default"/>
                <w:rFonts w:cs="David" w:hint="cs"/>
                <w:b/>
                <w:bCs/>
                <w:sz w:val="22"/>
                <w:szCs w:val="22"/>
                <w:rtl/>
              </w:rPr>
              <w:t>25.קביעת בית המשפט באין הסכם בין ההורים</w:t>
            </w:r>
          </w:p>
          <w:p w:rsidR="00896EDF" w:rsidRPr="000D32D6" w:rsidRDefault="00896EDF" w:rsidP="00B337A9">
            <w:pPr>
              <w:spacing w:before="120" w:line="360" w:lineRule="auto"/>
              <w:jc w:val="both"/>
              <w:rPr>
                <w:rStyle w:val="default"/>
                <w:rFonts w:cs="David"/>
                <w:b/>
                <w:bCs/>
                <w:sz w:val="22"/>
                <w:szCs w:val="22"/>
                <w:rtl/>
              </w:rPr>
            </w:pPr>
            <w:r w:rsidRPr="000D32D6">
              <w:rPr>
                <w:rStyle w:val="default"/>
                <w:rFonts w:cs="David"/>
                <w:b/>
                <w:bCs/>
                <w:sz w:val="22"/>
                <w:szCs w:val="22"/>
                <w:rtl/>
              </w:rPr>
              <w:t>לא</w:t>
            </w:r>
            <w:r w:rsidRPr="000D32D6">
              <w:rPr>
                <w:rStyle w:val="default"/>
                <w:rFonts w:cs="David" w:hint="cs"/>
                <w:b/>
                <w:bCs/>
                <w:sz w:val="22"/>
                <w:szCs w:val="22"/>
                <w:rtl/>
              </w:rPr>
              <w:t xml:space="preserve"> באו ההורים לידי הסכם כאמור בסעיף 24, או שבאו לידי הסכם אך ההסכם לא בוצע, רשאי בית המשפט לקבוע את הענינים האמורים בסעיף 24 כפי</w:t>
            </w:r>
            <w:r w:rsidRPr="000D32D6">
              <w:rPr>
                <w:rStyle w:val="default"/>
                <w:rFonts w:cs="David"/>
                <w:b/>
                <w:bCs/>
                <w:sz w:val="22"/>
                <w:szCs w:val="22"/>
                <w:rtl/>
              </w:rPr>
              <w:t xml:space="preserve"> ש</w:t>
            </w:r>
            <w:r w:rsidRPr="000D32D6">
              <w:rPr>
                <w:rStyle w:val="default"/>
                <w:rFonts w:cs="David" w:hint="cs"/>
                <w:b/>
                <w:bCs/>
                <w:sz w:val="22"/>
                <w:szCs w:val="22"/>
                <w:rtl/>
              </w:rPr>
              <w:t>ייראה לו לטובת הקטין, ובלבד שילד</w:t>
            </w:r>
            <w:r w:rsidRPr="000D32D6">
              <w:rPr>
                <w:rStyle w:val="default"/>
                <w:rFonts w:cs="David"/>
                <w:b/>
                <w:bCs/>
                <w:sz w:val="22"/>
                <w:szCs w:val="22"/>
                <w:rtl/>
              </w:rPr>
              <w:t>י</w:t>
            </w:r>
            <w:r w:rsidRPr="000D32D6">
              <w:rPr>
                <w:rStyle w:val="default"/>
                <w:rFonts w:cs="David" w:hint="cs"/>
                <w:b/>
                <w:bCs/>
                <w:sz w:val="22"/>
                <w:szCs w:val="22"/>
                <w:rtl/>
              </w:rPr>
              <w:t>ם עד גיל 6 יהיו אצל אמם אם אין סיבות מיוחדות להורות אחרת."</w:t>
            </w:r>
          </w:p>
          <w:p w:rsidR="00896EDF" w:rsidRPr="000D32D6" w:rsidRDefault="00896EDF" w:rsidP="00B337A9">
            <w:pPr>
              <w:spacing w:before="120" w:line="360" w:lineRule="auto"/>
              <w:jc w:val="both"/>
              <w:rPr>
                <w:rStyle w:val="default"/>
                <w:rFonts w:cs="David"/>
                <w:b/>
                <w:bCs/>
                <w:sz w:val="22"/>
                <w:szCs w:val="22"/>
                <w:rtl/>
              </w:rPr>
            </w:pPr>
          </w:p>
        </w:tc>
      </w:tr>
    </w:tbl>
    <w:p w:rsidR="00896EDF" w:rsidRPr="00EC6E69" w:rsidRDefault="00896EDF" w:rsidP="00896EDF">
      <w:pPr>
        <w:spacing w:before="120" w:after="0" w:line="360" w:lineRule="auto"/>
        <w:jc w:val="both"/>
        <w:rPr>
          <w:rFonts w:cs="David"/>
          <w:sz w:val="24"/>
          <w:szCs w:val="24"/>
          <w:rtl/>
        </w:rPr>
      </w:pPr>
      <w:r w:rsidRPr="000D32D6">
        <w:rPr>
          <w:rFonts w:cs="David" w:hint="cs"/>
          <w:sz w:val="24"/>
          <w:szCs w:val="24"/>
          <w:rtl/>
        </w:rPr>
        <w:t xml:space="preserve">חזקת הגיל הרך, הקיימת מאז חקיקת החוק בשנת </w:t>
      </w:r>
      <w:r w:rsidRPr="00EC6E69">
        <w:rPr>
          <w:rFonts w:cs="David" w:hint="cs"/>
          <w:sz w:val="24"/>
          <w:szCs w:val="24"/>
          <w:rtl/>
        </w:rPr>
        <w:t>1962, מתבססת על התפיסה שצורכי הילד בגיל הרך מסופקים יותר על ידי אמו (דוקטרינת הגיל הרך וכן, על קביעת ההלכה בעניין).</w:t>
      </w:r>
    </w:p>
    <w:p w:rsidR="00896EDF" w:rsidRPr="000D32D6" w:rsidRDefault="00896EDF" w:rsidP="00896EDF">
      <w:pPr>
        <w:spacing w:before="120" w:after="0" w:line="360" w:lineRule="auto"/>
        <w:jc w:val="both"/>
        <w:rPr>
          <w:rFonts w:cs="David"/>
          <w:sz w:val="24"/>
          <w:szCs w:val="24"/>
          <w:rtl/>
        </w:rPr>
      </w:pPr>
      <w:r w:rsidRPr="00EC6E69">
        <w:rPr>
          <w:rFonts w:cs="David" w:hint="cs"/>
          <w:sz w:val="24"/>
          <w:szCs w:val="24"/>
          <w:rtl/>
        </w:rPr>
        <w:t>ואולם, גם לפי החוק היום שני ההורים ממשיכים להיות אפוטרופסים של ילדיהם, אלא</w:t>
      </w:r>
      <w:r>
        <w:rPr>
          <w:rFonts w:cs="David" w:hint="cs"/>
          <w:sz w:val="24"/>
          <w:szCs w:val="24"/>
          <w:rtl/>
        </w:rPr>
        <w:t xml:space="preserve"> אם נקבע אחרת</w:t>
      </w:r>
      <w:r w:rsidRPr="000D32D6">
        <w:rPr>
          <w:rFonts w:cs="David" w:hint="cs"/>
          <w:sz w:val="24"/>
          <w:szCs w:val="24"/>
          <w:rtl/>
        </w:rPr>
        <w:t xml:space="preserve">. כלומר, גם אם </w:t>
      </w:r>
      <w:r>
        <w:rPr>
          <w:rFonts w:cs="David" w:hint="cs"/>
          <w:sz w:val="24"/>
          <w:szCs w:val="24"/>
          <w:rtl/>
        </w:rPr>
        <w:t>הילד נמצא אצל האם רוב הזמן</w:t>
      </w:r>
      <w:r w:rsidRPr="000D32D6">
        <w:rPr>
          <w:rFonts w:cs="David" w:hint="cs"/>
          <w:sz w:val="24"/>
          <w:szCs w:val="24"/>
          <w:rtl/>
        </w:rPr>
        <w:t>, לאב מעמד משפטי כשל האם וההחלטות לעניין הילד לפי החוק צ</w:t>
      </w:r>
      <w:r>
        <w:rPr>
          <w:rFonts w:cs="David" w:hint="cs"/>
          <w:sz w:val="24"/>
          <w:szCs w:val="24"/>
          <w:rtl/>
        </w:rPr>
        <w:t>ריכות להתקבל על ידי שני ההורים (</w:t>
      </w:r>
      <w:r w:rsidRPr="000D32D6">
        <w:rPr>
          <w:rFonts w:cs="David" w:hint="cs"/>
          <w:sz w:val="24"/>
          <w:szCs w:val="24"/>
          <w:rtl/>
        </w:rPr>
        <w:t xml:space="preserve">בפועל החלטות שוטפות </w:t>
      </w:r>
      <w:r>
        <w:rPr>
          <w:rFonts w:cs="David" w:hint="cs"/>
          <w:sz w:val="24"/>
          <w:szCs w:val="24"/>
          <w:rtl/>
        </w:rPr>
        <w:t xml:space="preserve">פעמים רבות מתקבלות </w:t>
      </w:r>
      <w:r w:rsidRPr="000D32D6">
        <w:rPr>
          <w:rFonts w:cs="David" w:hint="cs"/>
          <w:sz w:val="24"/>
          <w:szCs w:val="24"/>
          <w:rtl/>
        </w:rPr>
        <w:t xml:space="preserve">על ידי ההורה שהילד בחזקתו, אך לפי לשון החוק ההחלטות אמורות להתקבל על ידי </w:t>
      </w:r>
      <w:r w:rsidRPr="000D32D6">
        <w:rPr>
          <w:rFonts w:cs="David" w:hint="cs"/>
          <w:sz w:val="24"/>
          <w:szCs w:val="24"/>
          <w:rtl/>
        </w:rPr>
        <w:lastRenderedPageBreak/>
        <w:t xml:space="preserve">שני ההורים). סעיף 18 </w:t>
      </w:r>
      <w:r>
        <w:rPr>
          <w:rFonts w:cs="David" w:hint="cs"/>
          <w:sz w:val="24"/>
          <w:szCs w:val="24"/>
          <w:rtl/>
        </w:rPr>
        <w:t xml:space="preserve">לחוק </w:t>
      </w:r>
      <w:r w:rsidRPr="000D32D6">
        <w:rPr>
          <w:rFonts w:cs="David" w:hint="cs"/>
          <w:sz w:val="24"/>
          <w:szCs w:val="24"/>
          <w:rtl/>
        </w:rPr>
        <w:t>הקובע כי בכל עניין הנתון לאפוטרופסותם חייבי שני ההורים לפעול תך הסכמה ממשיך לחול (אלא אם ההורים החליטו במפורש אחרת ובית המשפט אישר זאת).</w:t>
      </w:r>
    </w:p>
    <w:p w:rsidR="00896EDF" w:rsidRPr="00870FE4" w:rsidRDefault="00896EDF" w:rsidP="00896EDF">
      <w:pPr>
        <w:spacing w:line="360" w:lineRule="auto"/>
        <w:ind w:right="1418"/>
        <w:jc w:val="both"/>
        <w:rPr>
          <w:rFonts w:ascii="David" w:hAnsi="David" w:cs="David"/>
          <w:sz w:val="24"/>
          <w:szCs w:val="24"/>
          <w:rtl/>
        </w:rPr>
      </w:pPr>
      <w:r w:rsidRPr="00870FE4">
        <w:rPr>
          <w:rFonts w:ascii="David" w:hAnsi="David" w:cs="David" w:hint="cs"/>
          <w:sz w:val="24"/>
          <w:szCs w:val="24"/>
          <w:rtl/>
        </w:rPr>
        <w:t>כך למשל פסק בית המשפט לענייני משפחה:</w:t>
      </w:r>
    </w:p>
    <w:p w:rsidR="00896EDF" w:rsidRPr="000D32D6" w:rsidRDefault="00896EDF" w:rsidP="00896EDF">
      <w:pPr>
        <w:spacing w:line="360" w:lineRule="auto"/>
        <w:ind w:left="1110" w:right="1418"/>
        <w:jc w:val="both"/>
        <w:rPr>
          <w:rFonts w:cs="David"/>
          <w:sz w:val="24"/>
          <w:szCs w:val="24"/>
          <w:rtl/>
        </w:rPr>
      </w:pPr>
      <w:r w:rsidRPr="00870FE4">
        <w:rPr>
          <w:rFonts w:ascii="David" w:hAnsi="David" w:cs="David" w:hint="cs"/>
          <w:b/>
          <w:bCs/>
          <w:sz w:val="24"/>
          <w:szCs w:val="24"/>
          <w:rtl/>
        </w:rPr>
        <w:t>"במקרה מעין זה שעה שהאפוטרופסות על הקטין נותרה בידי שני הוריו, הרי שבמצוות סעיף 18 ל</w:t>
      </w:r>
      <w:hyperlink r:id="rId10" w:history="1">
        <w:r w:rsidRPr="00870FE4">
          <w:rPr>
            <w:rFonts w:ascii="David" w:hAnsi="David" w:cs="David"/>
            <w:b/>
            <w:bCs/>
            <w:sz w:val="24"/>
            <w:szCs w:val="24"/>
            <w:rtl/>
          </w:rPr>
          <w:t>חוק</w:t>
        </w:r>
        <w:r w:rsidRPr="00870FE4">
          <w:rPr>
            <w:rFonts w:ascii="David" w:hAnsi="David" w:cs="David" w:hint="cs"/>
            <w:b/>
            <w:bCs/>
            <w:sz w:val="24"/>
            <w:szCs w:val="24"/>
            <w:rtl/>
          </w:rPr>
          <w:t xml:space="preserve"> </w:t>
        </w:r>
        <w:r w:rsidRPr="00870FE4">
          <w:rPr>
            <w:rFonts w:ascii="David" w:hAnsi="David" w:cs="David"/>
            <w:b/>
            <w:bCs/>
            <w:sz w:val="24"/>
            <w:szCs w:val="24"/>
            <w:rtl/>
          </w:rPr>
          <w:t>הכשרות המשפטית והאפוטרופסות</w:t>
        </w:r>
      </w:hyperlink>
      <w:r w:rsidRPr="00870FE4">
        <w:rPr>
          <w:rFonts w:ascii="David" w:hAnsi="David" w:cs="David" w:hint="cs"/>
          <w:b/>
          <w:bCs/>
          <w:sz w:val="24"/>
          <w:szCs w:val="24"/>
          <w:rtl/>
        </w:rPr>
        <w:t xml:space="preserve">, התשכ"ב </w:t>
      </w:r>
      <w:r w:rsidRPr="00870FE4">
        <w:rPr>
          <w:rFonts w:ascii="David" w:hAnsi="David" w:cs="David"/>
          <w:b/>
          <w:bCs/>
          <w:sz w:val="24"/>
          <w:szCs w:val="24"/>
          <w:rtl/>
        </w:rPr>
        <w:t>–</w:t>
      </w:r>
      <w:r w:rsidRPr="00870FE4">
        <w:rPr>
          <w:rFonts w:ascii="David" w:hAnsi="David" w:cs="David" w:hint="cs"/>
          <w:b/>
          <w:bCs/>
          <w:sz w:val="24"/>
          <w:szCs w:val="24"/>
          <w:rtl/>
        </w:rPr>
        <w:t xml:space="preserve"> 1962, על שניהם לפעול בעניינים אלה תוך הסכמה בכל עניין הנתון לאפוטרופסות זו, ולא להותיר את הדבר בידי אחד מהם, כאשר השני נתון לתכתיביו...</w:t>
      </w:r>
      <w:r w:rsidRPr="00870FE4">
        <w:rPr>
          <w:rFonts w:cs="David" w:hint="cs"/>
          <w:sz w:val="24"/>
          <w:szCs w:val="24"/>
          <w:rtl/>
        </w:rPr>
        <w:t>."</w:t>
      </w:r>
      <w:r w:rsidRPr="00870FE4">
        <w:rPr>
          <w:rStyle w:val="a6"/>
          <w:rFonts w:cs="David"/>
          <w:sz w:val="24"/>
          <w:szCs w:val="24"/>
          <w:rtl/>
        </w:rPr>
        <w:footnoteReference w:id="1"/>
      </w:r>
    </w:p>
    <w:p w:rsidR="00896EDF" w:rsidRPr="000123CC" w:rsidRDefault="00896EDF" w:rsidP="00896EDF">
      <w:pPr>
        <w:spacing w:before="120" w:after="0" w:line="360" w:lineRule="auto"/>
        <w:jc w:val="both"/>
        <w:rPr>
          <w:rFonts w:ascii="David" w:cs="David"/>
          <w:sz w:val="24"/>
          <w:szCs w:val="24"/>
          <w:rtl/>
        </w:rPr>
      </w:pPr>
      <w:r w:rsidRPr="000D32D6">
        <w:rPr>
          <w:rFonts w:ascii="David" w:cs="David" w:hint="cs"/>
          <w:sz w:val="24"/>
          <w:szCs w:val="24"/>
          <w:rtl/>
        </w:rPr>
        <w:t xml:space="preserve">בעקבות פרסום דו"ח ועדת שניט </w:t>
      </w:r>
      <w:r>
        <w:rPr>
          <w:rFonts w:ascii="David" w:cs="David" w:hint="cs"/>
          <w:sz w:val="24"/>
          <w:szCs w:val="24"/>
          <w:rtl/>
        </w:rPr>
        <w:t xml:space="preserve">(להלן) </w:t>
      </w:r>
      <w:r w:rsidRPr="000D32D6">
        <w:rPr>
          <w:rFonts w:ascii="David" w:cs="David" w:hint="cs"/>
          <w:sz w:val="24"/>
          <w:szCs w:val="24"/>
          <w:rtl/>
        </w:rPr>
        <w:t xml:space="preserve">התעוררה בבתי המשפט שאלת השימוש בחזקה. במקרים רבים בתי המשפט לענייני משפחה </w:t>
      </w:r>
      <w:r>
        <w:rPr>
          <w:rFonts w:ascii="David" w:cs="David" w:hint="cs"/>
          <w:sz w:val="24"/>
          <w:szCs w:val="24"/>
          <w:rtl/>
        </w:rPr>
        <w:t xml:space="preserve">הפסיקו ליישם </w:t>
      </w:r>
      <w:r w:rsidRPr="000D32D6">
        <w:rPr>
          <w:rFonts w:ascii="David" w:cs="David" w:hint="cs"/>
          <w:sz w:val="24"/>
          <w:szCs w:val="24"/>
          <w:rtl/>
        </w:rPr>
        <w:t>א</w:t>
      </w:r>
      <w:r>
        <w:rPr>
          <w:rFonts w:ascii="David" w:cs="David" w:hint="cs"/>
          <w:sz w:val="24"/>
          <w:szCs w:val="24"/>
          <w:rtl/>
        </w:rPr>
        <w:t>ותה או נקטו בקו פרשני רחב באשר לאפשרות לסטות מהחזק</w:t>
      </w:r>
      <w:r w:rsidRPr="00A662F1">
        <w:rPr>
          <w:rFonts w:ascii="David" w:cs="David" w:hint="cs"/>
          <w:sz w:val="24"/>
          <w:szCs w:val="24"/>
          <w:rtl/>
        </w:rPr>
        <w:t>ה</w:t>
      </w:r>
      <w:r w:rsidRPr="00A662F1">
        <w:rPr>
          <w:rStyle w:val="a6"/>
          <w:rFonts w:ascii="David" w:cs="David"/>
          <w:sz w:val="24"/>
          <w:szCs w:val="24"/>
          <w:rtl/>
        </w:rPr>
        <w:footnoteReference w:id="2"/>
      </w:r>
      <w:r w:rsidRPr="00A662F1">
        <w:rPr>
          <w:rFonts w:ascii="David" w:cs="David" w:hint="cs"/>
          <w:sz w:val="24"/>
          <w:szCs w:val="24"/>
          <w:rtl/>
        </w:rPr>
        <w:t xml:space="preserve">. יחד עם זאת, בית המשפט </w:t>
      </w:r>
      <w:r w:rsidRPr="000123CC">
        <w:rPr>
          <w:rFonts w:ascii="David" w:cs="David" w:hint="cs"/>
          <w:sz w:val="24"/>
          <w:szCs w:val="24"/>
          <w:rtl/>
        </w:rPr>
        <w:t xml:space="preserve">העליון קבע מפורשות שהחזקה ממשיכה לחול, בכפוף </w:t>
      </w:r>
      <w:r w:rsidRPr="000123CC">
        <w:rPr>
          <w:rFonts w:cs="David" w:hint="cs"/>
          <w:sz w:val="24"/>
          <w:szCs w:val="24"/>
          <w:rtl/>
        </w:rPr>
        <w:t>לטובת הקטין אשר עומדת בראש השיקולים, תוך מתן הסדרי ראיה נרחבים לאב, ואולם תוך הענקת פרשנות מצמצת לאפשרות סתירת החזקה</w:t>
      </w:r>
      <w:r w:rsidRPr="000123CC">
        <w:rPr>
          <w:rStyle w:val="a6"/>
          <w:rFonts w:cs="David"/>
          <w:sz w:val="24"/>
          <w:szCs w:val="24"/>
          <w:rtl/>
        </w:rPr>
        <w:footnoteReference w:id="3"/>
      </w:r>
      <w:r w:rsidRPr="000123CC">
        <w:rPr>
          <w:rFonts w:cs="David" w:hint="cs"/>
          <w:rtl/>
        </w:rPr>
        <w:t xml:space="preserve">. </w:t>
      </w:r>
    </w:p>
    <w:p w:rsidR="00896EDF" w:rsidRPr="00A662F1" w:rsidRDefault="00896EDF" w:rsidP="00896EDF">
      <w:pPr>
        <w:spacing w:before="120" w:after="0" w:line="360" w:lineRule="auto"/>
        <w:jc w:val="both"/>
        <w:rPr>
          <w:rFonts w:ascii="David" w:cs="David"/>
          <w:sz w:val="24"/>
          <w:szCs w:val="24"/>
          <w:rtl/>
        </w:rPr>
      </w:pPr>
      <w:r w:rsidRPr="000123CC">
        <w:rPr>
          <w:rFonts w:ascii="David" w:cs="David" w:hint="cs"/>
          <w:sz w:val="24"/>
          <w:szCs w:val="24"/>
          <w:rtl/>
        </w:rPr>
        <w:t>ניכר מפסקי הדין שיש חשיבות רבה למעורבות וטיפול של שני ההורים בילד. הפסיקה</w:t>
      </w:r>
      <w:r w:rsidRPr="00A662F1">
        <w:rPr>
          <w:rFonts w:ascii="David" w:cs="David" w:hint="cs"/>
          <w:sz w:val="24"/>
          <w:szCs w:val="24"/>
          <w:rtl/>
        </w:rPr>
        <w:t xml:space="preserve"> עמדה על הקושי הרב </w:t>
      </w:r>
      <w:r>
        <w:rPr>
          <w:rFonts w:ascii="David" w:cs="David" w:hint="cs"/>
          <w:sz w:val="24"/>
          <w:szCs w:val="24"/>
          <w:rtl/>
        </w:rPr>
        <w:t xml:space="preserve">הטמון בהכרעה </w:t>
      </w:r>
      <w:r w:rsidRPr="00A662F1">
        <w:rPr>
          <w:rFonts w:ascii="David" w:cs="David" w:hint="cs"/>
          <w:sz w:val="24"/>
          <w:szCs w:val="24"/>
          <w:rtl/>
        </w:rPr>
        <w:t>בנושא. כדברי השופטת ארבל בפס"ד בעניין</w:t>
      </w:r>
      <w:r>
        <w:rPr>
          <w:rFonts w:ascii="David" w:cs="David" w:hint="cs"/>
          <w:sz w:val="24"/>
          <w:szCs w:val="24"/>
          <w:rtl/>
        </w:rPr>
        <w:t xml:space="preserve"> פלוני</w:t>
      </w:r>
      <w:r w:rsidRPr="00A662F1">
        <w:rPr>
          <w:rFonts w:ascii="David" w:cs="David" w:hint="cs"/>
          <w:sz w:val="24"/>
          <w:szCs w:val="24"/>
          <w:rtl/>
        </w:rPr>
        <w:t>:</w:t>
      </w:r>
    </w:p>
    <w:p w:rsidR="00896EDF" w:rsidRPr="00A662F1" w:rsidRDefault="00896EDF" w:rsidP="00896EDF">
      <w:pPr>
        <w:spacing w:before="120" w:after="0" w:line="360" w:lineRule="auto"/>
        <w:ind w:left="794" w:right="794"/>
        <w:jc w:val="both"/>
        <w:rPr>
          <w:rFonts w:ascii="David" w:hAnsi="David" w:cs="David"/>
          <w:b/>
          <w:bCs/>
          <w:sz w:val="24"/>
          <w:szCs w:val="24"/>
          <w:rtl/>
        </w:rPr>
      </w:pPr>
      <w:r w:rsidRPr="00A662F1">
        <w:rPr>
          <w:rFonts w:cs="David" w:hint="cs"/>
          <w:b/>
          <w:bCs/>
          <w:sz w:val="24"/>
          <w:szCs w:val="24"/>
          <w:rtl/>
        </w:rPr>
        <w:t xml:space="preserve">"ההכרעה בענייני משמורת קטינים </w:t>
      </w:r>
      <w:r w:rsidRPr="00A662F1">
        <w:rPr>
          <w:rFonts w:ascii="David" w:hAnsi="David" w:cs="David"/>
          <w:b/>
          <w:bCs/>
          <w:sz w:val="24"/>
          <w:szCs w:val="24"/>
          <w:rtl/>
        </w:rPr>
        <w:t>לעולם</w:t>
      </w:r>
      <w:r w:rsidRPr="00A662F1">
        <w:rPr>
          <w:rFonts w:ascii="David" w:hAnsi="David" w:cs="David"/>
          <w:b/>
          <w:bCs/>
          <w:sz w:val="24"/>
          <w:szCs w:val="24"/>
        </w:rPr>
        <w:t xml:space="preserve"> </w:t>
      </w:r>
      <w:r w:rsidRPr="00A662F1">
        <w:rPr>
          <w:rFonts w:ascii="David" w:hAnsi="David" w:cs="David"/>
          <w:b/>
          <w:bCs/>
          <w:sz w:val="24"/>
          <w:szCs w:val="24"/>
          <w:rtl/>
        </w:rPr>
        <w:t>אינה</w:t>
      </w:r>
      <w:r w:rsidRPr="00A662F1">
        <w:rPr>
          <w:rFonts w:ascii="David" w:hAnsi="David" w:cs="David"/>
          <w:b/>
          <w:bCs/>
          <w:sz w:val="24"/>
          <w:szCs w:val="24"/>
        </w:rPr>
        <w:t xml:space="preserve"> </w:t>
      </w:r>
      <w:r w:rsidRPr="00A662F1">
        <w:rPr>
          <w:rFonts w:ascii="David" w:hAnsi="David" w:cs="David"/>
          <w:b/>
          <w:bCs/>
          <w:sz w:val="24"/>
          <w:szCs w:val="24"/>
          <w:rtl/>
        </w:rPr>
        <w:t>קלה</w:t>
      </w:r>
      <w:r w:rsidRPr="00A662F1">
        <w:rPr>
          <w:rFonts w:ascii="David" w:hAnsi="David" w:cs="David"/>
          <w:b/>
          <w:bCs/>
          <w:sz w:val="24"/>
          <w:szCs w:val="24"/>
        </w:rPr>
        <w:t xml:space="preserve">, </w:t>
      </w:r>
      <w:r w:rsidRPr="00A662F1">
        <w:rPr>
          <w:rFonts w:ascii="David" w:hAnsi="David" w:cs="David"/>
          <w:b/>
          <w:bCs/>
          <w:sz w:val="24"/>
          <w:szCs w:val="24"/>
          <w:rtl/>
        </w:rPr>
        <w:t>שכן</w:t>
      </w:r>
      <w:r w:rsidRPr="00A662F1">
        <w:rPr>
          <w:rFonts w:ascii="David" w:hAnsi="David" w:cs="David"/>
          <w:b/>
          <w:bCs/>
          <w:sz w:val="24"/>
          <w:szCs w:val="24"/>
        </w:rPr>
        <w:t xml:space="preserve"> </w:t>
      </w:r>
      <w:r w:rsidRPr="00A662F1">
        <w:rPr>
          <w:rFonts w:ascii="David" w:hAnsi="David" w:cs="David"/>
          <w:b/>
          <w:bCs/>
          <w:sz w:val="24"/>
          <w:szCs w:val="24"/>
          <w:rtl/>
        </w:rPr>
        <w:t>היא</w:t>
      </w:r>
      <w:r w:rsidRPr="00A662F1">
        <w:rPr>
          <w:rFonts w:ascii="David" w:hAnsi="David" w:cs="David"/>
          <w:b/>
          <w:bCs/>
          <w:sz w:val="24"/>
          <w:szCs w:val="24"/>
        </w:rPr>
        <w:t xml:space="preserve"> </w:t>
      </w:r>
      <w:r w:rsidRPr="00A662F1">
        <w:rPr>
          <w:rFonts w:ascii="David" w:hAnsi="David" w:cs="David"/>
          <w:b/>
          <w:bCs/>
          <w:sz w:val="24"/>
          <w:szCs w:val="24"/>
          <w:rtl/>
        </w:rPr>
        <w:t>מחייבת</w:t>
      </w:r>
      <w:r w:rsidRPr="00A662F1">
        <w:rPr>
          <w:rFonts w:ascii="David" w:hAnsi="David" w:cs="David"/>
          <w:b/>
          <w:bCs/>
          <w:sz w:val="24"/>
          <w:szCs w:val="24"/>
        </w:rPr>
        <w:t xml:space="preserve"> </w:t>
      </w:r>
      <w:r w:rsidRPr="00A662F1">
        <w:rPr>
          <w:rFonts w:ascii="David" w:hAnsi="David" w:cs="David"/>
          <w:b/>
          <w:bCs/>
          <w:sz w:val="24"/>
          <w:szCs w:val="24"/>
          <w:rtl/>
        </w:rPr>
        <w:t>את</w:t>
      </w:r>
      <w:r w:rsidRPr="00A662F1">
        <w:rPr>
          <w:rFonts w:ascii="David" w:hAnsi="David" w:cs="David"/>
          <w:b/>
          <w:bCs/>
          <w:sz w:val="24"/>
          <w:szCs w:val="24"/>
        </w:rPr>
        <w:t xml:space="preserve"> </w:t>
      </w:r>
      <w:r w:rsidRPr="00A662F1">
        <w:rPr>
          <w:rFonts w:ascii="David" w:hAnsi="David" w:cs="David"/>
          <w:b/>
          <w:bCs/>
          <w:sz w:val="24"/>
          <w:szCs w:val="24"/>
          <w:rtl/>
        </w:rPr>
        <w:t>בית</w:t>
      </w:r>
      <w:r w:rsidRPr="00A662F1">
        <w:rPr>
          <w:rFonts w:ascii="David" w:hAnsi="David" w:cs="David"/>
          <w:b/>
          <w:bCs/>
          <w:sz w:val="24"/>
          <w:szCs w:val="24"/>
        </w:rPr>
        <w:t xml:space="preserve"> </w:t>
      </w:r>
      <w:r w:rsidRPr="00A662F1">
        <w:rPr>
          <w:rFonts w:ascii="David" w:hAnsi="David" w:cs="David"/>
          <w:b/>
          <w:bCs/>
          <w:sz w:val="24"/>
          <w:szCs w:val="24"/>
          <w:rtl/>
        </w:rPr>
        <w:t>המשפט</w:t>
      </w:r>
      <w:r w:rsidRPr="00A662F1">
        <w:rPr>
          <w:rFonts w:ascii="David" w:hAnsi="David" w:cs="David"/>
          <w:b/>
          <w:bCs/>
          <w:sz w:val="24"/>
          <w:szCs w:val="24"/>
        </w:rPr>
        <w:t xml:space="preserve"> </w:t>
      </w:r>
      <w:r w:rsidRPr="00A662F1">
        <w:rPr>
          <w:rFonts w:ascii="David" w:hAnsi="David" w:cs="David"/>
          <w:b/>
          <w:bCs/>
          <w:sz w:val="24"/>
          <w:szCs w:val="24"/>
          <w:rtl/>
        </w:rPr>
        <w:t>להיכנס</w:t>
      </w:r>
      <w:r w:rsidRPr="00A662F1">
        <w:rPr>
          <w:rFonts w:ascii="David" w:hAnsi="David" w:cs="David"/>
          <w:b/>
          <w:bCs/>
          <w:sz w:val="24"/>
          <w:szCs w:val="24"/>
        </w:rPr>
        <w:t xml:space="preserve"> </w:t>
      </w:r>
      <w:r w:rsidRPr="00A662F1">
        <w:rPr>
          <w:rFonts w:ascii="David" w:hAnsi="David" w:cs="David"/>
          <w:b/>
          <w:bCs/>
          <w:sz w:val="24"/>
          <w:szCs w:val="24"/>
          <w:rtl/>
        </w:rPr>
        <w:t>אל</w:t>
      </w:r>
      <w:r w:rsidRPr="00A662F1">
        <w:rPr>
          <w:rFonts w:ascii="David" w:hAnsi="David" w:cs="David"/>
          <w:b/>
          <w:bCs/>
          <w:sz w:val="24"/>
          <w:szCs w:val="24"/>
        </w:rPr>
        <w:t xml:space="preserve"> </w:t>
      </w:r>
      <w:r w:rsidRPr="00A662F1">
        <w:rPr>
          <w:rFonts w:ascii="David" w:hAnsi="David" w:cs="David"/>
          <w:b/>
          <w:bCs/>
          <w:sz w:val="24"/>
          <w:szCs w:val="24"/>
          <w:rtl/>
        </w:rPr>
        <w:t>נבכי</w:t>
      </w:r>
      <w:r w:rsidRPr="00A662F1">
        <w:rPr>
          <w:rFonts w:ascii="David" w:hAnsi="David" w:cs="David"/>
          <w:b/>
          <w:bCs/>
          <w:sz w:val="24"/>
          <w:szCs w:val="24"/>
        </w:rPr>
        <w:t xml:space="preserve"> </w:t>
      </w:r>
      <w:r w:rsidRPr="00A662F1">
        <w:rPr>
          <w:rFonts w:ascii="David" w:hAnsi="David" w:cs="David"/>
          <w:b/>
          <w:bCs/>
          <w:sz w:val="24"/>
          <w:szCs w:val="24"/>
          <w:rtl/>
        </w:rPr>
        <w:t>ליבם</w:t>
      </w:r>
      <w:r w:rsidRPr="00A662F1">
        <w:rPr>
          <w:rFonts w:ascii="David" w:hAnsi="David" w:cs="David" w:hint="cs"/>
          <w:b/>
          <w:bCs/>
          <w:sz w:val="24"/>
          <w:szCs w:val="24"/>
          <w:rtl/>
        </w:rPr>
        <w:t xml:space="preserve"> </w:t>
      </w:r>
      <w:r w:rsidRPr="00A662F1">
        <w:rPr>
          <w:rFonts w:ascii="David" w:hAnsi="David" w:cs="David"/>
          <w:b/>
          <w:bCs/>
          <w:sz w:val="24"/>
          <w:szCs w:val="24"/>
          <w:rtl/>
        </w:rPr>
        <w:t>של</w:t>
      </w:r>
      <w:r w:rsidRPr="00A662F1">
        <w:rPr>
          <w:rFonts w:ascii="David" w:hAnsi="David" w:cs="David"/>
          <w:b/>
          <w:bCs/>
          <w:sz w:val="24"/>
          <w:szCs w:val="24"/>
        </w:rPr>
        <w:t xml:space="preserve"> </w:t>
      </w:r>
      <w:r w:rsidRPr="00A662F1">
        <w:rPr>
          <w:rFonts w:ascii="David" w:hAnsi="David" w:cs="David"/>
          <w:b/>
          <w:bCs/>
          <w:sz w:val="24"/>
          <w:szCs w:val="24"/>
          <w:rtl/>
        </w:rPr>
        <w:t>הורה</w:t>
      </w:r>
      <w:r w:rsidRPr="00A662F1">
        <w:rPr>
          <w:rFonts w:ascii="David" w:hAnsi="David" w:cs="David"/>
          <w:b/>
          <w:bCs/>
          <w:sz w:val="24"/>
          <w:szCs w:val="24"/>
        </w:rPr>
        <w:t xml:space="preserve"> </w:t>
      </w:r>
      <w:r w:rsidRPr="00A662F1">
        <w:rPr>
          <w:rFonts w:ascii="David" w:hAnsi="David" w:cs="David"/>
          <w:b/>
          <w:bCs/>
          <w:sz w:val="24"/>
          <w:szCs w:val="24"/>
          <w:rtl/>
        </w:rPr>
        <w:t>וילד</w:t>
      </w:r>
      <w:r w:rsidRPr="00A662F1">
        <w:rPr>
          <w:rFonts w:ascii="David" w:hAnsi="David" w:cs="David"/>
          <w:b/>
          <w:bCs/>
          <w:sz w:val="24"/>
          <w:szCs w:val="24"/>
        </w:rPr>
        <w:t xml:space="preserve">, </w:t>
      </w:r>
      <w:r w:rsidRPr="00A662F1">
        <w:rPr>
          <w:rFonts w:ascii="David" w:hAnsi="David" w:cs="David"/>
          <w:b/>
          <w:bCs/>
          <w:sz w:val="24"/>
          <w:szCs w:val="24"/>
          <w:rtl/>
        </w:rPr>
        <w:t>כאשר</w:t>
      </w:r>
      <w:r w:rsidRPr="00A662F1">
        <w:rPr>
          <w:rFonts w:ascii="David" w:hAnsi="David" w:cs="David"/>
          <w:b/>
          <w:bCs/>
          <w:sz w:val="24"/>
          <w:szCs w:val="24"/>
        </w:rPr>
        <w:t xml:space="preserve"> </w:t>
      </w:r>
      <w:r w:rsidRPr="00A662F1">
        <w:rPr>
          <w:rFonts w:ascii="David" w:hAnsi="David" w:cs="David"/>
          <w:b/>
          <w:bCs/>
          <w:sz w:val="24"/>
          <w:szCs w:val="24"/>
          <w:rtl/>
        </w:rPr>
        <w:t>הילד</w:t>
      </w:r>
      <w:r w:rsidRPr="00A662F1">
        <w:rPr>
          <w:rFonts w:ascii="David" w:hAnsi="David" w:cs="David"/>
          <w:b/>
          <w:bCs/>
          <w:sz w:val="24"/>
          <w:szCs w:val="24"/>
        </w:rPr>
        <w:t xml:space="preserve"> </w:t>
      </w:r>
      <w:r w:rsidRPr="00A662F1">
        <w:rPr>
          <w:rFonts w:ascii="David" w:hAnsi="David" w:cs="David"/>
          <w:b/>
          <w:bCs/>
          <w:sz w:val="24"/>
          <w:szCs w:val="24"/>
          <w:rtl/>
        </w:rPr>
        <w:t>ניצב</w:t>
      </w:r>
      <w:r w:rsidRPr="00A662F1">
        <w:rPr>
          <w:rFonts w:ascii="David" w:hAnsi="David" w:cs="David"/>
          <w:b/>
          <w:bCs/>
          <w:sz w:val="24"/>
          <w:szCs w:val="24"/>
        </w:rPr>
        <w:t xml:space="preserve"> </w:t>
      </w:r>
      <w:r w:rsidRPr="00A662F1">
        <w:rPr>
          <w:rFonts w:ascii="David" w:hAnsi="David" w:cs="David"/>
          <w:b/>
          <w:bCs/>
          <w:sz w:val="24"/>
          <w:szCs w:val="24"/>
          <w:rtl/>
        </w:rPr>
        <w:t>לו</w:t>
      </w:r>
      <w:r w:rsidRPr="00A662F1">
        <w:rPr>
          <w:rFonts w:ascii="David" w:hAnsi="David" w:cs="David"/>
          <w:b/>
          <w:bCs/>
          <w:sz w:val="24"/>
          <w:szCs w:val="24"/>
        </w:rPr>
        <w:t xml:space="preserve"> </w:t>
      </w:r>
      <w:r w:rsidRPr="00A662F1">
        <w:rPr>
          <w:rFonts w:ascii="David" w:hAnsi="David" w:cs="David"/>
          <w:b/>
          <w:bCs/>
          <w:sz w:val="24"/>
          <w:szCs w:val="24"/>
          <w:rtl/>
        </w:rPr>
        <w:t>בתווך</w:t>
      </w:r>
      <w:r w:rsidRPr="00A662F1">
        <w:rPr>
          <w:rFonts w:ascii="David" w:hAnsi="David" w:cs="David"/>
          <w:b/>
          <w:bCs/>
          <w:sz w:val="24"/>
          <w:szCs w:val="24"/>
        </w:rPr>
        <w:t xml:space="preserve"> </w:t>
      </w:r>
      <w:r w:rsidRPr="00A662F1">
        <w:rPr>
          <w:rFonts w:ascii="David" w:hAnsi="David" w:cs="David"/>
          <w:b/>
          <w:bCs/>
          <w:sz w:val="24"/>
          <w:szCs w:val="24"/>
          <w:rtl/>
        </w:rPr>
        <w:t>בין</w:t>
      </w:r>
      <w:r w:rsidRPr="00A662F1">
        <w:rPr>
          <w:rFonts w:ascii="David" w:hAnsi="David" w:cs="David"/>
          <w:b/>
          <w:bCs/>
          <w:sz w:val="24"/>
          <w:szCs w:val="24"/>
        </w:rPr>
        <w:t xml:space="preserve"> </w:t>
      </w:r>
      <w:r w:rsidRPr="00A662F1">
        <w:rPr>
          <w:rFonts w:ascii="David" w:hAnsi="David" w:cs="David"/>
          <w:b/>
          <w:bCs/>
          <w:sz w:val="24"/>
          <w:szCs w:val="24"/>
          <w:rtl/>
        </w:rPr>
        <w:t>שני</w:t>
      </w:r>
      <w:r w:rsidRPr="00A662F1">
        <w:rPr>
          <w:rFonts w:ascii="David" w:hAnsi="David" w:cs="David"/>
          <w:b/>
          <w:bCs/>
          <w:sz w:val="24"/>
          <w:szCs w:val="24"/>
        </w:rPr>
        <w:t xml:space="preserve"> </w:t>
      </w:r>
      <w:r w:rsidRPr="00A662F1">
        <w:rPr>
          <w:rFonts w:ascii="David" w:hAnsi="David" w:cs="David"/>
          <w:b/>
          <w:bCs/>
          <w:sz w:val="24"/>
          <w:szCs w:val="24"/>
          <w:rtl/>
        </w:rPr>
        <w:t>הוריו</w:t>
      </w:r>
      <w:r w:rsidRPr="00A662F1">
        <w:rPr>
          <w:rFonts w:ascii="David" w:hAnsi="David" w:cs="David"/>
          <w:b/>
          <w:bCs/>
          <w:sz w:val="24"/>
          <w:szCs w:val="24"/>
        </w:rPr>
        <w:t xml:space="preserve"> </w:t>
      </w:r>
      <w:r w:rsidRPr="00A662F1">
        <w:rPr>
          <w:rFonts w:ascii="David" w:hAnsi="David" w:cs="David"/>
          <w:b/>
          <w:bCs/>
          <w:sz w:val="24"/>
          <w:szCs w:val="24"/>
          <w:rtl/>
        </w:rPr>
        <w:t>שאל</w:t>
      </w:r>
      <w:r w:rsidRPr="00A662F1">
        <w:rPr>
          <w:rFonts w:ascii="David" w:hAnsi="David" w:cs="David"/>
          <w:b/>
          <w:bCs/>
          <w:sz w:val="24"/>
          <w:szCs w:val="24"/>
        </w:rPr>
        <w:t xml:space="preserve"> </w:t>
      </w:r>
      <w:r w:rsidRPr="00A662F1">
        <w:rPr>
          <w:rFonts w:ascii="David" w:hAnsi="David" w:cs="David"/>
          <w:b/>
          <w:bCs/>
          <w:sz w:val="24"/>
          <w:szCs w:val="24"/>
          <w:rtl/>
        </w:rPr>
        <w:t>שניהם</w:t>
      </w:r>
      <w:r w:rsidRPr="00A662F1">
        <w:rPr>
          <w:rFonts w:ascii="David" w:hAnsi="David" w:cs="David"/>
          <w:b/>
          <w:bCs/>
          <w:sz w:val="24"/>
          <w:szCs w:val="24"/>
        </w:rPr>
        <w:t xml:space="preserve"> </w:t>
      </w:r>
      <w:r w:rsidRPr="00A662F1">
        <w:rPr>
          <w:rFonts w:ascii="David" w:hAnsi="David" w:cs="David"/>
          <w:b/>
          <w:bCs/>
          <w:sz w:val="24"/>
          <w:szCs w:val="24"/>
          <w:rtl/>
        </w:rPr>
        <w:t>הוא</w:t>
      </w:r>
      <w:r w:rsidRPr="00A662F1">
        <w:rPr>
          <w:rFonts w:ascii="David" w:hAnsi="David" w:cs="David"/>
          <w:b/>
          <w:bCs/>
          <w:sz w:val="24"/>
          <w:szCs w:val="24"/>
        </w:rPr>
        <w:t xml:space="preserve"> </w:t>
      </w:r>
      <w:r w:rsidRPr="00A662F1">
        <w:rPr>
          <w:rFonts w:ascii="David" w:hAnsi="David" w:cs="David"/>
          <w:b/>
          <w:bCs/>
          <w:sz w:val="24"/>
          <w:szCs w:val="24"/>
          <w:rtl/>
        </w:rPr>
        <w:t>קשור</w:t>
      </w:r>
      <w:r w:rsidRPr="00A662F1">
        <w:rPr>
          <w:rFonts w:ascii="David" w:hAnsi="David" w:cs="David"/>
          <w:b/>
          <w:bCs/>
          <w:sz w:val="24"/>
          <w:szCs w:val="24"/>
        </w:rPr>
        <w:t xml:space="preserve"> </w:t>
      </w:r>
      <w:r w:rsidRPr="00A662F1">
        <w:rPr>
          <w:rFonts w:ascii="David" w:hAnsi="David" w:cs="David"/>
          <w:b/>
          <w:bCs/>
          <w:sz w:val="24"/>
          <w:szCs w:val="24"/>
          <w:rtl/>
        </w:rPr>
        <w:t>קשרי</w:t>
      </w:r>
      <w:r w:rsidRPr="00A662F1">
        <w:rPr>
          <w:rFonts w:ascii="David" w:hAnsi="David" w:cs="David"/>
          <w:b/>
          <w:bCs/>
          <w:sz w:val="24"/>
          <w:szCs w:val="24"/>
        </w:rPr>
        <w:t xml:space="preserve"> </w:t>
      </w:r>
      <w:r w:rsidRPr="00A662F1">
        <w:rPr>
          <w:rFonts w:ascii="David" w:hAnsi="David" w:cs="David"/>
          <w:b/>
          <w:bCs/>
          <w:sz w:val="24"/>
          <w:szCs w:val="24"/>
          <w:rtl/>
        </w:rPr>
        <w:t>דם</w:t>
      </w:r>
      <w:r w:rsidRPr="00A662F1">
        <w:rPr>
          <w:rFonts w:ascii="David" w:hAnsi="David" w:cs="David"/>
          <w:b/>
          <w:bCs/>
          <w:sz w:val="24"/>
          <w:szCs w:val="24"/>
        </w:rPr>
        <w:t xml:space="preserve"> </w:t>
      </w:r>
      <w:r w:rsidRPr="00A662F1">
        <w:rPr>
          <w:rFonts w:ascii="David" w:hAnsi="David" w:cs="David"/>
          <w:b/>
          <w:bCs/>
          <w:sz w:val="24"/>
          <w:szCs w:val="24"/>
          <w:rtl/>
        </w:rPr>
        <w:t>ורגש</w:t>
      </w:r>
      <w:r w:rsidRPr="00A662F1">
        <w:rPr>
          <w:rFonts w:ascii="David" w:hAnsi="David" w:cs="David"/>
          <w:b/>
          <w:bCs/>
          <w:sz w:val="24"/>
          <w:szCs w:val="24"/>
        </w:rPr>
        <w:t xml:space="preserve">, </w:t>
      </w:r>
      <w:r w:rsidRPr="00A662F1">
        <w:rPr>
          <w:rFonts w:ascii="David" w:hAnsi="David" w:cs="David"/>
          <w:b/>
          <w:bCs/>
          <w:sz w:val="24"/>
          <w:szCs w:val="24"/>
          <w:rtl/>
        </w:rPr>
        <w:t>בעבותות</w:t>
      </w:r>
      <w:r w:rsidRPr="00A662F1">
        <w:rPr>
          <w:rFonts w:ascii="David" w:hAnsi="David" w:cs="David"/>
          <w:b/>
          <w:bCs/>
          <w:sz w:val="24"/>
          <w:szCs w:val="24"/>
        </w:rPr>
        <w:t xml:space="preserve"> </w:t>
      </w:r>
      <w:r w:rsidRPr="00A662F1">
        <w:rPr>
          <w:rFonts w:ascii="David" w:hAnsi="David" w:cs="David"/>
          <w:b/>
          <w:bCs/>
          <w:sz w:val="24"/>
          <w:szCs w:val="24"/>
          <w:rtl/>
        </w:rPr>
        <w:t>של</w:t>
      </w:r>
      <w:r w:rsidRPr="00A662F1">
        <w:rPr>
          <w:rFonts w:ascii="David" w:hAnsi="David" w:cs="David" w:hint="cs"/>
          <w:b/>
          <w:bCs/>
          <w:sz w:val="24"/>
          <w:szCs w:val="24"/>
          <w:rtl/>
        </w:rPr>
        <w:t xml:space="preserve"> </w:t>
      </w:r>
      <w:r w:rsidRPr="00A662F1">
        <w:rPr>
          <w:rFonts w:ascii="David" w:hAnsi="David" w:cs="David"/>
          <w:b/>
          <w:bCs/>
          <w:sz w:val="24"/>
          <w:szCs w:val="24"/>
          <w:rtl/>
        </w:rPr>
        <w:t>אהבה</w:t>
      </w:r>
      <w:r w:rsidRPr="00A662F1">
        <w:rPr>
          <w:rFonts w:ascii="David" w:hAnsi="David" w:cs="David"/>
          <w:b/>
          <w:bCs/>
          <w:sz w:val="24"/>
          <w:szCs w:val="24"/>
        </w:rPr>
        <w:t xml:space="preserve">, </w:t>
      </w:r>
      <w:r w:rsidRPr="00A662F1">
        <w:rPr>
          <w:rFonts w:ascii="David" w:hAnsi="David" w:cs="David"/>
          <w:b/>
          <w:bCs/>
          <w:sz w:val="24"/>
          <w:szCs w:val="24"/>
          <w:rtl/>
        </w:rPr>
        <w:t>ואשר</w:t>
      </w:r>
      <w:r w:rsidRPr="00A662F1">
        <w:rPr>
          <w:rFonts w:ascii="David" w:hAnsi="David" w:cs="David"/>
          <w:b/>
          <w:bCs/>
          <w:sz w:val="24"/>
          <w:szCs w:val="24"/>
        </w:rPr>
        <w:t xml:space="preserve"> </w:t>
      </w:r>
      <w:r w:rsidRPr="00A662F1">
        <w:rPr>
          <w:rFonts w:ascii="David" w:hAnsi="David" w:cs="David"/>
          <w:b/>
          <w:bCs/>
          <w:sz w:val="24"/>
          <w:szCs w:val="24"/>
          <w:rtl/>
        </w:rPr>
        <w:t>רצונותיהם</w:t>
      </w:r>
      <w:r w:rsidRPr="00A662F1">
        <w:rPr>
          <w:rFonts w:ascii="David" w:hAnsi="David" w:cs="David"/>
          <w:b/>
          <w:bCs/>
          <w:sz w:val="24"/>
          <w:szCs w:val="24"/>
        </w:rPr>
        <w:t xml:space="preserve"> </w:t>
      </w:r>
      <w:r w:rsidRPr="00A662F1">
        <w:rPr>
          <w:rFonts w:ascii="David" w:hAnsi="David" w:cs="David"/>
          <w:b/>
          <w:bCs/>
          <w:sz w:val="24"/>
          <w:szCs w:val="24"/>
          <w:rtl/>
        </w:rPr>
        <w:t>המנוגדים</w:t>
      </w:r>
      <w:r w:rsidRPr="00A662F1">
        <w:rPr>
          <w:rFonts w:ascii="David" w:hAnsi="David" w:cs="David"/>
          <w:b/>
          <w:bCs/>
          <w:sz w:val="24"/>
          <w:szCs w:val="24"/>
        </w:rPr>
        <w:t xml:space="preserve">, </w:t>
      </w:r>
      <w:r w:rsidRPr="00A662F1">
        <w:rPr>
          <w:rFonts w:ascii="David" w:hAnsi="David" w:cs="David"/>
          <w:b/>
          <w:bCs/>
          <w:sz w:val="24"/>
          <w:szCs w:val="24"/>
          <w:rtl/>
        </w:rPr>
        <w:t>שהובילו</w:t>
      </w:r>
      <w:r w:rsidRPr="00A662F1">
        <w:rPr>
          <w:rFonts w:ascii="David" w:hAnsi="David" w:cs="David"/>
          <w:b/>
          <w:bCs/>
          <w:sz w:val="24"/>
          <w:szCs w:val="24"/>
        </w:rPr>
        <w:t xml:space="preserve"> </w:t>
      </w:r>
      <w:r w:rsidRPr="00A662F1">
        <w:rPr>
          <w:rFonts w:ascii="David" w:hAnsi="David" w:cs="David"/>
          <w:b/>
          <w:bCs/>
          <w:sz w:val="24"/>
          <w:szCs w:val="24"/>
          <w:rtl/>
        </w:rPr>
        <w:t>לפניה</w:t>
      </w:r>
      <w:r w:rsidRPr="00A662F1">
        <w:rPr>
          <w:rFonts w:ascii="David" w:hAnsi="David" w:cs="David"/>
          <w:b/>
          <w:bCs/>
          <w:sz w:val="24"/>
          <w:szCs w:val="24"/>
        </w:rPr>
        <w:t xml:space="preserve"> </w:t>
      </w:r>
      <w:r w:rsidRPr="00A662F1">
        <w:rPr>
          <w:rFonts w:ascii="David" w:hAnsi="David" w:cs="David"/>
          <w:b/>
          <w:bCs/>
          <w:sz w:val="24"/>
          <w:szCs w:val="24"/>
          <w:rtl/>
        </w:rPr>
        <w:t>לבית</w:t>
      </w:r>
      <w:r w:rsidRPr="00A662F1">
        <w:rPr>
          <w:rFonts w:ascii="David" w:hAnsi="David" w:cs="David"/>
          <w:b/>
          <w:bCs/>
          <w:sz w:val="24"/>
          <w:szCs w:val="24"/>
        </w:rPr>
        <w:t xml:space="preserve"> </w:t>
      </w:r>
      <w:r w:rsidRPr="00A662F1">
        <w:rPr>
          <w:rFonts w:ascii="David" w:hAnsi="David" w:cs="David"/>
          <w:b/>
          <w:bCs/>
          <w:sz w:val="24"/>
          <w:szCs w:val="24"/>
          <w:rtl/>
        </w:rPr>
        <w:t>המשפט</w:t>
      </w:r>
      <w:r w:rsidRPr="00A662F1">
        <w:rPr>
          <w:rFonts w:ascii="David" w:hAnsi="David" w:cs="David"/>
          <w:b/>
          <w:bCs/>
          <w:sz w:val="24"/>
          <w:szCs w:val="24"/>
        </w:rPr>
        <w:t xml:space="preserve">, </w:t>
      </w:r>
      <w:r w:rsidRPr="00A662F1">
        <w:rPr>
          <w:rFonts w:ascii="David" w:hAnsi="David" w:cs="David"/>
          <w:b/>
          <w:bCs/>
          <w:sz w:val="24"/>
          <w:szCs w:val="24"/>
          <w:rtl/>
        </w:rPr>
        <w:t>מחייבים</w:t>
      </w:r>
      <w:r w:rsidRPr="00A662F1">
        <w:rPr>
          <w:rFonts w:ascii="David" w:hAnsi="David" w:cs="David"/>
          <w:b/>
          <w:bCs/>
          <w:sz w:val="24"/>
          <w:szCs w:val="24"/>
        </w:rPr>
        <w:t xml:space="preserve"> </w:t>
      </w:r>
      <w:r w:rsidRPr="00A662F1">
        <w:rPr>
          <w:rFonts w:ascii="David" w:hAnsi="David" w:cs="David"/>
          <w:b/>
          <w:bCs/>
          <w:sz w:val="24"/>
          <w:szCs w:val="24"/>
          <w:rtl/>
        </w:rPr>
        <w:t>בסופו</w:t>
      </w:r>
      <w:r w:rsidRPr="00A662F1">
        <w:rPr>
          <w:rFonts w:ascii="David" w:hAnsi="David" w:cs="David"/>
          <w:b/>
          <w:bCs/>
          <w:sz w:val="24"/>
          <w:szCs w:val="24"/>
        </w:rPr>
        <w:t xml:space="preserve"> </w:t>
      </w:r>
      <w:r w:rsidRPr="00A662F1">
        <w:rPr>
          <w:rFonts w:ascii="David" w:hAnsi="David" w:cs="David"/>
          <w:b/>
          <w:bCs/>
          <w:sz w:val="24"/>
          <w:szCs w:val="24"/>
          <w:rtl/>
        </w:rPr>
        <w:t>של</w:t>
      </w:r>
      <w:r w:rsidRPr="00A662F1">
        <w:rPr>
          <w:rFonts w:ascii="David" w:hAnsi="David" w:cs="David"/>
          <w:b/>
          <w:bCs/>
          <w:sz w:val="24"/>
          <w:szCs w:val="24"/>
        </w:rPr>
        <w:t xml:space="preserve"> </w:t>
      </w:r>
      <w:r w:rsidRPr="00A662F1">
        <w:rPr>
          <w:rFonts w:ascii="David" w:hAnsi="David" w:cs="David"/>
          <w:b/>
          <w:bCs/>
          <w:sz w:val="24"/>
          <w:szCs w:val="24"/>
          <w:rtl/>
        </w:rPr>
        <w:t>יום</w:t>
      </w:r>
      <w:r w:rsidRPr="00A662F1">
        <w:rPr>
          <w:rFonts w:ascii="David" w:hAnsi="David" w:cs="David"/>
          <w:b/>
          <w:bCs/>
          <w:sz w:val="24"/>
          <w:szCs w:val="24"/>
        </w:rPr>
        <w:t xml:space="preserve"> </w:t>
      </w:r>
      <w:r w:rsidRPr="00A662F1">
        <w:rPr>
          <w:rFonts w:ascii="David" w:hAnsi="David" w:cs="David"/>
          <w:b/>
          <w:bCs/>
          <w:sz w:val="24"/>
          <w:szCs w:val="24"/>
          <w:rtl/>
        </w:rPr>
        <w:t>צמצום</w:t>
      </w:r>
      <w:r w:rsidRPr="00A662F1">
        <w:rPr>
          <w:rFonts w:ascii="David" w:hAnsi="David" w:cs="David"/>
          <w:b/>
          <w:bCs/>
          <w:sz w:val="24"/>
          <w:szCs w:val="24"/>
        </w:rPr>
        <w:t xml:space="preserve"> </w:t>
      </w:r>
      <w:r w:rsidRPr="00A662F1">
        <w:rPr>
          <w:rFonts w:ascii="David" w:hAnsi="David" w:cs="David"/>
          <w:b/>
          <w:bCs/>
          <w:sz w:val="24"/>
          <w:szCs w:val="24"/>
          <w:rtl/>
        </w:rPr>
        <w:t>כלשהו</w:t>
      </w:r>
      <w:r w:rsidRPr="00A662F1">
        <w:rPr>
          <w:rFonts w:ascii="David" w:hAnsi="David" w:cs="David"/>
          <w:b/>
          <w:bCs/>
          <w:sz w:val="24"/>
          <w:szCs w:val="24"/>
        </w:rPr>
        <w:t xml:space="preserve"> </w:t>
      </w:r>
      <w:r w:rsidRPr="00A662F1">
        <w:rPr>
          <w:rFonts w:ascii="David" w:hAnsi="David" w:cs="David"/>
          <w:b/>
          <w:bCs/>
          <w:sz w:val="24"/>
          <w:szCs w:val="24"/>
          <w:rtl/>
        </w:rPr>
        <w:t>של</w:t>
      </w:r>
      <w:r w:rsidRPr="00A662F1">
        <w:rPr>
          <w:rFonts w:ascii="David" w:hAnsi="David" w:cs="David" w:hint="cs"/>
          <w:b/>
          <w:bCs/>
          <w:sz w:val="24"/>
          <w:szCs w:val="24"/>
          <w:rtl/>
        </w:rPr>
        <w:t xml:space="preserve"> </w:t>
      </w:r>
      <w:r w:rsidRPr="00A662F1">
        <w:rPr>
          <w:rFonts w:ascii="David" w:hAnsi="David" w:cs="David"/>
          <w:b/>
          <w:bCs/>
          <w:sz w:val="24"/>
          <w:szCs w:val="24"/>
          <w:rtl/>
        </w:rPr>
        <w:t>זכותו</w:t>
      </w:r>
      <w:r w:rsidRPr="00A662F1">
        <w:rPr>
          <w:rFonts w:ascii="David" w:hAnsi="David" w:cs="David"/>
          <w:b/>
          <w:bCs/>
          <w:sz w:val="24"/>
          <w:szCs w:val="24"/>
        </w:rPr>
        <w:t xml:space="preserve"> </w:t>
      </w:r>
      <w:r w:rsidRPr="00A662F1">
        <w:rPr>
          <w:rFonts w:ascii="David" w:hAnsi="David" w:cs="David"/>
          <w:b/>
          <w:bCs/>
          <w:sz w:val="24"/>
          <w:szCs w:val="24"/>
          <w:rtl/>
        </w:rPr>
        <w:t>של</w:t>
      </w:r>
      <w:r w:rsidRPr="00A662F1">
        <w:rPr>
          <w:rFonts w:ascii="David" w:hAnsi="David" w:cs="David"/>
          <w:b/>
          <w:bCs/>
          <w:sz w:val="24"/>
          <w:szCs w:val="24"/>
        </w:rPr>
        <w:t xml:space="preserve"> </w:t>
      </w:r>
      <w:r w:rsidRPr="00A662F1">
        <w:rPr>
          <w:rFonts w:ascii="David" w:hAnsi="David" w:cs="David"/>
          <w:b/>
          <w:bCs/>
          <w:sz w:val="24"/>
          <w:szCs w:val="24"/>
          <w:rtl/>
        </w:rPr>
        <w:t>מי</w:t>
      </w:r>
      <w:r w:rsidRPr="00A662F1">
        <w:rPr>
          <w:rFonts w:ascii="David" w:hAnsi="David" w:cs="David"/>
          <w:b/>
          <w:bCs/>
          <w:sz w:val="24"/>
          <w:szCs w:val="24"/>
        </w:rPr>
        <w:t xml:space="preserve"> </w:t>
      </w:r>
      <w:r w:rsidRPr="00A662F1">
        <w:rPr>
          <w:rFonts w:ascii="David" w:hAnsi="David" w:cs="David"/>
          <w:b/>
          <w:bCs/>
          <w:sz w:val="24"/>
          <w:szCs w:val="24"/>
          <w:rtl/>
        </w:rPr>
        <w:t>מהם</w:t>
      </w:r>
      <w:r w:rsidRPr="00A662F1">
        <w:rPr>
          <w:rFonts w:ascii="David" w:hAnsi="David" w:cs="David"/>
          <w:b/>
          <w:bCs/>
          <w:sz w:val="24"/>
          <w:szCs w:val="24"/>
        </w:rPr>
        <w:t xml:space="preserve"> </w:t>
      </w:r>
      <w:r w:rsidRPr="00A662F1">
        <w:rPr>
          <w:rFonts w:ascii="David" w:hAnsi="David" w:cs="David"/>
          <w:b/>
          <w:bCs/>
          <w:sz w:val="24"/>
          <w:szCs w:val="24"/>
          <w:rtl/>
        </w:rPr>
        <w:t>לקשר</w:t>
      </w:r>
      <w:r w:rsidRPr="00A662F1">
        <w:rPr>
          <w:rFonts w:ascii="David" w:hAnsi="David" w:cs="David"/>
          <w:b/>
          <w:bCs/>
          <w:sz w:val="24"/>
          <w:szCs w:val="24"/>
        </w:rPr>
        <w:t xml:space="preserve"> </w:t>
      </w:r>
      <w:r w:rsidRPr="00A662F1">
        <w:rPr>
          <w:rFonts w:ascii="David" w:hAnsi="David" w:cs="David"/>
          <w:b/>
          <w:bCs/>
          <w:sz w:val="24"/>
          <w:szCs w:val="24"/>
          <w:rtl/>
        </w:rPr>
        <w:t>מלא</w:t>
      </w:r>
      <w:r w:rsidRPr="00A662F1">
        <w:rPr>
          <w:rFonts w:ascii="David" w:hAnsi="David" w:cs="David"/>
          <w:b/>
          <w:bCs/>
          <w:sz w:val="24"/>
          <w:szCs w:val="24"/>
        </w:rPr>
        <w:t xml:space="preserve"> </w:t>
      </w:r>
      <w:r w:rsidRPr="00A662F1">
        <w:rPr>
          <w:rFonts w:ascii="David" w:hAnsi="David" w:cs="David"/>
          <w:b/>
          <w:bCs/>
          <w:sz w:val="24"/>
          <w:szCs w:val="24"/>
          <w:rtl/>
        </w:rPr>
        <w:t>ותכוף</w:t>
      </w:r>
      <w:r w:rsidRPr="00A662F1">
        <w:rPr>
          <w:rFonts w:ascii="David" w:hAnsi="David" w:cs="David"/>
          <w:b/>
          <w:bCs/>
          <w:sz w:val="24"/>
          <w:szCs w:val="24"/>
        </w:rPr>
        <w:t xml:space="preserve"> </w:t>
      </w:r>
      <w:r w:rsidRPr="00A662F1">
        <w:rPr>
          <w:rFonts w:ascii="David" w:hAnsi="David" w:cs="David"/>
          <w:b/>
          <w:bCs/>
          <w:sz w:val="24"/>
          <w:szCs w:val="24"/>
          <w:rtl/>
        </w:rPr>
        <w:t>עם</w:t>
      </w:r>
      <w:r w:rsidRPr="00A662F1">
        <w:rPr>
          <w:rFonts w:ascii="David" w:hAnsi="David" w:cs="David"/>
          <w:b/>
          <w:bCs/>
          <w:sz w:val="24"/>
          <w:szCs w:val="24"/>
        </w:rPr>
        <w:t xml:space="preserve"> </w:t>
      </w:r>
      <w:r w:rsidRPr="00A662F1">
        <w:rPr>
          <w:rFonts w:ascii="David" w:hAnsi="David" w:cs="David"/>
          <w:b/>
          <w:bCs/>
          <w:sz w:val="24"/>
          <w:szCs w:val="24"/>
          <w:rtl/>
        </w:rPr>
        <w:t>ילדו</w:t>
      </w:r>
      <w:r w:rsidRPr="00A662F1">
        <w:rPr>
          <w:rStyle w:val="a6"/>
          <w:rFonts w:ascii="David" w:hAnsi="David" w:cs="David"/>
          <w:b/>
          <w:bCs/>
          <w:sz w:val="24"/>
          <w:szCs w:val="24"/>
        </w:rPr>
        <w:footnoteReference w:id="4"/>
      </w:r>
      <w:r w:rsidRPr="00A662F1">
        <w:rPr>
          <w:rFonts w:cs="David"/>
          <w:b/>
          <w:bCs/>
          <w:sz w:val="24"/>
          <w:szCs w:val="24"/>
        </w:rPr>
        <w:t xml:space="preserve"> </w:t>
      </w:r>
      <w:r w:rsidRPr="00A662F1">
        <w:rPr>
          <w:rFonts w:ascii="David" w:hAnsi="David" w:cs="David"/>
          <w:b/>
          <w:bCs/>
          <w:sz w:val="24"/>
          <w:szCs w:val="24"/>
        </w:rPr>
        <w:t>".</w:t>
      </w:r>
      <w:r w:rsidRPr="00A662F1">
        <w:rPr>
          <w:rFonts w:ascii="David" w:hAnsi="David" w:cs="David" w:hint="cs"/>
          <w:b/>
          <w:bCs/>
          <w:sz w:val="24"/>
          <w:szCs w:val="24"/>
          <w:rtl/>
        </w:rPr>
        <w:t xml:space="preserve"> </w:t>
      </w:r>
    </w:p>
    <w:p w:rsidR="00896EDF" w:rsidRPr="00A662F1" w:rsidRDefault="00896EDF" w:rsidP="00896EDF">
      <w:pPr>
        <w:spacing w:before="120" w:after="0" w:line="360" w:lineRule="auto"/>
        <w:jc w:val="both"/>
        <w:rPr>
          <w:rFonts w:ascii="David" w:cs="David"/>
          <w:sz w:val="24"/>
          <w:szCs w:val="24"/>
          <w:rtl/>
        </w:rPr>
      </w:pPr>
    </w:p>
    <w:p w:rsidR="00896EDF" w:rsidRPr="000D32D6" w:rsidRDefault="00896EDF" w:rsidP="00896EDF">
      <w:pPr>
        <w:spacing w:before="120" w:after="0" w:line="360" w:lineRule="auto"/>
        <w:rPr>
          <w:rFonts w:cs="David"/>
          <w:b/>
          <w:bCs/>
          <w:sz w:val="24"/>
          <w:szCs w:val="24"/>
          <w:rtl/>
        </w:rPr>
      </w:pPr>
      <w:r w:rsidRPr="00835A8B">
        <w:rPr>
          <w:rFonts w:cs="David" w:hint="cs"/>
          <w:b/>
          <w:bCs/>
          <w:sz w:val="24"/>
          <w:szCs w:val="24"/>
          <w:rtl/>
        </w:rPr>
        <w:t>התפתחויות בתחום זכויות הילד והגדרת יחסי הורים-ילדים</w:t>
      </w:r>
    </w:p>
    <w:p w:rsidR="00896EDF" w:rsidRPr="000D32D6" w:rsidRDefault="00896EDF" w:rsidP="00896EDF">
      <w:pPr>
        <w:spacing w:before="120" w:after="0" w:line="360" w:lineRule="auto"/>
        <w:jc w:val="both"/>
        <w:rPr>
          <w:rFonts w:cs="David"/>
          <w:b/>
          <w:bCs/>
          <w:sz w:val="24"/>
          <w:szCs w:val="24"/>
          <w:rtl/>
        </w:rPr>
      </w:pPr>
      <w:r>
        <w:rPr>
          <w:rFonts w:cs="David" w:hint="cs"/>
          <w:b/>
          <w:bCs/>
          <w:sz w:val="24"/>
          <w:szCs w:val="24"/>
          <w:rtl/>
        </w:rPr>
        <w:t>אמנת האו"ם בדבר זכויות הילד</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 xml:space="preserve">בשנת 1990 חתמה מדינת ישראל על אמנת האו"ם בדבר זכויות הילד, 1989.  בשנת 1991 אושררה האמנה בישראל. </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אמנה זו מתייחסת לכלל תחומי החיים של ילדים ומשקפת מעבר מתפיסה פטרנליסטית של הגנה על ילדים לתפיסה של הילד כנושא בזכויות.  כנגד אותן זכויות קמה להורים חובה ליישמן. ארבעת העקרונות המרכזיים באמנה הם עקרון טובת הילד, עקרון השתתפות ילדים בהחלטות הנוגעות לחייהם, עקרון השוויון, ועקרון החיים, ההישרדות וההתפתחות.</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ועדת רוטלוי וכן, ועדת שניט דנו בהתאמת המצב המשפטי הקיים לעקרונות האמנה</w:t>
      </w:r>
      <w:r>
        <w:rPr>
          <w:rFonts w:cs="David" w:hint="cs"/>
          <w:sz w:val="24"/>
          <w:szCs w:val="24"/>
          <w:rtl/>
        </w:rPr>
        <w:t xml:space="preserve">, </w:t>
      </w:r>
      <w:r w:rsidRPr="000D32D6">
        <w:rPr>
          <w:rFonts w:cs="David" w:hint="cs"/>
          <w:sz w:val="24"/>
          <w:szCs w:val="24"/>
          <w:rtl/>
        </w:rPr>
        <w:t xml:space="preserve">כפי שיפורט להלן). </w:t>
      </w:r>
    </w:p>
    <w:p w:rsidR="00896EDF" w:rsidRPr="000D32D6" w:rsidRDefault="00896EDF" w:rsidP="00896EDF">
      <w:pPr>
        <w:spacing w:before="120" w:after="0" w:line="360" w:lineRule="auto"/>
        <w:jc w:val="both"/>
        <w:rPr>
          <w:rFonts w:cs="David"/>
          <w:b/>
          <w:bCs/>
          <w:sz w:val="24"/>
          <w:szCs w:val="24"/>
          <w:rtl/>
        </w:rPr>
      </w:pPr>
      <w:r w:rsidRPr="000D32D6">
        <w:rPr>
          <w:rFonts w:cs="David" w:hint="cs"/>
          <w:b/>
          <w:bCs/>
          <w:sz w:val="24"/>
          <w:szCs w:val="24"/>
          <w:rtl/>
        </w:rPr>
        <w:lastRenderedPageBreak/>
        <w:t>הוועדה לבחינת עקרונות יסוד בתחום הילד והמשפט ויישומם בחקיקה (ועדת רוטלוי)</w:t>
      </w:r>
    </w:p>
    <w:p w:rsidR="00896EDF" w:rsidRPr="000D32D6" w:rsidRDefault="00896EDF" w:rsidP="00896EDF">
      <w:pPr>
        <w:spacing w:before="120" w:after="0" w:line="360" w:lineRule="auto"/>
        <w:jc w:val="both"/>
        <w:rPr>
          <w:rFonts w:cs="David"/>
          <w:sz w:val="24"/>
          <w:szCs w:val="24"/>
          <w:highlight w:val="yellow"/>
          <w:rtl/>
        </w:rPr>
      </w:pPr>
      <w:r w:rsidRPr="000D32D6">
        <w:rPr>
          <w:rFonts w:cs="David" w:hint="cs"/>
          <w:sz w:val="24"/>
          <w:szCs w:val="24"/>
          <w:rtl/>
        </w:rPr>
        <w:t xml:space="preserve">בשנת 1997 מונתה על ידי שר המשפטים דאז ועדה לבחינת עקרונות יסוד בתחום הילד והמשפט ויישומם בחקיקה בראשות כב' השופטת סביונה רוטלוי (להלן </w:t>
      </w:r>
      <w:r w:rsidRPr="000D32D6">
        <w:rPr>
          <w:rFonts w:cs="David"/>
          <w:sz w:val="24"/>
          <w:szCs w:val="24"/>
          <w:rtl/>
        </w:rPr>
        <w:t>–</w:t>
      </w:r>
      <w:r w:rsidRPr="000D32D6">
        <w:rPr>
          <w:rFonts w:cs="David" w:hint="cs"/>
          <w:sz w:val="24"/>
          <w:szCs w:val="24"/>
          <w:rtl/>
        </w:rPr>
        <w:t xml:space="preserve"> ועדת רוטלוי)</w:t>
      </w:r>
      <w:r w:rsidRPr="000D32D6">
        <w:rPr>
          <w:rFonts w:cs="David" w:hint="cs"/>
          <w:b/>
          <w:bCs/>
          <w:sz w:val="24"/>
          <w:szCs w:val="24"/>
          <w:rtl/>
        </w:rPr>
        <w:t xml:space="preserve">. </w:t>
      </w:r>
      <w:r w:rsidRPr="000D32D6">
        <w:rPr>
          <w:rFonts w:cs="David" w:hint="cs"/>
          <w:sz w:val="24"/>
          <w:szCs w:val="24"/>
          <w:rtl/>
        </w:rPr>
        <w:t xml:space="preserve">מטרות הוועדה היו גיבוש תפיסות יסוד ביחס לילדים, לזכויותיהם ולמעמדם בדין ובחברה הישראלית בהתבסס על עקרונות האמנה ובחינה מקיפה של החקיקה הישראלית לאור עקרונות האמנה וגיבוש תיקוני חקיקה לאורה. הוועדה עסקה, בין היתר, בעקרון טובת הילד ומודל האחריות ההורית. הוועדה הגדירה את טובת הילד כמכלול הזכויות, הצרכים והאינטרסים של הילד, ביקשה לראות בטובת הילד שיקול ראשון במעלה ונקודת המוצא העקרונית ממנה נגזרת האחריות ההורית, וביקשה לעגן את מודל האחריות ההורית </w:t>
      </w:r>
      <w:r>
        <w:rPr>
          <w:rFonts w:cs="David" w:hint="cs"/>
          <w:sz w:val="24"/>
          <w:szCs w:val="24"/>
          <w:rtl/>
        </w:rPr>
        <w:t>ולזנוח את</w:t>
      </w:r>
      <w:r w:rsidRPr="000D32D6">
        <w:rPr>
          <w:rFonts w:cs="David" w:hint="cs"/>
          <w:sz w:val="24"/>
          <w:szCs w:val="24"/>
          <w:rtl/>
        </w:rPr>
        <w:t xml:space="preserve"> השימוש במונח אפוטרופסות. </w:t>
      </w:r>
      <w:r>
        <w:rPr>
          <w:rFonts w:cs="David" w:hint="cs"/>
          <w:sz w:val="24"/>
          <w:szCs w:val="24"/>
          <w:rtl/>
        </w:rPr>
        <w:t xml:space="preserve">הוועדה המליצה לעגן את זכותו של הילד לקשר עם הוריו. </w:t>
      </w:r>
      <w:r w:rsidRPr="000D32D6">
        <w:rPr>
          <w:rFonts w:cs="David" w:hint="cs"/>
          <w:sz w:val="24"/>
          <w:szCs w:val="24"/>
          <w:rtl/>
        </w:rPr>
        <w:t>הוועדה התייחסה לנושא חזקת הגיל הרך, הציגה טיעונים בעד ונגד ביטולה, דנה במגוון פתרונות בנושא (בין היתר, חזקת ההורה העיקרי, קביעת כללים מובנים להחלטה בנושא, הכללת החזקה כפרמטר במסגרת הכללים ועוד), אך לא הכריעה ולא הציגה המלצות בנושא</w:t>
      </w:r>
      <w:r w:rsidRPr="000D32D6">
        <w:rPr>
          <w:rStyle w:val="a6"/>
          <w:rFonts w:cs="David"/>
          <w:sz w:val="24"/>
          <w:szCs w:val="24"/>
          <w:rtl/>
        </w:rPr>
        <w:footnoteReference w:id="5"/>
      </w:r>
      <w:r w:rsidRPr="000D32D6">
        <w:rPr>
          <w:rFonts w:cs="David" w:hint="cs"/>
          <w:sz w:val="24"/>
          <w:szCs w:val="24"/>
          <w:rtl/>
        </w:rPr>
        <w:t xml:space="preserve">. </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 xml:space="preserve"> </w:t>
      </w:r>
    </w:p>
    <w:p w:rsidR="00896EDF" w:rsidRPr="000D32D6" w:rsidRDefault="00896EDF" w:rsidP="00896EDF">
      <w:pPr>
        <w:spacing w:before="120" w:after="0" w:line="360" w:lineRule="auto"/>
        <w:jc w:val="both"/>
        <w:rPr>
          <w:rFonts w:cs="David"/>
          <w:b/>
          <w:bCs/>
          <w:sz w:val="24"/>
          <w:szCs w:val="24"/>
          <w:rtl/>
        </w:rPr>
      </w:pPr>
      <w:r w:rsidRPr="000D32D6">
        <w:rPr>
          <w:rFonts w:cs="David" w:hint="cs"/>
          <w:b/>
          <w:bCs/>
          <w:sz w:val="24"/>
          <w:szCs w:val="24"/>
          <w:rtl/>
        </w:rPr>
        <w:t>הוועדה לבחינת ההיבטים המשפטיים של האחריות ההורית בגירושין (ועדת שניט) והמלצותיה</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בשנת 2005 מונתה על ידי שרת המשפטים דאז, חה"כ ציפי לבני, ועדה ציבורית לבחינת ההיבטים המשפטיים של האחריות ההורית בגירושין בראשותו של פר</w:t>
      </w:r>
      <w:r>
        <w:rPr>
          <w:rFonts w:cs="David" w:hint="cs"/>
          <w:sz w:val="24"/>
          <w:szCs w:val="24"/>
          <w:rtl/>
        </w:rPr>
        <w:t>ו</w:t>
      </w:r>
      <w:r w:rsidRPr="000D32D6">
        <w:rPr>
          <w:rFonts w:cs="David" w:hint="cs"/>
          <w:sz w:val="24"/>
          <w:szCs w:val="24"/>
          <w:rtl/>
        </w:rPr>
        <w:t xml:space="preserve">פ' דן שניט (להלן </w:t>
      </w:r>
      <w:r w:rsidRPr="000D32D6">
        <w:rPr>
          <w:rFonts w:cs="David"/>
          <w:sz w:val="24"/>
          <w:szCs w:val="24"/>
          <w:rtl/>
        </w:rPr>
        <w:t>–</w:t>
      </w:r>
      <w:r w:rsidRPr="000D32D6">
        <w:rPr>
          <w:rFonts w:cs="David" w:hint="cs"/>
          <w:sz w:val="24"/>
          <w:szCs w:val="24"/>
          <w:rtl/>
        </w:rPr>
        <w:t xml:space="preserve"> ועדת שניט). הוועדה התבקשה לבחון את הכללים הקיימים ביחס לשיתוף ולחלוקה של האחריות ההורית בתקופת הגירושין ולאחריה ואת יישומם בפרקטיקה הנוהגת בבתי המשפט ובבתי הדין הדתיים</w:t>
      </w:r>
      <w:r>
        <w:rPr>
          <w:rFonts w:cs="David" w:hint="cs"/>
          <w:sz w:val="24"/>
          <w:szCs w:val="24"/>
          <w:rtl/>
        </w:rPr>
        <w:t>,</w:t>
      </w:r>
      <w:r w:rsidRPr="000D32D6">
        <w:rPr>
          <w:rFonts w:cs="David" w:hint="cs"/>
          <w:sz w:val="24"/>
          <w:szCs w:val="24"/>
          <w:rtl/>
        </w:rPr>
        <w:t xml:space="preserve"> ובפרט לתת את המלצותיה לעניין חזקת הגיל הרך ובחינת הצורך לעגן הסדרים אחרים לגבי חלוקה ושיתוף האחריות ההורית בגירושין. בנוסף התבקשה הוועדה להציע דרכים לשכלול הכלים העומדים לרשות בתי המשפט ובתי הדין הדתיים לשם קביעת טובת הילד. </w:t>
      </w:r>
    </w:p>
    <w:p w:rsidR="00896EDF" w:rsidRPr="000D32D6" w:rsidRDefault="00896EDF" w:rsidP="00896EDF">
      <w:pPr>
        <w:spacing w:before="120" w:after="0" w:line="360" w:lineRule="auto"/>
        <w:jc w:val="both"/>
        <w:rPr>
          <w:rFonts w:cs="David"/>
          <w:sz w:val="24"/>
          <w:szCs w:val="24"/>
          <w:highlight w:val="yellow"/>
          <w:rtl/>
        </w:rPr>
      </w:pPr>
      <w:r w:rsidRPr="000D32D6">
        <w:rPr>
          <w:rFonts w:cs="David" w:hint="cs"/>
          <w:sz w:val="24"/>
          <w:szCs w:val="24"/>
          <w:rtl/>
        </w:rPr>
        <w:t xml:space="preserve">ועדת שניט דנה בהתאמת המצב המשפטי הקיים ביחסים שבין הורים לבין ילדיהם במצבי גירושין לעקרונות האמנה. התפיסה החדשה אותה </w:t>
      </w:r>
      <w:r>
        <w:rPr>
          <w:rFonts w:cs="David" w:hint="cs"/>
          <w:sz w:val="24"/>
          <w:szCs w:val="24"/>
          <w:rtl/>
        </w:rPr>
        <w:t>ביקשה</w:t>
      </w:r>
      <w:r w:rsidRPr="000D32D6">
        <w:rPr>
          <w:rFonts w:cs="David" w:hint="cs"/>
          <w:sz w:val="24"/>
          <w:szCs w:val="24"/>
          <w:rtl/>
        </w:rPr>
        <w:t xml:space="preserve"> הוועדה לקדם היא, כפי שגם המליצה ועדת רוטלוי, העברת קשרי הגומלין מתפיסת ההורים כאפוטרופסים (ממי שמנהל ושולט בילד משום שהוא קנינו הטבעי) והילדים כבעלי כשרות מוגבלת</w:t>
      </w:r>
      <w:r>
        <w:rPr>
          <w:rFonts w:cs="David" w:hint="cs"/>
          <w:sz w:val="24"/>
          <w:szCs w:val="24"/>
          <w:rtl/>
        </w:rPr>
        <w:t>,</w:t>
      </w:r>
      <w:r w:rsidRPr="000D32D6">
        <w:rPr>
          <w:rFonts w:cs="David" w:hint="cs"/>
          <w:sz w:val="24"/>
          <w:szCs w:val="24"/>
          <w:rtl/>
        </w:rPr>
        <w:t xml:space="preserve"> לגישה של קשרי גומלין לפיהן הילד הוא בעל זכויות שהאחריות למימושן מוטלת על הוריו. לעניין פירוד, המשמעות היא</w:t>
      </w:r>
      <w:r>
        <w:rPr>
          <w:rFonts w:cs="David" w:hint="cs"/>
          <w:sz w:val="24"/>
          <w:szCs w:val="24"/>
          <w:rtl/>
        </w:rPr>
        <w:t>,</w:t>
      </w:r>
      <w:r w:rsidRPr="000D32D6">
        <w:rPr>
          <w:rFonts w:cs="David" w:hint="cs"/>
          <w:sz w:val="24"/>
          <w:szCs w:val="24"/>
          <w:rtl/>
        </w:rPr>
        <w:t xml:space="preserve"> בין היתר</w:t>
      </w:r>
      <w:r>
        <w:rPr>
          <w:rFonts w:cs="David" w:hint="cs"/>
          <w:sz w:val="24"/>
          <w:szCs w:val="24"/>
          <w:rtl/>
        </w:rPr>
        <w:t>, ש</w:t>
      </w:r>
      <w:r w:rsidRPr="000D32D6">
        <w:rPr>
          <w:rFonts w:cs="David" w:hint="cs"/>
          <w:sz w:val="24"/>
          <w:szCs w:val="24"/>
          <w:rtl/>
        </w:rPr>
        <w:t xml:space="preserve">להורה </w:t>
      </w:r>
      <w:r>
        <w:rPr>
          <w:rFonts w:cs="David" w:hint="cs"/>
          <w:sz w:val="24"/>
          <w:szCs w:val="24"/>
          <w:rtl/>
        </w:rPr>
        <w:t xml:space="preserve">אין </w:t>
      </w:r>
      <w:r w:rsidRPr="000D32D6">
        <w:rPr>
          <w:rFonts w:cs="David" w:hint="cs"/>
          <w:sz w:val="24"/>
          <w:szCs w:val="24"/>
          <w:rtl/>
        </w:rPr>
        <w:t>זכות לוותר על אחריותו כלפי הילד ו</w:t>
      </w:r>
      <w:r>
        <w:rPr>
          <w:rFonts w:cs="David" w:hint="cs"/>
          <w:sz w:val="24"/>
          <w:szCs w:val="24"/>
          <w:rtl/>
        </w:rPr>
        <w:t xml:space="preserve">הוא אינו יכול </w:t>
      </w:r>
      <w:r w:rsidRPr="000D32D6">
        <w:rPr>
          <w:rFonts w:cs="David" w:hint="cs"/>
          <w:sz w:val="24"/>
          <w:szCs w:val="24"/>
          <w:rtl/>
        </w:rPr>
        <w:t>להש</w:t>
      </w:r>
      <w:r>
        <w:rPr>
          <w:rFonts w:cs="David" w:hint="cs"/>
          <w:sz w:val="24"/>
          <w:szCs w:val="24"/>
          <w:rtl/>
        </w:rPr>
        <w:t>ת</w:t>
      </w:r>
      <w:r w:rsidRPr="000D32D6">
        <w:rPr>
          <w:rFonts w:cs="David" w:hint="cs"/>
          <w:sz w:val="24"/>
          <w:szCs w:val="24"/>
          <w:rtl/>
        </w:rPr>
        <w:t xml:space="preserve">מט מאחריות זו. </w:t>
      </w:r>
    </w:p>
    <w:p w:rsidR="00896EDF" w:rsidRPr="000D32D6" w:rsidRDefault="00896EDF" w:rsidP="00896EDF">
      <w:pPr>
        <w:spacing w:before="120" w:after="0" w:line="360" w:lineRule="auto"/>
        <w:jc w:val="both"/>
        <w:rPr>
          <w:rFonts w:cs="David"/>
          <w:sz w:val="24"/>
          <w:szCs w:val="24"/>
        </w:rPr>
      </w:pPr>
      <w:r w:rsidRPr="000D32D6">
        <w:rPr>
          <w:rFonts w:cs="David" w:hint="cs"/>
          <w:b/>
          <w:bCs/>
          <w:sz w:val="24"/>
          <w:szCs w:val="24"/>
          <w:rtl/>
        </w:rPr>
        <w:t>בדו"ח הביניים</w:t>
      </w:r>
      <w:r w:rsidRPr="000D32D6">
        <w:rPr>
          <w:rFonts w:cs="David" w:hint="cs"/>
          <w:sz w:val="24"/>
          <w:szCs w:val="24"/>
          <w:rtl/>
        </w:rPr>
        <w:t xml:space="preserve"> שהגישה הוועדה בשנת 2008 </w:t>
      </w:r>
      <w:r w:rsidRPr="00C738ED">
        <w:rPr>
          <w:rFonts w:cs="David" w:hint="cs"/>
          <w:b/>
          <w:bCs/>
          <w:sz w:val="24"/>
          <w:szCs w:val="24"/>
          <w:rtl/>
        </w:rPr>
        <w:t>המליצה הוועדה לבטל את חזקת הגיל הרך ולהבנו</w:t>
      </w:r>
      <w:r>
        <w:rPr>
          <w:rFonts w:cs="David" w:hint="cs"/>
          <w:b/>
          <w:bCs/>
          <w:sz w:val="24"/>
          <w:szCs w:val="24"/>
          <w:rtl/>
        </w:rPr>
        <w:t xml:space="preserve">ת את שיקול דעת </w:t>
      </w:r>
      <w:r w:rsidRPr="00C738ED">
        <w:rPr>
          <w:rFonts w:cs="David" w:hint="cs"/>
          <w:b/>
          <w:bCs/>
          <w:sz w:val="24"/>
          <w:szCs w:val="24"/>
          <w:rtl/>
        </w:rPr>
        <w:t xml:space="preserve">בית המשפט </w:t>
      </w:r>
      <w:r w:rsidRPr="000D32D6">
        <w:rPr>
          <w:rFonts w:cs="David" w:hint="cs"/>
          <w:sz w:val="24"/>
          <w:szCs w:val="24"/>
          <w:rtl/>
        </w:rPr>
        <w:t xml:space="preserve">בבואו לקבוע את הסדר ההורות על פי טובת הילד. המלצה זו של הוועדה </w:t>
      </w:r>
      <w:r w:rsidRPr="007A69B8">
        <w:rPr>
          <w:rFonts w:cs="David" w:hint="cs"/>
          <w:sz w:val="24"/>
          <w:szCs w:val="24"/>
          <w:rtl/>
        </w:rPr>
        <w:t xml:space="preserve">היוותה </w:t>
      </w:r>
      <w:r w:rsidRPr="007A69B8">
        <w:rPr>
          <w:rFonts w:cs="David" w:hint="cs"/>
          <w:sz w:val="24"/>
          <w:szCs w:val="24"/>
          <w:u w:val="single"/>
          <w:rtl/>
        </w:rPr>
        <w:t>חלק מרפורמה</w:t>
      </w:r>
      <w:r w:rsidRPr="007A69B8">
        <w:rPr>
          <w:rFonts w:cs="David" w:hint="cs"/>
          <w:sz w:val="24"/>
          <w:szCs w:val="24"/>
          <w:rtl/>
        </w:rPr>
        <w:t xml:space="preserve"> שלמה שהציעה</w:t>
      </w:r>
      <w:r w:rsidRPr="000D32D6">
        <w:rPr>
          <w:rFonts w:cs="David" w:hint="cs"/>
          <w:sz w:val="24"/>
          <w:szCs w:val="24"/>
          <w:rtl/>
        </w:rPr>
        <w:t>, המושתת</w:t>
      </w:r>
      <w:r>
        <w:rPr>
          <w:rFonts w:cs="David" w:hint="cs"/>
          <w:sz w:val="24"/>
          <w:szCs w:val="24"/>
          <w:rtl/>
        </w:rPr>
        <w:t>ת</w:t>
      </w:r>
      <w:r w:rsidRPr="000D32D6">
        <w:rPr>
          <w:rFonts w:cs="David" w:hint="cs"/>
          <w:sz w:val="24"/>
          <w:szCs w:val="24"/>
          <w:rtl/>
        </w:rPr>
        <w:t xml:space="preserve"> על עיקרון היסוד בדבר חובת ההורים להבטיח את מימושה של אחריות הורית מצד שני ההורים. כשחובת</w:t>
      </w:r>
      <w:r>
        <w:rPr>
          <w:rFonts w:cs="David" w:hint="cs"/>
          <w:sz w:val="24"/>
          <w:szCs w:val="24"/>
          <w:rtl/>
        </w:rPr>
        <w:t>ם</w:t>
      </w:r>
      <w:r w:rsidRPr="000D32D6">
        <w:rPr>
          <w:rFonts w:cs="David" w:hint="cs"/>
          <w:sz w:val="24"/>
          <w:szCs w:val="24"/>
          <w:rtl/>
        </w:rPr>
        <w:t xml:space="preserve"> להעמיד בראש מעיניהם את טובת הילד. הצעת הוועדה פותחת בצורך לעודד הידברות בין ההורים על דרך מימוש האחריות ההורית והגעתם לידי הסכמה ביניהם. </w:t>
      </w:r>
    </w:p>
    <w:p w:rsidR="00896EDF" w:rsidRPr="000D32D6" w:rsidRDefault="00896EDF" w:rsidP="00896EDF">
      <w:pPr>
        <w:spacing w:before="120" w:after="0" w:line="360" w:lineRule="auto"/>
        <w:jc w:val="both"/>
        <w:rPr>
          <w:rFonts w:cs="David"/>
          <w:sz w:val="24"/>
          <w:szCs w:val="24"/>
        </w:rPr>
      </w:pPr>
      <w:r w:rsidRPr="000D32D6">
        <w:rPr>
          <w:rFonts w:cs="David" w:hint="cs"/>
          <w:sz w:val="24"/>
          <w:szCs w:val="24"/>
          <w:rtl/>
        </w:rPr>
        <w:lastRenderedPageBreak/>
        <w:t xml:space="preserve">העיקרון המרכזי שקבעה הוועדה-  </w:t>
      </w:r>
      <w:r>
        <w:rPr>
          <w:rFonts w:cs="David" w:hint="cs"/>
          <w:sz w:val="24"/>
          <w:szCs w:val="24"/>
          <w:rtl/>
        </w:rPr>
        <w:t xml:space="preserve">עיגון </w:t>
      </w:r>
      <w:r w:rsidRPr="000D32D6">
        <w:rPr>
          <w:rFonts w:cs="David" w:hint="cs"/>
          <w:sz w:val="24"/>
          <w:szCs w:val="24"/>
          <w:rtl/>
        </w:rPr>
        <w:t>מערכת היחסים המשפטית בהת</w:t>
      </w:r>
      <w:r>
        <w:rPr>
          <w:rFonts w:cs="David" w:hint="cs"/>
          <w:sz w:val="24"/>
          <w:szCs w:val="24"/>
          <w:rtl/>
        </w:rPr>
        <w:t>בסס</w:t>
      </w:r>
      <w:r w:rsidRPr="000D32D6">
        <w:rPr>
          <w:rFonts w:cs="David" w:hint="cs"/>
          <w:sz w:val="24"/>
          <w:szCs w:val="24"/>
          <w:rtl/>
        </w:rPr>
        <w:t xml:space="preserve"> על תפיסה כוללת של האחריות ההורית. ועדת שניט המליצה לאמץ את המלצתה של ועד רוטלוי לפיה טובת הילד</w:t>
      </w:r>
      <w:r>
        <w:rPr>
          <w:rFonts w:cs="David" w:hint="cs"/>
          <w:sz w:val="24"/>
          <w:szCs w:val="24"/>
          <w:rtl/>
        </w:rPr>
        <w:t xml:space="preserve"> </w:t>
      </w:r>
      <w:r w:rsidRPr="000D32D6">
        <w:rPr>
          <w:rFonts w:cs="David" w:hint="cs"/>
          <w:sz w:val="24"/>
          <w:szCs w:val="24"/>
          <w:rtl/>
        </w:rPr>
        <w:t>תהווה שיקול ראשון במעלה ונקודת המוצא העקרונית ממנה נגזרת האחריות ההורית. משמעות האחריות ההורית היא החובה והסמכות להחליט ולפעול בענייניו של הילד על פי טובתו. הרפורמה המוצעת על ידי הוועדה מבקשת לזנוח את המושגים של משמו</w:t>
      </w:r>
      <w:r>
        <w:rPr>
          <w:rFonts w:cs="David" w:hint="cs"/>
          <w:sz w:val="24"/>
          <w:szCs w:val="24"/>
          <w:rtl/>
        </w:rPr>
        <w:t>ר</w:t>
      </w:r>
      <w:r w:rsidRPr="000D32D6">
        <w:rPr>
          <w:rFonts w:cs="David" w:hint="cs"/>
          <w:sz w:val="24"/>
          <w:szCs w:val="24"/>
          <w:rtl/>
        </w:rPr>
        <w:t>ת והסדרי ראיה ולקבוע במקומם הסדרי הורות וזמני שהיה.</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ועדת שניט התבססה בעיקר על מחקרים אמפיריים בפסיכולוגיה התפתחותית המצביעים על כך שהתפתחותם של ילדים שהיו להם קשרים עם שני הורים תקינה באופן משמעותי יותר מזו של ילדים שהיה להם קשר רק עם אחד ההורים, לרבות במצב של סכסוך קשה בין ההורים.</w:t>
      </w:r>
    </w:p>
    <w:p w:rsidR="00896EDF" w:rsidRPr="000D32D6" w:rsidRDefault="00896EDF" w:rsidP="00896EDF">
      <w:pPr>
        <w:spacing w:before="120" w:after="0" w:line="360" w:lineRule="auto"/>
        <w:jc w:val="both"/>
        <w:rPr>
          <w:rFonts w:cs="David"/>
          <w:sz w:val="24"/>
          <w:szCs w:val="24"/>
        </w:rPr>
      </w:pPr>
      <w:r w:rsidRPr="006A7997">
        <w:rPr>
          <w:rFonts w:cs="David" w:hint="cs"/>
          <w:sz w:val="24"/>
          <w:szCs w:val="24"/>
          <w:u w:val="single"/>
          <w:rtl/>
        </w:rPr>
        <w:t>לפיכך, הנחת היסוד עליה התבססה הייתה שטובת הילד היא ששני הוריו ימלאו תפקיד משמעותי בחייו.</w:t>
      </w:r>
      <w:r w:rsidRPr="000D32D6">
        <w:rPr>
          <w:rFonts w:cs="David" w:hint="cs"/>
          <w:sz w:val="24"/>
          <w:szCs w:val="24"/>
          <w:rtl/>
        </w:rPr>
        <w:t xml:space="preserve"> יש לעשות את המרב להבטיח ששני ההורים ימלאו את חובתם ושיש לבחון את טובתו של כל ילד בלי שענייניו יגזרו מזכויות הוריו. </w:t>
      </w:r>
    </w:p>
    <w:p w:rsidR="00896EDF" w:rsidRPr="000D32D6" w:rsidRDefault="00896EDF" w:rsidP="00896EDF">
      <w:pPr>
        <w:spacing w:before="120" w:after="0" w:line="360" w:lineRule="auto"/>
        <w:jc w:val="both"/>
        <w:rPr>
          <w:rFonts w:cs="David"/>
          <w:sz w:val="24"/>
          <w:szCs w:val="24"/>
        </w:rPr>
      </w:pPr>
      <w:r w:rsidRPr="000D32D6">
        <w:rPr>
          <w:rFonts w:cs="David" w:hint="cs"/>
          <w:sz w:val="24"/>
          <w:szCs w:val="24"/>
          <w:rtl/>
        </w:rPr>
        <w:t xml:space="preserve">השיקולים שוועדת שניט המליצה </w:t>
      </w:r>
      <w:r>
        <w:rPr>
          <w:rFonts w:cs="David" w:hint="cs"/>
          <w:sz w:val="24"/>
          <w:szCs w:val="24"/>
          <w:rtl/>
        </w:rPr>
        <w:t xml:space="preserve">שבית המשפט ישקול בבואו לקבוע את טובת הילד </w:t>
      </w:r>
      <w:r w:rsidRPr="000D32D6">
        <w:rPr>
          <w:rFonts w:cs="David" w:hint="cs"/>
          <w:sz w:val="24"/>
          <w:szCs w:val="24"/>
          <w:rtl/>
        </w:rPr>
        <w:t>הם</w:t>
      </w:r>
      <w:r>
        <w:rPr>
          <w:rFonts w:cs="David" w:hint="cs"/>
          <w:sz w:val="24"/>
          <w:szCs w:val="24"/>
          <w:rtl/>
        </w:rPr>
        <w:t xml:space="preserve">- </w:t>
      </w:r>
      <w:r w:rsidRPr="000D32D6">
        <w:rPr>
          <w:rFonts w:cs="David" w:hint="cs"/>
          <w:sz w:val="24"/>
          <w:szCs w:val="24"/>
          <w:rtl/>
        </w:rPr>
        <w:t>צרכיו של הילד</w:t>
      </w:r>
      <w:r>
        <w:rPr>
          <w:rFonts w:cs="David" w:hint="cs"/>
          <w:sz w:val="24"/>
          <w:szCs w:val="24"/>
          <w:rtl/>
        </w:rPr>
        <w:t xml:space="preserve">; </w:t>
      </w:r>
      <w:r w:rsidRPr="000D32D6">
        <w:rPr>
          <w:rFonts w:cs="David" w:hint="cs"/>
          <w:sz w:val="24"/>
          <w:szCs w:val="24"/>
          <w:rtl/>
        </w:rPr>
        <w:t xml:space="preserve">רצון </w:t>
      </w:r>
      <w:r>
        <w:rPr>
          <w:rFonts w:cs="David" w:hint="cs"/>
          <w:sz w:val="24"/>
          <w:szCs w:val="24"/>
          <w:rtl/>
        </w:rPr>
        <w:t xml:space="preserve">הילד; </w:t>
      </w:r>
      <w:r w:rsidRPr="000D32D6">
        <w:rPr>
          <w:rFonts w:cs="David" w:hint="cs"/>
          <w:sz w:val="24"/>
          <w:szCs w:val="24"/>
          <w:rtl/>
        </w:rPr>
        <w:t xml:space="preserve">נכונות ההורים לשתף פעולה למימוש </w:t>
      </w:r>
      <w:r>
        <w:rPr>
          <w:rFonts w:cs="David" w:hint="cs"/>
          <w:sz w:val="24"/>
          <w:szCs w:val="24"/>
          <w:rtl/>
        </w:rPr>
        <w:t xml:space="preserve">האחרית ההורית והבטחת זכויות הילד; </w:t>
      </w:r>
      <w:r w:rsidRPr="000D32D6">
        <w:rPr>
          <w:rFonts w:cs="David" w:hint="cs"/>
          <w:sz w:val="24"/>
          <w:szCs w:val="24"/>
          <w:rtl/>
        </w:rPr>
        <w:t xml:space="preserve">זכות הילד </w:t>
      </w:r>
      <w:r>
        <w:rPr>
          <w:rFonts w:cs="David" w:hint="cs"/>
          <w:sz w:val="24"/>
          <w:szCs w:val="24"/>
          <w:rtl/>
        </w:rPr>
        <w:t xml:space="preserve">לקשר משמעותי וסדיר עם שני הוריו; </w:t>
      </w:r>
      <w:r w:rsidRPr="000D32D6">
        <w:rPr>
          <w:rFonts w:cs="David" w:hint="cs"/>
          <w:sz w:val="24"/>
          <w:szCs w:val="24"/>
          <w:rtl/>
        </w:rPr>
        <w:t>כישוריו של כל א</w:t>
      </w:r>
      <w:r>
        <w:rPr>
          <w:rFonts w:cs="David" w:hint="cs"/>
          <w:sz w:val="24"/>
          <w:szCs w:val="24"/>
          <w:rtl/>
        </w:rPr>
        <w:t xml:space="preserve">חד מההורים למימוש אחריות ההורית; </w:t>
      </w:r>
      <w:r w:rsidRPr="000D32D6">
        <w:rPr>
          <w:rFonts w:cs="David" w:hint="cs"/>
          <w:sz w:val="24"/>
          <w:szCs w:val="24"/>
          <w:rtl/>
        </w:rPr>
        <w:t>המידה בה טיפל כל אחד מההו</w:t>
      </w:r>
      <w:r>
        <w:rPr>
          <w:rFonts w:cs="David" w:hint="cs"/>
          <w:sz w:val="24"/>
          <w:szCs w:val="24"/>
          <w:rtl/>
        </w:rPr>
        <w:t xml:space="preserve">רים בילד; </w:t>
      </w:r>
      <w:r w:rsidRPr="000D32D6">
        <w:rPr>
          <w:rFonts w:cs="David" w:hint="cs"/>
          <w:sz w:val="24"/>
          <w:szCs w:val="24"/>
          <w:rtl/>
        </w:rPr>
        <w:t>זכותו של הילד לקשר משפחתי (אם אחיו, הורי הוריו)</w:t>
      </w:r>
      <w:r>
        <w:rPr>
          <w:rFonts w:cs="David" w:hint="cs"/>
          <w:sz w:val="24"/>
          <w:szCs w:val="24"/>
          <w:rtl/>
        </w:rPr>
        <w:t>;</w:t>
      </w:r>
      <w:r w:rsidRPr="000D32D6">
        <w:rPr>
          <w:rFonts w:cs="David" w:hint="cs"/>
          <w:sz w:val="24"/>
          <w:szCs w:val="24"/>
          <w:rtl/>
        </w:rPr>
        <w:t xml:space="preserve"> ומידת הנכונות והיכולת של כל אחד מההורים לאפשר את מימוש הקשר.</w:t>
      </w:r>
    </w:p>
    <w:p w:rsidR="00896EDF" w:rsidRPr="000D32D6" w:rsidRDefault="00896EDF" w:rsidP="00896EDF">
      <w:pPr>
        <w:spacing w:before="120" w:after="0" w:line="360" w:lineRule="auto"/>
        <w:jc w:val="both"/>
        <w:rPr>
          <w:rFonts w:cs="David"/>
          <w:sz w:val="24"/>
          <w:szCs w:val="24"/>
        </w:rPr>
      </w:pPr>
      <w:r w:rsidRPr="000D32D6">
        <w:rPr>
          <w:rFonts w:cs="David" w:hint="cs"/>
          <w:sz w:val="24"/>
          <w:szCs w:val="24"/>
          <w:rtl/>
        </w:rPr>
        <w:t xml:space="preserve">יצוין לעניין השיקול בדבר מידת הטיפול בילד, כי ועדת שניט הבהירה שלא מדובר על פרמטר עובדתי של משך הזמן אלא הכוונה להורה שהתמסר והשקיע בטיפול </w:t>
      </w:r>
      <w:r>
        <w:rPr>
          <w:rFonts w:cs="David" w:hint="cs"/>
          <w:sz w:val="24"/>
          <w:szCs w:val="24"/>
          <w:rtl/>
        </w:rPr>
        <w:t>וכיוצ"ב</w:t>
      </w:r>
      <w:r w:rsidRPr="000D32D6">
        <w:rPr>
          <w:rFonts w:cs="David" w:hint="cs"/>
          <w:sz w:val="24"/>
          <w:szCs w:val="24"/>
          <w:rtl/>
        </w:rPr>
        <w:t xml:space="preserve">. </w:t>
      </w:r>
    </w:p>
    <w:p w:rsidR="00896EDF" w:rsidRPr="000D32D6" w:rsidRDefault="00896EDF" w:rsidP="00896EDF">
      <w:pPr>
        <w:spacing w:before="120" w:after="0" w:line="360" w:lineRule="auto"/>
        <w:jc w:val="both"/>
        <w:rPr>
          <w:rFonts w:cs="David"/>
          <w:sz w:val="24"/>
          <w:szCs w:val="24"/>
        </w:rPr>
      </w:pPr>
      <w:r w:rsidRPr="000D32D6">
        <w:rPr>
          <w:rFonts w:cs="David" w:hint="cs"/>
          <w:sz w:val="24"/>
          <w:szCs w:val="24"/>
          <w:rtl/>
        </w:rPr>
        <w:t>יו</w:t>
      </w:r>
      <w:r>
        <w:rPr>
          <w:rFonts w:cs="David" w:hint="cs"/>
          <w:sz w:val="24"/>
          <w:szCs w:val="24"/>
          <w:rtl/>
        </w:rPr>
        <w:t>בהר</w:t>
      </w:r>
      <w:r w:rsidRPr="000D32D6">
        <w:rPr>
          <w:rFonts w:cs="David" w:hint="cs"/>
          <w:sz w:val="24"/>
          <w:szCs w:val="24"/>
          <w:rtl/>
        </w:rPr>
        <w:t xml:space="preserve"> כי </w:t>
      </w:r>
      <w:r>
        <w:rPr>
          <w:rFonts w:cs="David" w:hint="cs"/>
          <w:sz w:val="24"/>
          <w:szCs w:val="24"/>
          <w:rtl/>
        </w:rPr>
        <w:t xml:space="preserve">בדוח הביניים </w:t>
      </w:r>
      <w:r w:rsidRPr="000D32D6">
        <w:rPr>
          <w:rFonts w:cs="David" w:hint="cs"/>
          <w:sz w:val="24"/>
          <w:szCs w:val="24"/>
          <w:rtl/>
        </w:rPr>
        <w:t>ועדת שניט, למרות הדגשת הצורך בקשר משמעותי עם שני ההורים, נמנעה מלקבוע חזקה ואף מלעגן בדרך כלשהי את המשמורת המשותפת בהמלצותיה לחקיקה. הוועדה הדגישה כי על פי עקרון העל של טובת הילד, החלטת בית המשפט בעניין חלקות האחריות צריכה להיבחן לגבי כל ילד בצורה פרטנית ולא בהתבסס על חזקה.</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 xml:space="preserve">הוועדה קראה בסיום דיוניה לערוך דיון ציבורי מקיף בנושא במסגרת הליכי החקיקה. </w:t>
      </w:r>
    </w:p>
    <w:p w:rsidR="00896EDF" w:rsidRPr="000D32D6" w:rsidRDefault="00896EDF" w:rsidP="00896EDF">
      <w:pPr>
        <w:spacing w:before="120" w:after="0" w:line="360" w:lineRule="auto"/>
        <w:jc w:val="both"/>
        <w:rPr>
          <w:rFonts w:cs="David"/>
          <w:sz w:val="24"/>
          <w:szCs w:val="24"/>
          <w:rtl/>
        </w:rPr>
      </w:pPr>
    </w:p>
    <w:p w:rsidR="00896EDF" w:rsidRPr="000D32D6" w:rsidRDefault="00896EDF" w:rsidP="00896EDF">
      <w:pPr>
        <w:spacing w:before="120" w:after="0" w:line="360" w:lineRule="auto"/>
        <w:jc w:val="both"/>
        <w:rPr>
          <w:rFonts w:cs="David"/>
          <w:sz w:val="24"/>
          <w:szCs w:val="24"/>
          <w:rtl/>
        </w:rPr>
      </w:pPr>
      <w:r w:rsidRPr="000D32D6">
        <w:rPr>
          <w:rFonts w:cs="David" w:hint="cs"/>
          <w:b/>
          <w:bCs/>
          <w:sz w:val="24"/>
          <w:szCs w:val="24"/>
          <w:rtl/>
        </w:rPr>
        <w:t>בדו"ח המשלים</w:t>
      </w:r>
      <w:r w:rsidRPr="000D32D6">
        <w:rPr>
          <w:rFonts w:cs="David" w:hint="cs"/>
          <w:sz w:val="24"/>
          <w:szCs w:val="24"/>
          <w:rtl/>
        </w:rPr>
        <w:t xml:space="preserve"> שהגישה הוועדה בשנת 2011 ולאחר מחלוקות רבות בין חברי הוועדה ביקשה הוועדה להוסיף </w:t>
      </w:r>
      <w:r w:rsidRPr="006C6D43">
        <w:rPr>
          <w:rFonts w:cs="David" w:hint="cs"/>
          <w:sz w:val="24"/>
          <w:szCs w:val="24"/>
          <w:u w:val="single"/>
          <w:rtl/>
        </w:rPr>
        <w:t>כלל שובר שוויון</w:t>
      </w:r>
      <w:r w:rsidRPr="000D32D6">
        <w:rPr>
          <w:rFonts w:cs="David" w:hint="cs"/>
          <w:sz w:val="24"/>
          <w:szCs w:val="24"/>
          <w:rtl/>
        </w:rPr>
        <w:t xml:space="preserve"> של שמירת היציבות בחיי הילד- דהיינו, במצבים בהם השיקולים שמנתה הוועדה לא היה בהם כדי להכריע בעניין, יחליט בית המשפט תוך מתן משקל מכריע לצורך בשמירת היציבות בחיי הילד. </w:t>
      </w:r>
    </w:p>
    <w:p w:rsidR="00896EDF" w:rsidRPr="000D32D6" w:rsidRDefault="00896EDF" w:rsidP="00896EDF">
      <w:pPr>
        <w:spacing w:before="120" w:after="0" w:line="360" w:lineRule="auto"/>
        <w:jc w:val="both"/>
        <w:rPr>
          <w:rFonts w:cs="David"/>
          <w:sz w:val="24"/>
          <w:szCs w:val="24"/>
        </w:rPr>
      </w:pPr>
      <w:r w:rsidRPr="000D32D6">
        <w:rPr>
          <w:rFonts w:cs="David" w:hint="cs"/>
          <w:sz w:val="24"/>
          <w:szCs w:val="24"/>
          <w:rtl/>
        </w:rPr>
        <w:t xml:space="preserve">עיקר עבודתה של הוועדה בשלב השני הייתה גיבוש הכלים </w:t>
      </w:r>
      <w:r w:rsidRPr="00D54EE3">
        <w:rPr>
          <w:rFonts w:cs="David" w:hint="cs"/>
          <w:sz w:val="24"/>
          <w:szCs w:val="24"/>
          <w:rtl/>
        </w:rPr>
        <w:t>העומדים לרשות בית המשפט ובתי הדין הדתיים לשם קביעת טובת הילד בנוגע להסדרי משמורת וקשר הורי. הדיון בנושא זה הצביע על הקושי הרב בשימוש בהערכות הפסיכולוגיות של מסוגלות הורית</w:t>
      </w:r>
      <w:r>
        <w:rPr>
          <w:rFonts w:cs="David" w:hint="cs"/>
          <w:sz w:val="24"/>
          <w:szCs w:val="24"/>
          <w:rtl/>
        </w:rPr>
        <w:t xml:space="preserve"> בהן נעשה שימוש כיום. </w:t>
      </w:r>
    </w:p>
    <w:p w:rsidR="00896EDF" w:rsidRPr="000D32D6" w:rsidRDefault="00896EDF" w:rsidP="00896EDF">
      <w:pPr>
        <w:spacing w:before="120" w:after="0" w:line="360" w:lineRule="auto"/>
        <w:jc w:val="both"/>
        <w:rPr>
          <w:rFonts w:cs="David"/>
          <w:sz w:val="24"/>
          <w:szCs w:val="24"/>
          <w:rtl/>
        </w:rPr>
      </w:pPr>
    </w:p>
    <w:p w:rsidR="00896EDF" w:rsidRDefault="00896EDF" w:rsidP="00896EDF">
      <w:pPr>
        <w:spacing w:before="120" w:after="0" w:line="360" w:lineRule="auto"/>
        <w:jc w:val="both"/>
        <w:rPr>
          <w:rFonts w:cs="David"/>
          <w:b/>
          <w:bCs/>
          <w:sz w:val="24"/>
          <w:szCs w:val="24"/>
          <w:rtl/>
        </w:rPr>
      </w:pPr>
      <w:r w:rsidRPr="00E75790">
        <w:rPr>
          <w:rFonts w:cs="David" w:hint="cs"/>
          <w:b/>
          <w:bCs/>
          <w:sz w:val="24"/>
          <w:szCs w:val="24"/>
          <w:rtl/>
        </w:rPr>
        <w:t>דעת המיעוט בוועדת שניט, שכללה כשליש מחברי הוועדה, התנגדה לביטול חזקת הגיל הרך. עיקרי דעת המיעוט:</w:t>
      </w:r>
      <w:r w:rsidRPr="00E75790">
        <w:rPr>
          <w:rFonts w:cs="David" w:hint="cs"/>
          <w:sz w:val="24"/>
          <w:szCs w:val="24"/>
          <w:rtl/>
        </w:rPr>
        <w:t xml:space="preserve">  </w:t>
      </w:r>
      <w:r>
        <w:rPr>
          <w:rFonts w:cs="David" w:hint="cs"/>
          <w:sz w:val="24"/>
          <w:szCs w:val="24"/>
          <w:rtl/>
        </w:rPr>
        <w:t xml:space="preserve">דעת המיעוט מאמצת את העמדה שיש </w:t>
      </w:r>
      <w:r w:rsidRPr="00E75790">
        <w:rPr>
          <w:rFonts w:cs="David" w:hint="cs"/>
          <w:sz w:val="24"/>
          <w:szCs w:val="24"/>
          <w:rtl/>
        </w:rPr>
        <w:t xml:space="preserve">ליצור מצב של מעורבות משמעותית </w:t>
      </w:r>
      <w:r w:rsidRPr="00E75790">
        <w:rPr>
          <w:rFonts w:cs="David" w:hint="cs"/>
          <w:sz w:val="24"/>
          <w:szCs w:val="24"/>
          <w:rtl/>
        </w:rPr>
        <w:lastRenderedPageBreak/>
        <w:t xml:space="preserve">של שני ההורים (פרט למצב של אלימות כלפי הילד או אמו), ואולם, </w:t>
      </w:r>
      <w:r>
        <w:rPr>
          <w:rFonts w:cs="David" w:hint="cs"/>
          <w:sz w:val="24"/>
          <w:szCs w:val="24"/>
          <w:rtl/>
        </w:rPr>
        <w:t xml:space="preserve">מבקשת </w:t>
      </w:r>
      <w:r w:rsidRPr="00E75790">
        <w:rPr>
          <w:rFonts w:cs="David" w:hint="cs"/>
          <w:sz w:val="24"/>
          <w:szCs w:val="24"/>
          <w:rtl/>
        </w:rPr>
        <w:t xml:space="preserve">להותיר את החזקה או לקבוע חזקה המעניקה עדיפות להורה שהיה המטפל העיקרי. </w:t>
      </w:r>
      <w:r>
        <w:rPr>
          <w:rFonts w:cs="David" w:hint="cs"/>
          <w:sz w:val="24"/>
          <w:szCs w:val="24"/>
          <w:rtl/>
        </w:rPr>
        <w:t xml:space="preserve">לדעת כותבות דעת המיעוט, </w:t>
      </w:r>
      <w:r w:rsidRPr="00E75790">
        <w:rPr>
          <w:rFonts w:cs="David" w:hint="cs"/>
          <w:sz w:val="24"/>
          <w:szCs w:val="24"/>
          <w:rtl/>
        </w:rPr>
        <w:t>ביטול החזקה יגרום לאי וודאות</w:t>
      </w:r>
      <w:r>
        <w:rPr>
          <w:rFonts w:cs="David" w:hint="cs"/>
          <w:sz w:val="24"/>
          <w:szCs w:val="24"/>
          <w:rtl/>
        </w:rPr>
        <w:t>,</w:t>
      </w:r>
      <w:r w:rsidRPr="00E75790">
        <w:rPr>
          <w:rFonts w:cs="David" w:hint="cs"/>
          <w:sz w:val="24"/>
          <w:szCs w:val="24"/>
          <w:rtl/>
        </w:rPr>
        <w:t xml:space="preserve"> יהוו</w:t>
      </w:r>
      <w:r>
        <w:rPr>
          <w:rFonts w:cs="David" w:hint="cs"/>
          <w:sz w:val="24"/>
          <w:szCs w:val="24"/>
          <w:rtl/>
        </w:rPr>
        <w:t>ה</w:t>
      </w:r>
      <w:r w:rsidRPr="00E75790">
        <w:rPr>
          <w:rFonts w:cs="David" w:hint="cs"/>
          <w:sz w:val="24"/>
          <w:szCs w:val="24"/>
          <w:rtl/>
        </w:rPr>
        <w:t xml:space="preserve"> כלי ניגוח נוסף ויגביר את הסיכון להתדיינות משפטית ממושכת ומסובכת</w:t>
      </w:r>
      <w:r>
        <w:rPr>
          <w:rFonts w:cs="David" w:hint="cs"/>
          <w:sz w:val="24"/>
          <w:szCs w:val="24"/>
          <w:rtl/>
        </w:rPr>
        <w:t>,</w:t>
      </w:r>
      <w:r w:rsidRPr="00E75790">
        <w:rPr>
          <w:rFonts w:cs="David" w:hint="cs"/>
          <w:sz w:val="24"/>
          <w:szCs w:val="24"/>
          <w:rtl/>
        </w:rPr>
        <w:t xml:space="preserve"> תוך הפעלת לחצים ו"שימוש" ב</w:t>
      </w:r>
      <w:r>
        <w:rPr>
          <w:rFonts w:cs="David" w:hint="cs"/>
          <w:sz w:val="24"/>
          <w:szCs w:val="24"/>
          <w:rtl/>
        </w:rPr>
        <w:t>ילד</w:t>
      </w:r>
      <w:r w:rsidRPr="00E75790">
        <w:rPr>
          <w:rFonts w:cs="David" w:hint="cs"/>
          <w:sz w:val="24"/>
          <w:szCs w:val="24"/>
          <w:rtl/>
        </w:rPr>
        <w:t xml:space="preserve">. </w:t>
      </w:r>
      <w:r>
        <w:rPr>
          <w:rFonts w:cs="David" w:hint="cs"/>
          <w:sz w:val="24"/>
          <w:szCs w:val="24"/>
          <w:rtl/>
        </w:rPr>
        <w:t>דעת המיעוט מתייחסת ל</w:t>
      </w:r>
      <w:r w:rsidRPr="00E75790">
        <w:rPr>
          <w:rFonts w:cs="David" w:hint="cs"/>
          <w:sz w:val="24"/>
          <w:szCs w:val="24"/>
          <w:rtl/>
        </w:rPr>
        <w:t xml:space="preserve">בדיקה שנערכה על ידי נעמ"ת </w:t>
      </w:r>
      <w:r>
        <w:rPr>
          <w:rFonts w:cs="David" w:hint="cs"/>
          <w:sz w:val="24"/>
          <w:szCs w:val="24"/>
          <w:rtl/>
        </w:rPr>
        <w:t xml:space="preserve">לפיה </w:t>
      </w:r>
      <w:r w:rsidRPr="00E75790">
        <w:rPr>
          <w:rFonts w:cs="David" w:hint="cs"/>
          <w:sz w:val="24"/>
          <w:szCs w:val="24"/>
          <w:rtl/>
        </w:rPr>
        <w:t xml:space="preserve">גם כאשר לצעיר </w:t>
      </w:r>
      <w:r>
        <w:rPr>
          <w:rFonts w:cs="David" w:hint="cs"/>
          <w:sz w:val="24"/>
          <w:szCs w:val="24"/>
          <w:rtl/>
        </w:rPr>
        <w:t xml:space="preserve">מבין </w:t>
      </w:r>
      <w:r w:rsidRPr="00E75790">
        <w:rPr>
          <w:rFonts w:cs="David" w:hint="cs"/>
          <w:sz w:val="24"/>
          <w:szCs w:val="24"/>
          <w:rtl/>
        </w:rPr>
        <w:t>הילדים מלאו כבר 6 שנים ברוב המקרים ניתנה המשמורת לאם בהסכמה</w:t>
      </w:r>
      <w:r>
        <w:rPr>
          <w:rFonts w:cs="David" w:hint="cs"/>
          <w:sz w:val="24"/>
          <w:szCs w:val="24"/>
          <w:rtl/>
        </w:rPr>
        <w:t xml:space="preserve"> ולכך שגם במדינות בהן בוטלה החזקה באחוז גבוה מהמקרים נקבעה משמורת בידי האם</w:t>
      </w:r>
      <w:r w:rsidRPr="00E75790">
        <w:rPr>
          <w:rFonts w:cs="David" w:hint="cs"/>
          <w:sz w:val="24"/>
          <w:szCs w:val="24"/>
          <w:rtl/>
        </w:rPr>
        <w:t xml:space="preserve">. </w:t>
      </w:r>
      <w:r w:rsidRPr="000D32D6">
        <w:rPr>
          <w:rFonts w:cs="David" w:hint="cs"/>
          <w:sz w:val="24"/>
          <w:szCs w:val="24"/>
          <w:rtl/>
        </w:rPr>
        <w:t>מחברות דעת המ</w:t>
      </w:r>
      <w:r>
        <w:rPr>
          <w:rFonts w:cs="David" w:hint="cs"/>
          <w:sz w:val="24"/>
          <w:szCs w:val="24"/>
          <w:rtl/>
        </w:rPr>
        <w:t>י</w:t>
      </w:r>
      <w:r w:rsidRPr="000D32D6">
        <w:rPr>
          <w:rFonts w:cs="David" w:hint="cs"/>
          <w:sz w:val="24"/>
          <w:szCs w:val="24"/>
          <w:rtl/>
        </w:rPr>
        <w:t xml:space="preserve">עוט סבורות כי על כל שינוי שיתקבל להביא בחשבון את המצב החברתי הקיים, את הייחודיות של דיני הגירושין במשפט הישראלי ואת מחיר השינוי. </w:t>
      </w:r>
      <w:r>
        <w:rPr>
          <w:rFonts w:cs="David" w:hint="cs"/>
          <w:sz w:val="24"/>
          <w:szCs w:val="24"/>
          <w:rtl/>
        </w:rPr>
        <w:t xml:space="preserve">לדעתן </w:t>
      </w:r>
      <w:r w:rsidRPr="000D32D6">
        <w:rPr>
          <w:rFonts w:cs="David" w:hint="cs"/>
          <w:sz w:val="24"/>
          <w:szCs w:val="24"/>
          <w:rtl/>
        </w:rPr>
        <w:t>החזקה משקפת את המצב החברתי וביטול יביא לפגיעה ישירה בילדים וכן, לריבוי ההתדיינויות או ל</w:t>
      </w:r>
      <w:r>
        <w:rPr>
          <w:rFonts w:cs="David" w:hint="cs"/>
          <w:sz w:val="24"/>
          <w:szCs w:val="24"/>
          <w:rtl/>
        </w:rPr>
        <w:t>ו</w:t>
      </w:r>
      <w:r w:rsidRPr="000D32D6">
        <w:rPr>
          <w:rFonts w:cs="David" w:hint="cs"/>
          <w:sz w:val="24"/>
          <w:szCs w:val="24"/>
          <w:rtl/>
        </w:rPr>
        <w:t xml:space="preserve">ויתור של אימהות על זכויות רכושיות וממוניות. כותבות דעת המיעוט הדגישו כי גם אנשי המקצוע שתמכו בביטול החזקה למעשה הכירו בכך שהמצב בפועל לא ישתנה באופן משמעותי ורק ביקשו לקדם קשר מרבי עם שני ההורים. </w:t>
      </w:r>
      <w:r w:rsidRPr="00FA2630">
        <w:rPr>
          <w:rFonts w:cs="David" w:hint="cs"/>
          <w:sz w:val="24"/>
          <w:szCs w:val="24"/>
          <w:rtl/>
        </w:rPr>
        <w:t>דעת המיעוט</w:t>
      </w:r>
      <w:r>
        <w:rPr>
          <w:rFonts w:cs="David" w:hint="cs"/>
          <w:sz w:val="24"/>
          <w:szCs w:val="24"/>
          <w:rtl/>
        </w:rPr>
        <w:t xml:space="preserve"> התבססה בין היתר על הטענה</w:t>
      </w:r>
      <w:r w:rsidRPr="000D32D6">
        <w:rPr>
          <w:rFonts w:cs="David" w:hint="cs"/>
          <w:sz w:val="24"/>
          <w:szCs w:val="24"/>
          <w:rtl/>
        </w:rPr>
        <w:t xml:space="preserve"> שהמרכיב המשמעותי ביותר להתפתחות התקינה של הילד הוא יציבות בחייו</w:t>
      </w:r>
      <w:r>
        <w:rPr>
          <w:rFonts w:cs="David" w:hint="cs"/>
          <w:sz w:val="24"/>
          <w:szCs w:val="24"/>
          <w:rtl/>
        </w:rPr>
        <w:t xml:space="preserve"> וכן הודגש כי </w:t>
      </w:r>
      <w:r w:rsidRPr="000D32D6">
        <w:rPr>
          <w:rFonts w:cs="David" w:hint="cs"/>
          <w:sz w:val="24"/>
          <w:szCs w:val="24"/>
          <w:rtl/>
        </w:rPr>
        <w:t xml:space="preserve">יש צורך לצמצם את ההתדיינויות בין ההורים אשר פוגעת מאד בשלומם של הילדים. </w:t>
      </w:r>
    </w:p>
    <w:p w:rsidR="00896EDF" w:rsidRDefault="00896EDF" w:rsidP="00896EDF">
      <w:pPr>
        <w:spacing w:before="120" w:after="0" w:line="360" w:lineRule="auto"/>
        <w:jc w:val="both"/>
        <w:rPr>
          <w:rFonts w:cs="David"/>
          <w:b/>
          <w:bCs/>
          <w:sz w:val="24"/>
          <w:szCs w:val="24"/>
          <w:rtl/>
        </w:rPr>
      </w:pPr>
    </w:p>
    <w:p w:rsidR="00896EDF" w:rsidRPr="000D32D6" w:rsidRDefault="00896EDF" w:rsidP="00896EDF">
      <w:pPr>
        <w:spacing w:before="120" w:after="0" w:line="360" w:lineRule="auto"/>
        <w:ind w:left="360"/>
        <w:jc w:val="both"/>
        <w:rPr>
          <w:rFonts w:cs="David"/>
          <w:sz w:val="24"/>
          <w:szCs w:val="24"/>
        </w:rPr>
      </w:pPr>
      <w:r w:rsidRPr="000D32D6">
        <w:rPr>
          <w:rFonts w:cs="David" w:hint="cs"/>
          <w:sz w:val="24"/>
          <w:szCs w:val="24"/>
          <w:rtl/>
        </w:rPr>
        <w:t>להלן יובאו בתמצית העמדות העיקריות</w:t>
      </w:r>
      <w:r>
        <w:rPr>
          <w:rFonts w:cs="David" w:hint="cs"/>
          <w:sz w:val="24"/>
          <w:szCs w:val="24"/>
          <w:rtl/>
        </w:rPr>
        <w:t xml:space="preserve"> והנתונים</w:t>
      </w:r>
      <w:r w:rsidRPr="000D32D6">
        <w:rPr>
          <w:rFonts w:cs="David" w:hint="cs"/>
          <w:sz w:val="24"/>
          <w:szCs w:val="24"/>
          <w:rtl/>
        </w:rPr>
        <w:t xml:space="preserve"> </w:t>
      </w:r>
      <w:r w:rsidRPr="000D32D6">
        <w:rPr>
          <w:rFonts w:cs="David" w:hint="cs"/>
          <w:sz w:val="24"/>
          <w:szCs w:val="24"/>
          <w:u w:val="single"/>
          <w:rtl/>
        </w:rPr>
        <w:t>שהוצגו בפני ועדת שניט</w:t>
      </w:r>
      <w:r w:rsidRPr="000D32D6">
        <w:rPr>
          <w:rFonts w:cs="David" w:hint="cs"/>
          <w:sz w:val="24"/>
          <w:szCs w:val="24"/>
          <w:rtl/>
        </w:rPr>
        <w:t>:</w:t>
      </w:r>
    </w:p>
    <w:p w:rsidR="00896EDF" w:rsidRPr="000D32D6" w:rsidRDefault="00896EDF" w:rsidP="00896EDF">
      <w:pPr>
        <w:pStyle w:val="a3"/>
        <w:numPr>
          <w:ilvl w:val="0"/>
          <w:numId w:val="1"/>
        </w:numPr>
        <w:spacing w:before="120" w:after="0" w:line="360" w:lineRule="auto"/>
        <w:jc w:val="both"/>
        <w:rPr>
          <w:rFonts w:cs="David"/>
          <w:b/>
          <w:bCs/>
          <w:sz w:val="24"/>
          <w:szCs w:val="24"/>
        </w:rPr>
      </w:pPr>
      <w:r w:rsidRPr="000D32D6">
        <w:rPr>
          <w:rFonts w:cs="David" w:hint="cs"/>
          <w:b/>
          <w:bCs/>
          <w:sz w:val="24"/>
          <w:szCs w:val="24"/>
          <w:rtl/>
        </w:rPr>
        <w:t>ארגונים המייצגים אבות במצבי גירושין:</w:t>
      </w:r>
    </w:p>
    <w:p w:rsidR="00896EDF" w:rsidRPr="00A662F1" w:rsidRDefault="00896EDF" w:rsidP="00896EDF">
      <w:pPr>
        <w:pStyle w:val="a3"/>
        <w:spacing w:before="120" w:after="0" w:line="360" w:lineRule="auto"/>
        <w:jc w:val="both"/>
        <w:rPr>
          <w:rFonts w:cs="David"/>
          <w:sz w:val="24"/>
          <w:szCs w:val="24"/>
          <w:rtl/>
        </w:rPr>
      </w:pPr>
      <w:r w:rsidRPr="000D32D6">
        <w:rPr>
          <w:rFonts w:cs="David" w:hint="cs"/>
          <w:sz w:val="24"/>
          <w:szCs w:val="24"/>
          <w:rtl/>
        </w:rPr>
        <w:t xml:space="preserve">יש לבחון את שאלת ביטול חזקת הגיל הרך תוך מתן תשומת לב מיוחדת לשינוים שחלו </w:t>
      </w:r>
      <w:r>
        <w:rPr>
          <w:rFonts w:cs="David" w:hint="cs"/>
          <w:sz w:val="24"/>
          <w:szCs w:val="24"/>
          <w:rtl/>
        </w:rPr>
        <w:t xml:space="preserve"> בתפקודם של האבות בתוך המשפחה. אין חולק שעקרון טובת הילד צריך לעמוד </w:t>
      </w:r>
      <w:r w:rsidRPr="000D32D6">
        <w:rPr>
          <w:rFonts w:cs="David" w:hint="cs"/>
          <w:sz w:val="24"/>
          <w:szCs w:val="24"/>
          <w:rtl/>
        </w:rPr>
        <w:t>בראש סדר העדיפויות אך לדעתם, התסקירים שעורכים פקידי הסעד, וגם החלטות בתי המשפט, מגנים על נשים מבלי לבדוק את טובת הילד כדבעי. בתי המשפט נעדרים את הכלים לבחון את טובת הילד ולכן זוכה האישה באופן אוטומטי במשמורת על הילדים. הניסון במדינות שקבעו עדיפות למשמורת משותפ</w:t>
      </w:r>
      <w:r w:rsidRPr="00A662F1">
        <w:rPr>
          <w:rFonts w:cs="David" w:hint="cs"/>
          <w:sz w:val="24"/>
          <w:szCs w:val="24"/>
          <w:rtl/>
        </w:rPr>
        <w:t xml:space="preserve">ת מעלה כי רוב הסדרי המשמורת נערכים בהסכמה. יש לחלק בצורה מאוזנת את נטל גידול הילדים ויש לקבוע משמורת משותפת למעט במקרים חריגים. </w:t>
      </w:r>
    </w:p>
    <w:p w:rsidR="00896EDF" w:rsidRPr="00A662F1" w:rsidRDefault="00896EDF" w:rsidP="00896EDF">
      <w:pPr>
        <w:pStyle w:val="a3"/>
        <w:spacing w:before="120" w:after="0" w:line="360" w:lineRule="auto"/>
        <w:jc w:val="both"/>
        <w:rPr>
          <w:rFonts w:cs="David"/>
          <w:sz w:val="24"/>
          <w:szCs w:val="24"/>
          <w:rtl/>
        </w:rPr>
      </w:pPr>
      <w:r w:rsidRPr="00A662F1">
        <w:rPr>
          <w:rFonts w:cs="David" w:hint="cs"/>
          <w:sz w:val="24"/>
          <w:szCs w:val="24"/>
          <w:rtl/>
        </w:rPr>
        <w:t>בין היתר, עלתה הטענה כי לחזקת הגיל הרך השפעה רבה גם על גילאים מבוגרים יותר</w:t>
      </w:r>
      <w:r>
        <w:rPr>
          <w:rFonts w:cs="David" w:hint="cs"/>
          <w:sz w:val="24"/>
          <w:szCs w:val="24"/>
          <w:rtl/>
        </w:rPr>
        <w:t>,</w:t>
      </w:r>
      <w:r w:rsidRPr="00A662F1">
        <w:rPr>
          <w:rFonts w:cs="David" w:hint="cs"/>
          <w:sz w:val="24"/>
          <w:szCs w:val="24"/>
          <w:rtl/>
        </w:rPr>
        <w:t xml:space="preserve"> שכן די בכך שאחד הילדים צעיר מגיל 6 כדי לקבוע משמורת לאם בכדי להימנע מהפרדה בין האחים</w:t>
      </w:r>
      <w:r>
        <w:rPr>
          <w:rFonts w:cs="David" w:hint="cs"/>
          <w:sz w:val="24"/>
          <w:szCs w:val="24"/>
          <w:rtl/>
        </w:rPr>
        <w:t>. בנוסף</w:t>
      </w:r>
      <w:r w:rsidRPr="00A662F1">
        <w:rPr>
          <w:rFonts w:cs="David" w:hint="cs"/>
          <w:sz w:val="24"/>
          <w:szCs w:val="24"/>
          <w:rtl/>
        </w:rPr>
        <w:t xml:space="preserve">,  יש לכך השפעה גם </w:t>
      </w:r>
      <w:r>
        <w:rPr>
          <w:rFonts w:cs="David" w:hint="cs"/>
          <w:sz w:val="24"/>
          <w:szCs w:val="24"/>
          <w:rtl/>
        </w:rPr>
        <w:t>ב</w:t>
      </w:r>
      <w:r w:rsidRPr="00A662F1">
        <w:rPr>
          <w:rFonts w:cs="David" w:hint="cs"/>
          <w:sz w:val="24"/>
          <w:szCs w:val="24"/>
          <w:rtl/>
        </w:rPr>
        <w:t>המשך מאחר שיש העדפה שלא לשנות את ההסדר אליו התרגלו הילדים.</w:t>
      </w:r>
    </w:p>
    <w:p w:rsidR="00896EDF" w:rsidRPr="000D32D6" w:rsidRDefault="00896EDF" w:rsidP="00896EDF">
      <w:pPr>
        <w:pStyle w:val="a3"/>
        <w:numPr>
          <w:ilvl w:val="0"/>
          <w:numId w:val="1"/>
        </w:numPr>
        <w:spacing w:before="120" w:after="0" w:line="360" w:lineRule="auto"/>
        <w:jc w:val="both"/>
        <w:rPr>
          <w:rFonts w:cs="David"/>
          <w:sz w:val="24"/>
          <w:szCs w:val="24"/>
        </w:rPr>
      </w:pPr>
      <w:r w:rsidRPr="00A662F1">
        <w:rPr>
          <w:rFonts w:cs="David" w:hint="cs"/>
          <w:b/>
          <w:bCs/>
          <w:sz w:val="24"/>
          <w:szCs w:val="24"/>
          <w:rtl/>
        </w:rPr>
        <w:t>פרופ' דפנה הקר</w:t>
      </w:r>
      <w:r w:rsidRPr="00A662F1">
        <w:rPr>
          <w:rFonts w:cs="David" w:hint="cs"/>
          <w:sz w:val="24"/>
          <w:szCs w:val="24"/>
          <w:rtl/>
        </w:rPr>
        <w:t>, משפטנית וסוציולוגית, חברת וע</w:t>
      </w:r>
      <w:r w:rsidRPr="000D32D6">
        <w:rPr>
          <w:rFonts w:cs="David" w:hint="cs"/>
          <w:sz w:val="24"/>
          <w:szCs w:val="24"/>
          <w:rtl/>
        </w:rPr>
        <w:t xml:space="preserve">דת שניט, </w:t>
      </w:r>
      <w:r>
        <w:rPr>
          <w:rFonts w:cs="David" w:hint="cs"/>
          <w:sz w:val="24"/>
          <w:szCs w:val="24"/>
          <w:rtl/>
        </w:rPr>
        <w:t xml:space="preserve">טענה </w:t>
      </w:r>
      <w:r w:rsidRPr="000D32D6">
        <w:rPr>
          <w:rFonts w:cs="David" w:hint="cs"/>
          <w:sz w:val="24"/>
          <w:szCs w:val="24"/>
          <w:rtl/>
        </w:rPr>
        <w:t>שחרף התופעה של אבות המטפלים כיום יותר בילדים, עדיין לרוב האם היא המטפל העיקרי. נמצא כי חלופת המשמורת המשותפת היא זניחה ולרוב הסדרי המשמורת נעשים בהסכמה בין ההורים וקובעים את המשמורת אצל האם. לפי ממצאי מחקר שערכה- ב 33.7% מהמקרים ההסדר קובע שהאב יראה את ילדיו בכל עת במועד שיותאם בין ההורים</w:t>
      </w:r>
      <w:r>
        <w:rPr>
          <w:rFonts w:cs="David" w:hint="cs"/>
          <w:sz w:val="24"/>
          <w:szCs w:val="24"/>
          <w:rtl/>
        </w:rPr>
        <w:t>.</w:t>
      </w:r>
      <w:r w:rsidRPr="000D32D6">
        <w:rPr>
          <w:rFonts w:cs="David" w:hint="cs"/>
          <w:sz w:val="24"/>
          <w:szCs w:val="24"/>
          <w:rtl/>
        </w:rPr>
        <w:t xml:space="preserve"> הקר מציינת שבדרך כלל אלו מקרים של מעוטי יכולת המתדיינים בבתי הדין הרבניים ונעשה הסדר באמצעות טופס סטנדרטי שנערך בבתי הדין</w:t>
      </w:r>
      <w:r>
        <w:rPr>
          <w:rFonts w:cs="David" w:hint="cs"/>
          <w:sz w:val="24"/>
          <w:szCs w:val="24"/>
          <w:rtl/>
        </w:rPr>
        <w:t>. ב-</w:t>
      </w:r>
      <w:r w:rsidRPr="000D32D6">
        <w:rPr>
          <w:rFonts w:cs="David" w:hint="cs"/>
          <w:sz w:val="24"/>
          <w:szCs w:val="24"/>
          <w:rtl/>
        </w:rPr>
        <w:t xml:space="preserve"> 16.5% </w:t>
      </w:r>
      <w:r>
        <w:rPr>
          <w:rFonts w:cs="David" w:hint="cs"/>
          <w:sz w:val="24"/>
          <w:szCs w:val="24"/>
          <w:rtl/>
        </w:rPr>
        <w:t xml:space="preserve">מהמקרים אין </w:t>
      </w:r>
      <w:r w:rsidRPr="000D32D6">
        <w:rPr>
          <w:rFonts w:cs="David" w:hint="cs"/>
          <w:sz w:val="24"/>
          <w:szCs w:val="24"/>
          <w:rtl/>
        </w:rPr>
        <w:t>מפגשים תכופים בין האב לילדים</w:t>
      </w:r>
      <w:r>
        <w:rPr>
          <w:rFonts w:cs="David" w:hint="cs"/>
          <w:sz w:val="24"/>
          <w:szCs w:val="24"/>
          <w:rtl/>
        </w:rPr>
        <w:t>,</w:t>
      </w:r>
      <w:r w:rsidRPr="000D32D6">
        <w:rPr>
          <w:rFonts w:cs="David" w:hint="cs"/>
          <w:sz w:val="24"/>
          <w:szCs w:val="24"/>
          <w:rtl/>
        </w:rPr>
        <w:t xml:space="preserve">  27.2% מההסדרים כוללים לינה אחת ומפגשים בשישה ימים בשבועיים,</w:t>
      </w:r>
      <w:r>
        <w:rPr>
          <w:rFonts w:cs="David" w:hint="cs"/>
          <w:sz w:val="24"/>
          <w:szCs w:val="24"/>
          <w:rtl/>
        </w:rPr>
        <w:t xml:space="preserve"> ב-</w:t>
      </w:r>
      <w:r w:rsidRPr="000D32D6">
        <w:rPr>
          <w:rFonts w:cs="David" w:hint="cs"/>
          <w:sz w:val="24"/>
          <w:szCs w:val="24"/>
          <w:rtl/>
        </w:rPr>
        <w:t xml:space="preserve"> 22.6% </w:t>
      </w:r>
      <w:r w:rsidRPr="000D32D6">
        <w:rPr>
          <w:rFonts w:cs="David" w:hint="cs"/>
          <w:sz w:val="24"/>
          <w:szCs w:val="24"/>
          <w:rtl/>
        </w:rPr>
        <w:lastRenderedPageBreak/>
        <w:t>ההסדרים רחבים יותר וכוללים לינה גם במשך השבוע ולא רק בסופ"ש ומפגשים בשישה ימים במהלך שבועיים.</w:t>
      </w:r>
    </w:p>
    <w:p w:rsidR="00896EDF" w:rsidRPr="000D32D6" w:rsidRDefault="00896EDF" w:rsidP="00896EDF">
      <w:pPr>
        <w:pStyle w:val="a3"/>
        <w:numPr>
          <w:ilvl w:val="0"/>
          <w:numId w:val="1"/>
        </w:numPr>
        <w:spacing w:before="120" w:after="0" w:line="360" w:lineRule="auto"/>
        <w:jc w:val="both"/>
        <w:rPr>
          <w:rFonts w:cs="David"/>
          <w:b/>
          <w:bCs/>
          <w:sz w:val="24"/>
          <w:szCs w:val="24"/>
        </w:rPr>
      </w:pPr>
      <w:r w:rsidRPr="000D32D6">
        <w:rPr>
          <w:rFonts w:cs="David" w:hint="cs"/>
          <w:b/>
          <w:bCs/>
          <w:sz w:val="24"/>
          <w:szCs w:val="24"/>
          <w:rtl/>
        </w:rPr>
        <w:t>ארגוני נשים:</w:t>
      </w:r>
    </w:p>
    <w:p w:rsidR="00896EDF" w:rsidRPr="000D32D6" w:rsidRDefault="00896EDF" w:rsidP="00896EDF">
      <w:pPr>
        <w:pStyle w:val="a3"/>
        <w:spacing w:before="120" w:after="0" w:line="360" w:lineRule="auto"/>
        <w:jc w:val="both"/>
        <w:rPr>
          <w:rFonts w:cs="David"/>
          <w:sz w:val="24"/>
          <w:szCs w:val="24"/>
          <w:rtl/>
        </w:rPr>
      </w:pPr>
      <w:r w:rsidRPr="000D32D6">
        <w:rPr>
          <w:rFonts w:cs="David" w:hint="cs"/>
          <w:sz w:val="24"/>
          <w:szCs w:val="24"/>
          <w:rtl/>
        </w:rPr>
        <w:t>החזקה מונעת דיון מיותר בענייני משמורת, ומצד שני אינה חוסמת אפשרות למצוא פתרונות מתאימים עבור מיעוט האבות המעוניין במשמורת</w:t>
      </w:r>
      <w:r>
        <w:rPr>
          <w:rFonts w:cs="David" w:hint="cs"/>
          <w:sz w:val="24"/>
          <w:szCs w:val="24"/>
          <w:rtl/>
        </w:rPr>
        <w:t>, היא אינה חזקה חלוטה</w:t>
      </w:r>
      <w:r w:rsidRPr="000D32D6">
        <w:rPr>
          <w:rFonts w:cs="David" w:hint="cs"/>
          <w:sz w:val="24"/>
          <w:szCs w:val="24"/>
          <w:rtl/>
        </w:rPr>
        <w:t>. החזקה היא אמצעי לייעול הדיון.</w:t>
      </w:r>
    </w:p>
    <w:p w:rsidR="00896EDF" w:rsidRPr="000D32D6" w:rsidRDefault="00896EDF" w:rsidP="00896EDF">
      <w:pPr>
        <w:pStyle w:val="a3"/>
        <w:spacing w:before="120" w:after="0" w:line="360" w:lineRule="auto"/>
        <w:jc w:val="both"/>
        <w:rPr>
          <w:rFonts w:cs="David"/>
          <w:sz w:val="24"/>
          <w:szCs w:val="24"/>
          <w:rtl/>
        </w:rPr>
      </w:pPr>
      <w:r>
        <w:rPr>
          <w:rFonts w:cs="David" w:hint="cs"/>
          <w:sz w:val="24"/>
          <w:szCs w:val="24"/>
          <w:rtl/>
        </w:rPr>
        <w:t xml:space="preserve">לטענתן, לא ניתן לשנות את החזקה </w:t>
      </w:r>
      <w:r w:rsidRPr="000D32D6">
        <w:rPr>
          <w:rFonts w:cs="David" w:hint="cs"/>
          <w:sz w:val="24"/>
          <w:szCs w:val="24"/>
          <w:rtl/>
        </w:rPr>
        <w:t xml:space="preserve">כל עוד הדין הדתי שולט על </w:t>
      </w:r>
      <w:r>
        <w:rPr>
          <w:rFonts w:cs="David" w:hint="cs"/>
          <w:sz w:val="24"/>
          <w:szCs w:val="24"/>
          <w:rtl/>
        </w:rPr>
        <w:t xml:space="preserve">הליך </w:t>
      </w:r>
      <w:r w:rsidRPr="000D32D6">
        <w:rPr>
          <w:rFonts w:cs="David" w:hint="cs"/>
          <w:sz w:val="24"/>
          <w:szCs w:val="24"/>
          <w:rtl/>
        </w:rPr>
        <w:t>הגירושין. חוסר השוויון גורם לכך שהאישה נסחטת ונדר</w:t>
      </w:r>
      <w:r>
        <w:rPr>
          <w:rFonts w:cs="David" w:hint="cs"/>
          <w:sz w:val="24"/>
          <w:szCs w:val="24"/>
          <w:rtl/>
        </w:rPr>
        <w:t>ש</w:t>
      </w:r>
      <w:r w:rsidRPr="000D32D6">
        <w:rPr>
          <w:rFonts w:cs="David" w:hint="cs"/>
          <w:sz w:val="24"/>
          <w:szCs w:val="24"/>
          <w:rtl/>
        </w:rPr>
        <w:t>ת לוותר על זכויות כלכליות כדי לקבל גט. בי</w:t>
      </w:r>
      <w:r>
        <w:rPr>
          <w:rFonts w:cs="David" w:hint="cs"/>
          <w:sz w:val="24"/>
          <w:szCs w:val="24"/>
          <w:rtl/>
        </w:rPr>
        <w:t>ט</w:t>
      </w:r>
      <w:r w:rsidRPr="000D32D6">
        <w:rPr>
          <w:rFonts w:cs="David" w:hint="cs"/>
          <w:sz w:val="24"/>
          <w:szCs w:val="24"/>
          <w:rtl/>
        </w:rPr>
        <w:t>ול החזקה יהפ</w:t>
      </w:r>
      <w:r>
        <w:rPr>
          <w:rFonts w:cs="David" w:hint="cs"/>
          <w:sz w:val="24"/>
          <w:szCs w:val="24"/>
          <w:rtl/>
        </w:rPr>
        <w:t>וך</w:t>
      </w:r>
      <w:r w:rsidRPr="000D32D6">
        <w:rPr>
          <w:rFonts w:cs="David" w:hint="cs"/>
          <w:sz w:val="24"/>
          <w:szCs w:val="24"/>
          <w:rtl/>
        </w:rPr>
        <w:t xml:space="preserve"> את נשוא המשמרת לכלי </w:t>
      </w:r>
      <w:r>
        <w:rPr>
          <w:rFonts w:cs="David" w:hint="cs"/>
          <w:sz w:val="24"/>
          <w:szCs w:val="24"/>
          <w:rtl/>
        </w:rPr>
        <w:t>נוסף ל</w:t>
      </w:r>
      <w:r w:rsidRPr="000D32D6">
        <w:rPr>
          <w:rFonts w:cs="David" w:hint="cs"/>
          <w:sz w:val="24"/>
          <w:szCs w:val="24"/>
          <w:rtl/>
        </w:rPr>
        <w:t xml:space="preserve">סחטנות. </w:t>
      </w:r>
    </w:p>
    <w:p w:rsidR="00896EDF" w:rsidRPr="000D32D6" w:rsidRDefault="00896EDF" w:rsidP="00896EDF">
      <w:pPr>
        <w:pStyle w:val="a3"/>
        <w:spacing w:before="120" w:after="0" w:line="360" w:lineRule="auto"/>
        <w:jc w:val="both"/>
        <w:rPr>
          <w:rFonts w:cs="David"/>
          <w:sz w:val="24"/>
          <w:szCs w:val="24"/>
          <w:rtl/>
        </w:rPr>
      </w:pPr>
      <w:r w:rsidRPr="000D32D6">
        <w:rPr>
          <w:rFonts w:cs="David" w:hint="cs"/>
          <w:sz w:val="24"/>
          <w:szCs w:val="24"/>
          <w:rtl/>
        </w:rPr>
        <w:t>ביטול החזקה יביא להתמשכות ההתדיינויות על גב הילדים. מכיוון שלרוב נשים חלשות יותר כלכלית, אין להן את הכוחות והמשאבים לניהול ההליכים.</w:t>
      </w:r>
      <w:r>
        <w:rPr>
          <w:rFonts w:cs="David" w:hint="cs"/>
          <w:sz w:val="24"/>
          <w:szCs w:val="24"/>
          <w:rtl/>
        </w:rPr>
        <w:t xml:space="preserve"> </w:t>
      </w:r>
      <w:r w:rsidRPr="000D32D6">
        <w:rPr>
          <w:rFonts w:cs="David" w:hint="cs"/>
          <w:sz w:val="24"/>
          <w:szCs w:val="24"/>
          <w:rtl/>
        </w:rPr>
        <w:t>לנוכח נטייתן של נשים לוותר ע</w:t>
      </w:r>
      <w:r>
        <w:rPr>
          <w:rFonts w:cs="David" w:hint="cs"/>
          <w:sz w:val="24"/>
          <w:szCs w:val="24"/>
          <w:rtl/>
        </w:rPr>
        <w:t>ל</w:t>
      </w:r>
      <w:r w:rsidRPr="000D32D6">
        <w:rPr>
          <w:rFonts w:cs="David" w:hint="cs"/>
          <w:sz w:val="24"/>
          <w:szCs w:val="24"/>
          <w:rtl/>
        </w:rPr>
        <w:t xml:space="preserve"> זכויות כלכליות כדי לקבל משמורת, ונוכח מחקרים המצביעים על כך שנשים מעוניינות</w:t>
      </w:r>
      <w:r>
        <w:rPr>
          <w:rFonts w:cs="David" w:hint="cs"/>
          <w:sz w:val="24"/>
          <w:szCs w:val="24"/>
          <w:rtl/>
        </w:rPr>
        <w:t xml:space="preserve"> </w:t>
      </w:r>
      <w:r w:rsidRPr="000D32D6">
        <w:rPr>
          <w:rFonts w:cs="David" w:hint="cs"/>
          <w:sz w:val="24"/>
          <w:szCs w:val="24"/>
          <w:rtl/>
        </w:rPr>
        <w:t xml:space="preserve">יותר במשמורת מגברים, </w:t>
      </w:r>
      <w:r>
        <w:rPr>
          <w:rFonts w:cs="David" w:hint="cs"/>
          <w:sz w:val="24"/>
          <w:szCs w:val="24"/>
          <w:rtl/>
        </w:rPr>
        <w:t>כש</w:t>
      </w:r>
      <w:r w:rsidRPr="000D32D6">
        <w:rPr>
          <w:rFonts w:cs="David" w:hint="cs"/>
          <w:sz w:val="24"/>
          <w:szCs w:val="24"/>
          <w:rtl/>
        </w:rPr>
        <w:t>הן בעלות יכולת כלכלית מופחתת ניתן להסיק שהן יפגעו מהצורך לקיים התדיינות בנושא המשמורת, וכך גם הילדים.</w:t>
      </w:r>
      <w:r>
        <w:rPr>
          <w:rFonts w:cs="David" w:hint="cs"/>
          <w:sz w:val="24"/>
          <w:szCs w:val="24"/>
          <w:rtl/>
        </w:rPr>
        <w:t xml:space="preserve"> </w:t>
      </w:r>
      <w:r w:rsidRPr="000D32D6">
        <w:rPr>
          <w:rFonts w:cs="David" w:hint="cs"/>
          <w:sz w:val="24"/>
          <w:szCs w:val="24"/>
          <w:rtl/>
        </w:rPr>
        <w:t>ק</w:t>
      </w:r>
      <w:r>
        <w:rPr>
          <w:rFonts w:cs="David" w:hint="cs"/>
          <w:sz w:val="24"/>
          <w:szCs w:val="24"/>
          <w:rtl/>
        </w:rPr>
        <w:t>ש</w:t>
      </w:r>
      <w:r w:rsidRPr="000D32D6">
        <w:rPr>
          <w:rFonts w:cs="David" w:hint="cs"/>
          <w:sz w:val="24"/>
          <w:szCs w:val="24"/>
          <w:rtl/>
        </w:rPr>
        <w:t>יים אלו בולטים עוד יותר בקרב נשים במגזר הערב</w:t>
      </w:r>
      <w:r>
        <w:rPr>
          <w:rFonts w:cs="David" w:hint="cs"/>
          <w:sz w:val="24"/>
          <w:szCs w:val="24"/>
          <w:rtl/>
        </w:rPr>
        <w:t>י</w:t>
      </w:r>
      <w:r w:rsidRPr="000D32D6">
        <w:rPr>
          <w:rFonts w:cs="David" w:hint="cs"/>
          <w:sz w:val="24"/>
          <w:szCs w:val="24"/>
          <w:rtl/>
        </w:rPr>
        <w:t xml:space="preserve">, שם חוסר השוויון קיצוני יותר. </w:t>
      </w:r>
    </w:p>
    <w:p w:rsidR="00896EDF" w:rsidRPr="000D32D6" w:rsidRDefault="00896EDF" w:rsidP="00896EDF">
      <w:pPr>
        <w:pStyle w:val="a3"/>
        <w:spacing w:before="120" w:after="0" w:line="360" w:lineRule="auto"/>
        <w:jc w:val="both"/>
        <w:rPr>
          <w:rFonts w:cs="David"/>
          <w:sz w:val="24"/>
          <w:szCs w:val="24"/>
        </w:rPr>
      </w:pPr>
      <w:r w:rsidRPr="000D32D6">
        <w:rPr>
          <w:rFonts w:cs="David" w:hint="cs"/>
          <w:sz w:val="24"/>
          <w:szCs w:val="24"/>
          <w:rtl/>
        </w:rPr>
        <w:t xml:space="preserve">גם במדינות בהן לא קיימת חזקת הגיל הרך לרוב המשמרות היא אצל הנשים (בערך ב 80% מהמשפחות). גם שינוי לחזקת </w:t>
      </w:r>
      <w:r>
        <w:rPr>
          <w:rFonts w:cs="David" w:hint="cs"/>
          <w:sz w:val="24"/>
          <w:szCs w:val="24"/>
          <w:rtl/>
        </w:rPr>
        <w:t>ה</w:t>
      </w:r>
      <w:r w:rsidRPr="000D32D6">
        <w:rPr>
          <w:rFonts w:cs="David" w:hint="cs"/>
          <w:sz w:val="24"/>
          <w:szCs w:val="24"/>
          <w:rtl/>
        </w:rPr>
        <w:t>מטפל העיקרי עלול לפגוע</w:t>
      </w:r>
      <w:r>
        <w:rPr>
          <w:rFonts w:cs="David" w:hint="cs"/>
          <w:sz w:val="24"/>
          <w:szCs w:val="24"/>
          <w:rtl/>
        </w:rPr>
        <w:t>,</w:t>
      </w:r>
      <w:r w:rsidRPr="000D32D6">
        <w:rPr>
          <w:rFonts w:cs="David" w:hint="cs"/>
          <w:sz w:val="24"/>
          <w:szCs w:val="24"/>
          <w:rtl/>
        </w:rPr>
        <w:t xml:space="preserve"> במיוחד בנשים מוחל</w:t>
      </w:r>
      <w:r>
        <w:rPr>
          <w:rFonts w:cs="David" w:hint="cs"/>
          <w:sz w:val="24"/>
          <w:szCs w:val="24"/>
          <w:rtl/>
        </w:rPr>
        <w:t>ש</w:t>
      </w:r>
      <w:r w:rsidRPr="000D32D6">
        <w:rPr>
          <w:rFonts w:cs="David" w:hint="cs"/>
          <w:sz w:val="24"/>
          <w:szCs w:val="24"/>
          <w:rtl/>
        </w:rPr>
        <w:t xml:space="preserve">ות מאחר שקיים חשש ממשי שהן ימנעו מלצאת לעבודה בשל החשש שלא יוכרו כמטפל עיקרי. במקום לשנות את החזקה, יש לעודד מנגנונים לאכיפת הסדרי קשר וראייה. </w:t>
      </w:r>
    </w:p>
    <w:p w:rsidR="00896EDF" w:rsidRPr="000D32D6" w:rsidRDefault="00896EDF" w:rsidP="00024BA4">
      <w:pPr>
        <w:pStyle w:val="a3"/>
        <w:numPr>
          <w:ilvl w:val="0"/>
          <w:numId w:val="1"/>
        </w:numPr>
        <w:spacing w:before="120" w:after="0" w:line="360" w:lineRule="auto"/>
        <w:jc w:val="both"/>
        <w:rPr>
          <w:rFonts w:cs="David"/>
          <w:sz w:val="24"/>
          <w:szCs w:val="24"/>
        </w:rPr>
      </w:pPr>
      <w:r w:rsidRPr="000D32D6">
        <w:rPr>
          <w:rFonts w:cs="David" w:hint="cs"/>
          <w:b/>
          <w:bCs/>
          <w:sz w:val="24"/>
          <w:szCs w:val="24"/>
          <w:rtl/>
        </w:rPr>
        <w:t>לשכת עוה"ד</w:t>
      </w:r>
      <w:r w:rsidRPr="000D32D6">
        <w:rPr>
          <w:rFonts w:cs="David" w:hint="cs"/>
          <w:sz w:val="24"/>
          <w:szCs w:val="24"/>
          <w:rtl/>
        </w:rPr>
        <w:t xml:space="preserve"> בעמדה שהציגה בפני ועדת שניט</w:t>
      </w:r>
      <w:r w:rsidR="00EE3780">
        <w:rPr>
          <w:rFonts w:cs="David" w:hint="cs"/>
          <w:sz w:val="24"/>
          <w:szCs w:val="24"/>
          <w:rtl/>
        </w:rPr>
        <w:t xml:space="preserve"> (לשכת עוה"ד מציגה כיום עמדה שונה)</w:t>
      </w:r>
      <w:r w:rsidRPr="000D32D6">
        <w:rPr>
          <w:rFonts w:cs="David" w:hint="cs"/>
          <w:sz w:val="24"/>
          <w:szCs w:val="24"/>
          <w:rtl/>
        </w:rPr>
        <w:t xml:space="preserve"> התריעה מפני החרפת המאבקים המשפטיים. הלשכה הציעה חזקת הגיל הרך עד גיל 3 ואח"כ חזקת המטפל העיקרי באופן שהנטל להראות שהמטפל העיקרי אינו האם יהיה על האב. אם שני ההורים טיפלו באופן שווה לפני הגירושין תקבע משמורת משותפת. </w:t>
      </w:r>
    </w:p>
    <w:p w:rsidR="00896EDF" w:rsidRPr="000D32D6" w:rsidRDefault="00896EDF" w:rsidP="00266407">
      <w:pPr>
        <w:pStyle w:val="a3"/>
        <w:numPr>
          <w:ilvl w:val="0"/>
          <w:numId w:val="1"/>
        </w:numPr>
        <w:spacing w:before="120" w:after="0" w:line="360" w:lineRule="auto"/>
        <w:jc w:val="both"/>
        <w:rPr>
          <w:rFonts w:cs="David"/>
          <w:sz w:val="24"/>
          <w:szCs w:val="24"/>
        </w:rPr>
      </w:pPr>
      <w:r w:rsidRPr="000D32D6">
        <w:rPr>
          <w:rFonts w:cs="David" w:hint="cs"/>
          <w:b/>
          <w:bCs/>
          <w:sz w:val="24"/>
          <w:szCs w:val="24"/>
          <w:rtl/>
        </w:rPr>
        <w:t>עמדת המועצה לשלום הילד</w:t>
      </w:r>
      <w:r w:rsidRPr="000D32D6">
        <w:rPr>
          <w:rFonts w:cs="David" w:hint="cs"/>
          <w:sz w:val="24"/>
          <w:szCs w:val="24"/>
          <w:rtl/>
        </w:rPr>
        <w:t xml:space="preserve"> כפי שהוצגה בדו"ח הביניים של ועדת שניט</w:t>
      </w:r>
      <w:r w:rsidR="00C43C96">
        <w:rPr>
          <w:rFonts w:cs="David" w:hint="cs"/>
          <w:sz w:val="24"/>
          <w:szCs w:val="24"/>
          <w:rtl/>
        </w:rPr>
        <w:t xml:space="preserve"> (מאז שונתה עמדת</w:t>
      </w:r>
      <w:r w:rsidR="00266407">
        <w:rPr>
          <w:rFonts w:cs="David" w:hint="cs"/>
          <w:sz w:val="24"/>
          <w:szCs w:val="24"/>
          <w:rtl/>
        </w:rPr>
        <w:t>ה</w:t>
      </w:r>
      <w:r w:rsidR="00C43C96">
        <w:rPr>
          <w:rFonts w:cs="David" w:hint="cs"/>
          <w:sz w:val="24"/>
          <w:szCs w:val="24"/>
          <w:rtl/>
        </w:rPr>
        <w:t>)</w:t>
      </w:r>
      <w:r w:rsidRPr="000D32D6">
        <w:rPr>
          <w:rFonts w:cs="David" w:hint="cs"/>
          <w:sz w:val="24"/>
          <w:szCs w:val="24"/>
          <w:rtl/>
        </w:rPr>
        <w:t>:</w:t>
      </w:r>
    </w:p>
    <w:p w:rsidR="00896EDF" w:rsidRPr="000D32D6" w:rsidRDefault="00896EDF" w:rsidP="00896EDF">
      <w:pPr>
        <w:pStyle w:val="a3"/>
        <w:spacing w:before="120" w:after="0" w:line="360" w:lineRule="auto"/>
        <w:jc w:val="both"/>
        <w:rPr>
          <w:rFonts w:cs="David"/>
          <w:sz w:val="24"/>
          <w:szCs w:val="24"/>
          <w:rtl/>
        </w:rPr>
      </w:pPr>
      <w:r w:rsidRPr="000D32D6">
        <w:rPr>
          <w:rFonts w:cs="David" w:hint="cs"/>
          <w:sz w:val="24"/>
          <w:szCs w:val="24"/>
          <w:rtl/>
        </w:rPr>
        <w:t>ההורים בפועל אינם דואגים לטובת הילד בהליך הגירושין</w:t>
      </w:r>
      <w:r>
        <w:rPr>
          <w:rFonts w:cs="David" w:hint="cs"/>
          <w:sz w:val="24"/>
          <w:szCs w:val="24"/>
          <w:rtl/>
        </w:rPr>
        <w:t>,</w:t>
      </w:r>
      <w:r w:rsidRPr="000D32D6">
        <w:rPr>
          <w:rFonts w:cs="David" w:hint="cs"/>
          <w:sz w:val="24"/>
          <w:szCs w:val="24"/>
          <w:rtl/>
        </w:rPr>
        <w:t xml:space="preserve"> הילדים מצאים בשל כך בסיכון גבוה. חזקת הגיל הרך מהווה מגן מפני הסלמה במצבם של הילדים. העמדה אינה נובעת מגישה מגדרית מאחר שאימהות ואבות יכולים לגדל את ילדיהם באותה מידה</w:t>
      </w:r>
      <w:r>
        <w:rPr>
          <w:rFonts w:cs="David" w:hint="cs"/>
          <w:sz w:val="24"/>
          <w:szCs w:val="24"/>
          <w:rtl/>
        </w:rPr>
        <w:t>,</w:t>
      </w:r>
      <w:r w:rsidRPr="000D32D6">
        <w:rPr>
          <w:rFonts w:cs="David" w:hint="cs"/>
          <w:sz w:val="24"/>
          <w:szCs w:val="24"/>
          <w:rtl/>
        </w:rPr>
        <w:t xml:space="preserve"> אך ברור במציאות הישראלית, כפי שגם ברחבי העולם, מרבים הילדים מצויים בפעל עם אמם. החזקה מאפשרת יציבות בחיי הילדים ולכן מסיבו</w:t>
      </w:r>
      <w:r>
        <w:rPr>
          <w:rFonts w:cs="David" w:hint="cs"/>
          <w:sz w:val="24"/>
          <w:szCs w:val="24"/>
          <w:rtl/>
        </w:rPr>
        <w:t>ת</w:t>
      </w:r>
      <w:r w:rsidRPr="000D32D6">
        <w:rPr>
          <w:rFonts w:cs="David" w:hint="cs"/>
          <w:sz w:val="24"/>
          <w:szCs w:val="24"/>
          <w:rtl/>
        </w:rPr>
        <w:t xml:space="preserve"> פ</w:t>
      </w:r>
      <w:r>
        <w:rPr>
          <w:rFonts w:cs="David" w:hint="cs"/>
          <w:sz w:val="24"/>
          <w:szCs w:val="24"/>
          <w:rtl/>
        </w:rPr>
        <w:t>רק</w:t>
      </w:r>
      <w:r w:rsidRPr="000D32D6">
        <w:rPr>
          <w:rFonts w:cs="David" w:hint="cs"/>
          <w:sz w:val="24"/>
          <w:szCs w:val="24"/>
          <w:rtl/>
        </w:rPr>
        <w:t xml:space="preserve">טיות נכון להשאירה על כנה. ביטול החזקה יגרום לעליה חדה בהתדיינות המשפטית ואין סיבה לעשות זאת כשברור שברוב המוחלט של המקרים בסוף האם תהיה המשמורנית. ביטול החזקה לא יביא לתועלת במצב הילדים מעבר לערך ההצהרתי. </w:t>
      </w:r>
    </w:p>
    <w:p w:rsidR="00896EDF" w:rsidRPr="000D32D6" w:rsidRDefault="00896EDF" w:rsidP="00896EDF">
      <w:pPr>
        <w:pStyle w:val="a3"/>
        <w:spacing w:before="120" w:after="0" w:line="360" w:lineRule="auto"/>
        <w:jc w:val="both"/>
        <w:rPr>
          <w:rFonts w:cs="David"/>
          <w:sz w:val="24"/>
          <w:szCs w:val="24"/>
          <w:rtl/>
        </w:rPr>
      </w:pPr>
      <w:r w:rsidRPr="000D32D6">
        <w:rPr>
          <w:rFonts w:cs="David" w:hint="cs"/>
          <w:sz w:val="24"/>
          <w:szCs w:val="24"/>
          <w:rtl/>
        </w:rPr>
        <w:t>הצורך העיקרי של ילדים במצבי גירושין הינו מדור שקט ו</w:t>
      </w:r>
      <w:r>
        <w:rPr>
          <w:rFonts w:cs="David" w:hint="cs"/>
          <w:sz w:val="24"/>
          <w:szCs w:val="24"/>
          <w:rtl/>
        </w:rPr>
        <w:t>צריך להבטיח זאת</w:t>
      </w:r>
      <w:r w:rsidRPr="000D32D6">
        <w:rPr>
          <w:rFonts w:cs="David" w:hint="cs"/>
          <w:sz w:val="24"/>
          <w:szCs w:val="24"/>
          <w:rtl/>
        </w:rPr>
        <w:t xml:space="preserve">. בניית מודלים של אחריות הורית משותפת </w:t>
      </w:r>
      <w:r>
        <w:rPr>
          <w:rFonts w:cs="David" w:hint="cs"/>
          <w:sz w:val="24"/>
          <w:szCs w:val="24"/>
          <w:rtl/>
        </w:rPr>
        <w:t xml:space="preserve">הוא </w:t>
      </w:r>
      <w:r w:rsidRPr="000D32D6">
        <w:rPr>
          <w:rFonts w:cs="David" w:hint="cs"/>
          <w:sz w:val="24"/>
          <w:szCs w:val="24"/>
          <w:rtl/>
        </w:rPr>
        <w:t xml:space="preserve"> ניסיון לעש</w:t>
      </w:r>
      <w:r>
        <w:rPr>
          <w:rFonts w:cs="David" w:hint="cs"/>
          <w:sz w:val="24"/>
          <w:szCs w:val="24"/>
          <w:rtl/>
        </w:rPr>
        <w:t>יית</w:t>
      </w:r>
      <w:r w:rsidRPr="000D32D6">
        <w:rPr>
          <w:rFonts w:cs="David" w:hint="cs"/>
          <w:sz w:val="24"/>
          <w:szCs w:val="24"/>
          <w:rtl/>
        </w:rPr>
        <w:t xml:space="preserve"> צדק בין ההורים לפי תפיסת עולמם של המבוגרים</w:t>
      </w:r>
      <w:r>
        <w:rPr>
          <w:rFonts w:cs="David" w:hint="cs"/>
          <w:sz w:val="24"/>
          <w:szCs w:val="24"/>
          <w:rtl/>
        </w:rPr>
        <w:t>,</w:t>
      </w:r>
      <w:r w:rsidRPr="000D32D6">
        <w:rPr>
          <w:rFonts w:cs="David" w:hint="cs"/>
          <w:sz w:val="24"/>
          <w:szCs w:val="24"/>
          <w:rtl/>
        </w:rPr>
        <w:t xml:space="preserve"> אך </w:t>
      </w:r>
      <w:r>
        <w:rPr>
          <w:rFonts w:cs="David" w:hint="cs"/>
          <w:sz w:val="24"/>
          <w:szCs w:val="24"/>
          <w:rtl/>
        </w:rPr>
        <w:t>הדבר</w:t>
      </w:r>
      <w:r w:rsidRPr="000D32D6">
        <w:rPr>
          <w:rFonts w:cs="David" w:hint="cs"/>
          <w:sz w:val="24"/>
          <w:szCs w:val="24"/>
          <w:rtl/>
        </w:rPr>
        <w:t xml:space="preserve"> אינו לטובת הילדים, העיקר הוא המדור השקט לילד. </w:t>
      </w:r>
    </w:p>
    <w:p w:rsidR="00896EDF" w:rsidRPr="00A15981" w:rsidRDefault="00896EDF" w:rsidP="00024BA4">
      <w:pPr>
        <w:spacing w:before="120" w:after="0" w:line="360" w:lineRule="auto"/>
        <w:jc w:val="both"/>
        <w:rPr>
          <w:rFonts w:cs="David"/>
          <w:b/>
          <w:bCs/>
          <w:sz w:val="24"/>
          <w:szCs w:val="24"/>
          <w:u w:val="single"/>
          <w:rtl/>
        </w:rPr>
      </w:pPr>
      <w:r w:rsidRPr="005A5C1C">
        <w:rPr>
          <w:rFonts w:cs="David" w:hint="cs"/>
          <w:b/>
          <w:bCs/>
          <w:sz w:val="24"/>
          <w:szCs w:val="24"/>
          <w:rtl/>
        </w:rPr>
        <w:t xml:space="preserve">*העמדות המוצגות לעיל הינן העמדות שהוצגו בפני ועדת שניט לפני גיבוש דוח הביניים בשנת </w:t>
      </w:r>
      <w:r w:rsidRPr="007D514E">
        <w:rPr>
          <w:rFonts w:cs="David" w:hint="cs"/>
          <w:b/>
          <w:bCs/>
          <w:sz w:val="24"/>
          <w:szCs w:val="24"/>
          <w:rtl/>
        </w:rPr>
        <w:t>2008 (</w:t>
      </w:r>
      <w:r w:rsidR="00EE7155" w:rsidRPr="007D514E">
        <w:rPr>
          <w:rFonts w:cs="David" w:hint="cs"/>
          <w:b/>
          <w:bCs/>
          <w:sz w:val="24"/>
          <w:szCs w:val="24"/>
          <w:rtl/>
        </w:rPr>
        <w:t>לשכת עוה"</w:t>
      </w:r>
      <w:r w:rsidR="00024BA4" w:rsidRPr="007D514E">
        <w:rPr>
          <w:rFonts w:cs="David" w:hint="cs"/>
          <w:b/>
          <w:bCs/>
          <w:sz w:val="24"/>
          <w:szCs w:val="24"/>
          <w:rtl/>
        </w:rPr>
        <w:t>ד והמועצה לשלום הילד מציגות</w:t>
      </w:r>
      <w:r w:rsidR="00EE7155" w:rsidRPr="007D514E">
        <w:rPr>
          <w:rFonts w:cs="David" w:hint="cs"/>
          <w:b/>
          <w:bCs/>
          <w:sz w:val="24"/>
          <w:szCs w:val="24"/>
          <w:rtl/>
        </w:rPr>
        <w:t xml:space="preserve"> כיום עמדות שונות</w:t>
      </w:r>
      <w:r w:rsidRPr="007D514E">
        <w:rPr>
          <w:rFonts w:cs="David" w:hint="cs"/>
          <w:b/>
          <w:bCs/>
          <w:sz w:val="24"/>
          <w:szCs w:val="24"/>
          <w:rtl/>
        </w:rPr>
        <w:t>).</w:t>
      </w:r>
    </w:p>
    <w:p w:rsidR="00896EDF" w:rsidRDefault="00896EDF" w:rsidP="00896EDF">
      <w:pPr>
        <w:pStyle w:val="a3"/>
        <w:spacing w:before="120" w:after="0" w:line="360" w:lineRule="auto"/>
        <w:jc w:val="both"/>
        <w:rPr>
          <w:rFonts w:cs="David"/>
          <w:sz w:val="24"/>
          <w:szCs w:val="24"/>
          <w:rtl/>
        </w:rPr>
      </w:pPr>
    </w:p>
    <w:p w:rsidR="00896EDF" w:rsidRDefault="00896EDF" w:rsidP="00896EDF">
      <w:pPr>
        <w:pStyle w:val="a3"/>
        <w:spacing w:before="120" w:after="0" w:line="360" w:lineRule="auto"/>
        <w:jc w:val="both"/>
        <w:rPr>
          <w:rFonts w:cs="David"/>
          <w:sz w:val="24"/>
          <w:szCs w:val="24"/>
          <w:rtl/>
        </w:rPr>
      </w:pPr>
    </w:p>
    <w:p w:rsidR="00896EDF" w:rsidRPr="000D32D6" w:rsidRDefault="00896EDF" w:rsidP="00896EDF">
      <w:pPr>
        <w:spacing w:before="120" w:after="0" w:line="360" w:lineRule="auto"/>
        <w:jc w:val="both"/>
        <w:rPr>
          <w:rFonts w:cs="David"/>
          <w:b/>
          <w:bCs/>
          <w:sz w:val="24"/>
          <w:szCs w:val="24"/>
          <w:rtl/>
        </w:rPr>
      </w:pPr>
      <w:r w:rsidRPr="0066040A">
        <w:rPr>
          <w:rFonts w:cs="David" w:hint="cs"/>
          <w:b/>
          <w:bCs/>
          <w:sz w:val="24"/>
          <w:szCs w:val="24"/>
          <w:rtl/>
        </w:rPr>
        <w:t>הספרות המקצועית עליה התבססה ועדת שניט ומחקרים נוספים</w:t>
      </w:r>
    </w:p>
    <w:p w:rsidR="00896EDF" w:rsidRDefault="00896EDF" w:rsidP="00896EDF">
      <w:pPr>
        <w:spacing w:before="120" w:after="0" w:line="360" w:lineRule="auto"/>
        <w:jc w:val="both"/>
        <w:rPr>
          <w:rFonts w:cs="David"/>
          <w:sz w:val="24"/>
          <w:szCs w:val="24"/>
          <w:rtl/>
        </w:rPr>
      </w:pPr>
      <w:r w:rsidRPr="00F84F4B">
        <w:rPr>
          <w:rFonts w:cs="David" w:hint="cs"/>
          <w:b/>
          <w:bCs/>
          <w:sz w:val="24"/>
          <w:szCs w:val="24"/>
          <w:rtl/>
        </w:rPr>
        <w:t>סקירת ספרות מקצועית שהובאה בפני ועדת שניט על ידי פרופ' אבי שגיא- שוורץ וד"ר תרצה יואלס-</w:t>
      </w:r>
      <w:r>
        <w:rPr>
          <w:rFonts w:cs="David" w:hint="cs"/>
          <w:b/>
          <w:bCs/>
          <w:sz w:val="24"/>
          <w:szCs w:val="24"/>
          <w:rtl/>
        </w:rPr>
        <w:t xml:space="preserve"> </w:t>
      </w:r>
      <w:r w:rsidRPr="00F84F4B">
        <w:rPr>
          <w:rFonts w:cs="David" w:hint="cs"/>
          <w:sz w:val="24"/>
          <w:szCs w:val="24"/>
          <w:rtl/>
        </w:rPr>
        <w:t>הספרות הפסיכולוגית המקצועית מצביעה על אחריות הורית משותפת על ידי שני ההורים כמטרת על. רוב ההורים מתאפיינים בהורות נורמטיבית ואין מקום לבחון את ביצועיו ומסוגלותו ההורית של הורה נורמטיבי. המחקרים מצביעים על חשיבותם של שני ההורים להתפתחות הילד. חוסר מימוש קשר עם שני ההורים מהווה גורם סיכון התפתחותי לילד.</w:t>
      </w:r>
      <w:r>
        <w:rPr>
          <w:rFonts w:cs="David" w:hint="cs"/>
          <w:sz w:val="24"/>
          <w:szCs w:val="24"/>
          <w:rtl/>
        </w:rPr>
        <w:t xml:space="preserve">  לטענתם </w:t>
      </w:r>
      <w:r w:rsidRPr="00F84F4B">
        <w:rPr>
          <w:rFonts w:cs="David" w:hint="cs"/>
          <w:sz w:val="24"/>
          <w:szCs w:val="24"/>
          <w:rtl/>
        </w:rPr>
        <w:t>דוקטרינת הגיל הרך בדבר הקשר לאם אינה מבוססת</w:t>
      </w:r>
      <w:r>
        <w:rPr>
          <w:rFonts w:cs="David" w:hint="cs"/>
          <w:sz w:val="24"/>
          <w:szCs w:val="24"/>
          <w:rtl/>
        </w:rPr>
        <w:t>,</w:t>
      </w:r>
      <w:r w:rsidRPr="00F84F4B">
        <w:rPr>
          <w:rFonts w:cs="David" w:hint="cs"/>
          <w:sz w:val="24"/>
          <w:szCs w:val="24"/>
          <w:rtl/>
        </w:rPr>
        <w:t xml:space="preserve"> ולפי תיאורית ההתקשרות התקשרותו של הפעוט להורה המט</w:t>
      </w:r>
      <w:r>
        <w:rPr>
          <w:rFonts w:cs="David" w:hint="cs"/>
          <w:sz w:val="24"/>
          <w:szCs w:val="24"/>
          <w:rtl/>
        </w:rPr>
        <w:t>פ</w:t>
      </w:r>
      <w:r w:rsidRPr="00F84F4B">
        <w:rPr>
          <w:rFonts w:cs="David" w:hint="cs"/>
          <w:sz w:val="24"/>
          <w:szCs w:val="24"/>
          <w:rtl/>
        </w:rPr>
        <w:t>ל מבוססת על עצם היותו של ההורה זמין עבורו.  הדגש צריך להיות על האחריות ההורית, בהנחה שבדרך כלל יש מסוגלות הורית לכל אחד מההורים. המחקרים מצביעים על כך שילדים מסתגלים יותר להסדר משמורת משותפת לעומת משמורת יחידנית. הוצג מחקר על (</w:t>
      </w:r>
      <w:r w:rsidRPr="00F84F4B">
        <w:rPr>
          <w:rFonts w:cs="David" w:hint="cs"/>
          <w:sz w:val="24"/>
          <w:szCs w:val="24"/>
        </w:rPr>
        <w:t>B</w:t>
      </w:r>
      <w:r w:rsidRPr="00F84F4B">
        <w:rPr>
          <w:rFonts w:cs="David"/>
          <w:sz w:val="24"/>
          <w:szCs w:val="24"/>
        </w:rPr>
        <w:t>auserman 2002</w:t>
      </w:r>
      <w:r w:rsidRPr="00F84F4B">
        <w:rPr>
          <w:rFonts w:cs="David" w:hint="cs"/>
          <w:sz w:val="24"/>
          <w:szCs w:val="24"/>
          <w:rtl/>
        </w:rPr>
        <w:t xml:space="preserve">) לפיו למשמורת הורית משותפת יתרונות בתחומי תפקוד רבים של הילד על פני משמורת של הורה אחד וקיימת חשיבות מכרעת למעורבות של שני ההורים </w:t>
      </w:r>
      <w:r w:rsidRPr="00AF12AC">
        <w:rPr>
          <w:rFonts w:cs="David" w:hint="cs"/>
          <w:sz w:val="24"/>
          <w:szCs w:val="24"/>
          <w:rtl/>
        </w:rPr>
        <w:t>בחייו של הילד (*יוער כי ככל הנראה הכוונה היא למצבים  בהם שני ההורים שותפים בחייו של הילד באופן משמעותי ושיש אפוטרופסות משותפת, ולא בהכרח לזמן שהות שווה אצל כל אחד מההורים). לטענתם</w:t>
      </w:r>
      <w:r w:rsidRPr="00F84F4B">
        <w:rPr>
          <w:rFonts w:cs="David" w:hint="cs"/>
          <w:sz w:val="24"/>
          <w:szCs w:val="24"/>
          <w:rtl/>
        </w:rPr>
        <w:t xml:space="preserve"> חזקת הגיל הרך אינה נתמכת מחקר. יש לבחון כל מקרה לגופו באופן רב מערכתי ומתוך אוריינטציה דינאמית של התייחסות למע</w:t>
      </w:r>
      <w:r>
        <w:rPr>
          <w:rFonts w:cs="David" w:hint="cs"/>
          <w:sz w:val="24"/>
          <w:szCs w:val="24"/>
          <w:rtl/>
        </w:rPr>
        <w:t>ג</w:t>
      </w:r>
      <w:r w:rsidRPr="00F84F4B">
        <w:rPr>
          <w:rFonts w:cs="David" w:hint="cs"/>
          <w:sz w:val="24"/>
          <w:szCs w:val="24"/>
          <w:rtl/>
        </w:rPr>
        <w:t>ל החיים המתמשך של הילד ולמכלול הגורמים המשפיעים על התפתחותו. לדבריהם מימוש האחריות ההורית אפשרי במצבים בהם הקונפליקט בין ההורים הוא ברמה נמוכה. יחד עם זאת, כאשר הקונפליקט בין ההורים הוא ברמה גבוהה, מימוש האחריות ההורית המשותפת אינו בר השגה. במצב זה המציאות שנוצרת פועלת נגד טובת הילד ונדרש להסתייע במוסד "ידיד לילד" (שכרגע לא קיים בישראל) אשר ייפגש עם ההורים והילדים, יבצע הערכות, יסתייע בבעלי מקצוע נוספים ויקבע תכנית הורית זמנית ולאחר מכן תכנית הורית קבועה.</w:t>
      </w:r>
    </w:p>
    <w:p w:rsidR="00896EDF" w:rsidRDefault="00896EDF" w:rsidP="00896EDF">
      <w:pPr>
        <w:spacing w:before="120" w:after="0" w:line="360" w:lineRule="auto"/>
        <w:jc w:val="both"/>
        <w:rPr>
          <w:rFonts w:cs="David"/>
          <w:sz w:val="24"/>
          <w:szCs w:val="24"/>
          <w:rtl/>
        </w:rPr>
      </w:pPr>
      <w:r w:rsidRPr="007F090A">
        <w:rPr>
          <w:rFonts w:cs="David" w:hint="cs"/>
          <w:sz w:val="24"/>
          <w:szCs w:val="24"/>
          <w:rtl/>
        </w:rPr>
        <w:t xml:space="preserve"> </w:t>
      </w:r>
    </w:p>
    <w:p w:rsidR="00896EDF" w:rsidRPr="00655D90" w:rsidRDefault="00896EDF" w:rsidP="00896EDF">
      <w:pPr>
        <w:spacing w:before="120" w:after="0" w:line="360" w:lineRule="auto"/>
        <w:jc w:val="both"/>
        <w:rPr>
          <w:rFonts w:cs="David"/>
          <w:sz w:val="24"/>
          <w:szCs w:val="24"/>
          <w:rtl/>
        </w:rPr>
      </w:pPr>
      <w:r w:rsidRPr="007F090A">
        <w:rPr>
          <w:rFonts w:cs="David" w:hint="cs"/>
          <w:sz w:val="24"/>
          <w:szCs w:val="24"/>
          <w:rtl/>
        </w:rPr>
        <w:t>לאחר</w:t>
      </w:r>
      <w:r w:rsidRPr="00655D90">
        <w:rPr>
          <w:rFonts w:cs="David" w:hint="cs"/>
          <w:sz w:val="24"/>
          <w:szCs w:val="24"/>
          <w:rtl/>
        </w:rPr>
        <w:t xml:space="preserve"> ועדת שניט פורסמו שני מחקרים בולטים בנושא זה. בשנת 2014 פורסם מסמך מטעם מומחים רבים על כך שתינוקות ופעוטות זקוקים לטיפול לילי של שני ההורים אחרי פרידה או גירושין, אף שאין הכרח כי חלוקת הזמן תהיה שווה</w:t>
      </w:r>
      <w:r w:rsidRPr="00655D90">
        <w:rPr>
          <w:rStyle w:val="a6"/>
          <w:rFonts w:cs="David"/>
          <w:sz w:val="24"/>
          <w:szCs w:val="24"/>
          <w:rtl/>
        </w:rPr>
        <w:footnoteReference w:id="6"/>
      </w:r>
      <w:r w:rsidRPr="00655D90">
        <w:rPr>
          <w:rFonts w:cs="David" w:hint="cs"/>
          <w:sz w:val="24"/>
          <w:szCs w:val="24"/>
          <w:rtl/>
        </w:rPr>
        <w:t>. מאידך, מחקרים שנערכו באוסטרליה בשנים האחרונות מצביעים על כך שילדים בגיל 2-3 גילו קשיים רגשיים במצבים של משמרות משותפת ואילו ילדים בגילאי 4-5 גילו יכולת הסתגלות למעבר בין שני בתים ולא נצפו השפעות שליליות לכך</w:t>
      </w:r>
      <w:r w:rsidRPr="00655D90">
        <w:rPr>
          <w:rStyle w:val="a6"/>
          <w:rFonts w:cs="David"/>
          <w:sz w:val="24"/>
          <w:szCs w:val="24"/>
          <w:rtl/>
        </w:rPr>
        <w:footnoteReference w:id="7"/>
      </w:r>
      <w:r w:rsidRPr="00655D90">
        <w:rPr>
          <w:rFonts w:cs="David" w:hint="cs"/>
          <w:sz w:val="24"/>
          <w:szCs w:val="24"/>
          <w:rtl/>
        </w:rPr>
        <w:t>.</w:t>
      </w:r>
    </w:p>
    <w:p w:rsidR="00896EDF" w:rsidRPr="00655D90" w:rsidRDefault="00896EDF" w:rsidP="00896EDF">
      <w:pPr>
        <w:spacing w:before="120" w:after="0" w:line="360" w:lineRule="auto"/>
        <w:jc w:val="both"/>
        <w:rPr>
          <w:rFonts w:cs="David"/>
          <w:sz w:val="24"/>
          <w:szCs w:val="24"/>
          <w:rtl/>
        </w:rPr>
      </w:pPr>
      <w:r w:rsidRPr="00655D90">
        <w:rPr>
          <w:rFonts w:cs="David" w:hint="cs"/>
          <w:sz w:val="24"/>
          <w:szCs w:val="24"/>
          <w:rtl/>
        </w:rPr>
        <w:t xml:space="preserve"> יצוין כי על המחקרים השונים (הן על המחקרים עליהן הסתמכה ועדת שניט והן המחקרים שנעשו לאחריה) נמתחה ביקורת על ידי מומחים שונים</w:t>
      </w:r>
      <w:r w:rsidRPr="00655D90">
        <w:rPr>
          <w:rStyle w:val="a6"/>
          <w:rFonts w:cs="David"/>
          <w:sz w:val="24"/>
          <w:szCs w:val="24"/>
          <w:rtl/>
        </w:rPr>
        <w:footnoteReference w:id="8"/>
      </w:r>
      <w:r w:rsidRPr="00655D90">
        <w:rPr>
          <w:rFonts w:cs="David" w:hint="cs"/>
          <w:sz w:val="24"/>
          <w:szCs w:val="24"/>
          <w:rtl/>
        </w:rPr>
        <w:t xml:space="preserve">. </w:t>
      </w:r>
    </w:p>
    <w:p w:rsidR="00896EDF" w:rsidRPr="00655D90" w:rsidRDefault="00896EDF" w:rsidP="00896EDF">
      <w:pPr>
        <w:spacing w:before="120" w:after="0" w:line="360" w:lineRule="auto"/>
        <w:jc w:val="both"/>
        <w:rPr>
          <w:rFonts w:cs="David"/>
          <w:b/>
          <w:bCs/>
          <w:sz w:val="24"/>
          <w:szCs w:val="24"/>
          <w:rtl/>
        </w:rPr>
      </w:pPr>
      <w:r w:rsidRPr="00655D90">
        <w:rPr>
          <w:rFonts w:cs="David" w:hint="cs"/>
          <w:b/>
          <w:bCs/>
          <w:sz w:val="24"/>
          <w:szCs w:val="24"/>
          <w:rtl/>
        </w:rPr>
        <w:lastRenderedPageBreak/>
        <w:t>מוצע לבקש התייחסות של גורמי המקצוע (פסיכולוגים, עובדים סוציאלים וכו') לנושא, לספרות המקצועית ולמחקרים עדכניים.</w:t>
      </w:r>
    </w:p>
    <w:p w:rsidR="00896EDF" w:rsidRPr="00655D90" w:rsidRDefault="00896EDF" w:rsidP="00896EDF">
      <w:pPr>
        <w:spacing w:before="120" w:after="0" w:line="360" w:lineRule="auto"/>
        <w:jc w:val="both"/>
        <w:rPr>
          <w:rFonts w:cs="David"/>
          <w:sz w:val="24"/>
          <w:szCs w:val="24"/>
          <w:rtl/>
        </w:rPr>
      </w:pPr>
    </w:p>
    <w:p w:rsidR="00896EDF" w:rsidRPr="000D32D6" w:rsidRDefault="00896EDF" w:rsidP="00896EDF">
      <w:pPr>
        <w:spacing w:before="120" w:after="0" w:line="360" w:lineRule="auto"/>
        <w:jc w:val="both"/>
        <w:rPr>
          <w:rFonts w:cs="David"/>
          <w:b/>
          <w:bCs/>
          <w:sz w:val="24"/>
          <w:szCs w:val="24"/>
          <w:rtl/>
        </w:rPr>
      </w:pPr>
      <w:r w:rsidRPr="000D32D6">
        <w:rPr>
          <w:rFonts w:cs="David" w:hint="cs"/>
          <w:b/>
          <w:bCs/>
          <w:sz w:val="24"/>
          <w:szCs w:val="24"/>
          <w:rtl/>
        </w:rPr>
        <w:t>סקירה משווה</w:t>
      </w:r>
    </w:p>
    <w:p w:rsidR="00896EDF" w:rsidRPr="000D32D6" w:rsidRDefault="00896EDF" w:rsidP="00896EDF">
      <w:pPr>
        <w:spacing w:before="120" w:after="0" w:line="360" w:lineRule="auto"/>
        <w:jc w:val="both"/>
        <w:rPr>
          <w:rFonts w:cs="David"/>
          <w:sz w:val="24"/>
          <w:szCs w:val="24"/>
        </w:rPr>
      </w:pPr>
      <w:r w:rsidRPr="000D32D6">
        <w:rPr>
          <w:rFonts w:cs="David" w:hint="cs"/>
          <w:sz w:val="24"/>
          <w:szCs w:val="24"/>
          <w:rtl/>
        </w:rPr>
        <w:t>במדינות רבות בעולם בוטלה חזקת הגיל הרך ונקבעו במקומה דוקטרינות ניטרליות של בחינת טובת הילד בכל מקרה ומקרה</w:t>
      </w:r>
      <w:r>
        <w:rPr>
          <w:rFonts w:cs="David" w:hint="cs"/>
          <w:sz w:val="24"/>
          <w:szCs w:val="24"/>
          <w:rtl/>
        </w:rPr>
        <w:t xml:space="preserve"> (יצוין כי באותן מדינות בד"כ משמעות החזקה, לפני שבוטלה, הייתה גם צמצום מעמדו המשפטי של האב בקבלת ההחלטות, בניגוד לדין הקיים בישראל)</w:t>
      </w:r>
      <w:r w:rsidRPr="000D32D6">
        <w:rPr>
          <w:rFonts w:cs="David" w:hint="cs"/>
          <w:sz w:val="24"/>
          <w:szCs w:val="24"/>
          <w:rtl/>
        </w:rPr>
        <w:t xml:space="preserve">. בוועדת שניט הוצגה סקירה משווה נרחבת (ראו עמודים 11-15). כך למשל החוק הקנדי בו </w:t>
      </w:r>
      <w:r>
        <w:rPr>
          <w:rFonts w:cs="David" w:hint="cs"/>
          <w:sz w:val="24"/>
          <w:szCs w:val="24"/>
          <w:rtl/>
        </w:rPr>
        <w:t>אין כלל הכרעה אלא קביעה</w:t>
      </w:r>
      <w:r w:rsidRPr="000D32D6">
        <w:rPr>
          <w:rFonts w:cs="David" w:hint="cs"/>
          <w:sz w:val="24"/>
          <w:szCs w:val="24"/>
          <w:rtl/>
        </w:rPr>
        <w:t xml:space="preserve"> </w:t>
      </w:r>
      <w:r>
        <w:rPr>
          <w:rFonts w:cs="David" w:hint="cs"/>
          <w:sz w:val="24"/>
          <w:szCs w:val="24"/>
          <w:rtl/>
        </w:rPr>
        <w:t>ל</w:t>
      </w:r>
      <w:r w:rsidRPr="000D32D6">
        <w:rPr>
          <w:rFonts w:cs="David" w:hint="cs"/>
          <w:sz w:val="24"/>
          <w:szCs w:val="24"/>
          <w:rtl/>
        </w:rPr>
        <w:t>פי טובת הילד</w:t>
      </w:r>
      <w:r>
        <w:rPr>
          <w:rFonts w:cs="David" w:hint="cs"/>
          <w:sz w:val="24"/>
          <w:szCs w:val="24"/>
          <w:rtl/>
        </w:rPr>
        <w:t xml:space="preserve"> המסוים תוך הבניית שיקול דעת בית המשפט</w:t>
      </w:r>
      <w:r w:rsidRPr="000D32D6">
        <w:rPr>
          <w:rFonts w:cs="David" w:hint="cs"/>
          <w:sz w:val="24"/>
          <w:szCs w:val="24"/>
          <w:rtl/>
        </w:rPr>
        <w:t>. השיקולים כוללים, בין היתר, את קשריו של הילד עם כל אחד מהוריו, העדפת הילד, התייחסות למשך הזמן בו חי הילד באווירת מגורים יציבה, למסוגלות ההורית של כל הורה והיכולת שלו לספק לילד את הצרכים שלו.</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ואולם, בפועל, גם בהיעדר חזקה, במרבית המדינות השופטים עדיין מעדיפים להעניק לאימהות את זכויות המשמורת על ילדים רכים</w:t>
      </w:r>
      <w:r w:rsidRPr="000D32D6">
        <w:rPr>
          <w:rStyle w:val="a6"/>
          <w:rFonts w:cs="David"/>
          <w:sz w:val="24"/>
          <w:szCs w:val="24"/>
          <w:rtl/>
        </w:rPr>
        <w:footnoteReference w:id="9"/>
      </w:r>
      <w:r w:rsidRPr="000D32D6">
        <w:rPr>
          <w:rFonts w:cs="David" w:hint="cs"/>
          <w:sz w:val="24"/>
          <w:szCs w:val="24"/>
          <w:rtl/>
        </w:rPr>
        <w:t>.</w:t>
      </w:r>
    </w:p>
    <w:p w:rsidR="00896EDF" w:rsidRPr="000D32D6" w:rsidRDefault="00896EDF" w:rsidP="00896EDF">
      <w:pPr>
        <w:spacing w:before="120" w:after="0" w:line="360" w:lineRule="auto"/>
        <w:jc w:val="both"/>
        <w:rPr>
          <w:rFonts w:cs="David"/>
          <w:sz w:val="24"/>
          <w:szCs w:val="24"/>
        </w:rPr>
      </w:pPr>
      <w:r w:rsidRPr="000D32D6">
        <w:rPr>
          <w:rFonts w:cs="David" w:hint="cs"/>
          <w:sz w:val="24"/>
          <w:szCs w:val="24"/>
          <w:rtl/>
        </w:rPr>
        <w:t>במספר מדינות אומצה גישה של הורות משותפת כברירת מחדל, למשל בחוק האוסטרלי, אולם במקביל הושקעו משאבים רבים בסיוע למשפחות העוברות פרידה וכן, ישנו ליווי מחקרי מעמיק לרפורמה.</w:t>
      </w:r>
    </w:p>
    <w:p w:rsidR="00896EDF" w:rsidRPr="000D32D6" w:rsidRDefault="00896EDF" w:rsidP="00896EDF">
      <w:pPr>
        <w:spacing w:before="120" w:after="0" w:line="360" w:lineRule="auto"/>
        <w:jc w:val="both"/>
        <w:rPr>
          <w:rFonts w:cs="David"/>
          <w:sz w:val="24"/>
          <w:szCs w:val="24"/>
        </w:rPr>
      </w:pPr>
      <w:r w:rsidRPr="000D32D6">
        <w:rPr>
          <w:rFonts w:cs="David" w:hint="cs"/>
          <w:sz w:val="24"/>
          <w:szCs w:val="24"/>
          <w:rtl/>
        </w:rPr>
        <w:t>החוק האוסטרלי קובע</w:t>
      </w:r>
      <w:r>
        <w:rPr>
          <w:rFonts w:cs="David" w:hint="cs"/>
          <w:sz w:val="24"/>
          <w:szCs w:val="24"/>
          <w:rtl/>
        </w:rPr>
        <w:t xml:space="preserve"> כאמור</w:t>
      </w:r>
      <w:r w:rsidRPr="000D32D6">
        <w:rPr>
          <w:rFonts w:cs="David" w:hint="cs"/>
          <w:sz w:val="24"/>
          <w:szCs w:val="24"/>
          <w:rtl/>
        </w:rPr>
        <w:t xml:space="preserve"> הורות משותפת כברירת מחדל ומכיר גם בחיוניות הקשר עם סבים וסבתות וקרובים נוספים. השיקולים לקביעת טובת הילד- התועלת לילד ממערכת יחסים משמעותית עם שני הוריו, דעתו ורצונו, אופיי היחסים שלו עם כל אחד מהוריו, הנכונות והיכולת של כל אחד מהם לאפשר ולעודד קשר עם ההורה האחר, ההשפעות הצפויות על הילד כתוצאה מהתרחקות מאחד ההורים, יכולת כל הורה לספק את צרכי הילד, לרבות צרכים רגשיים, מאפייני התנהגותו כהורה עד כה. באוסטרליה נהוגה התערבות רב מערכתית בכל שלבי הגירושים בצורה </w:t>
      </w:r>
      <w:r>
        <w:rPr>
          <w:rFonts w:cs="David" w:hint="cs"/>
          <w:sz w:val="24"/>
          <w:szCs w:val="24"/>
          <w:rtl/>
        </w:rPr>
        <w:t xml:space="preserve"> נ</w:t>
      </w:r>
      <w:r w:rsidRPr="000D32D6">
        <w:rPr>
          <w:rFonts w:cs="David" w:hint="cs"/>
          <w:sz w:val="24"/>
          <w:szCs w:val="24"/>
          <w:rtl/>
        </w:rPr>
        <w:t>רחבת, גם לפני הגעה להסכם וגם לאחריו, ישנה אפשרות להעמיד "ידיד" לילד שיסייע בהגעה להכרעה</w:t>
      </w:r>
      <w:r w:rsidRPr="000D32D6">
        <w:rPr>
          <w:rStyle w:val="a6"/>
          <w:rFonts w:cs="David"/>
          <w:sz w:val="24"/>
          <w:szCs w:val="24"/>
          <w:rtl/>
        </w:rPr>
        <w:footnoteReference w:id="10"/>
      </w:r>
      <w:r w:rsidRPr="000D32D6">
        <w:rPr>
          <w:rFonts w:cs="David" w:hint="cs"/>
          <w:sz w:val="24"/>
          <w:szCs w:val="24"/>
          <w:rtl/>
        </w:rPr>
        <w:t>.</w:t>
      </w:r>
    </w:p>
    <w:p w:rsidR="00896EDF" w:rsidRPr="000D32D6" w:rsidRDefault="00896EDF" w:rsidP="00896EDF">
      <w:pPr>
        <w:pStyle w:val="a3"/>
        <w:spacing w:before="120" w:after="0" w:line="360" w:lineRule="auto"/>
        <w:jc w:val="both"/>
        <w:rPr>
          <w:rFonts w:cs="David"/>
          <w:sz w:val="24"/>
          <w:szCs w:val="24"/>
        </w:rPr>
      </w:pPr>
    </w:p>
    <w:p w:rsidR="00896EDF" w:rsidRPr="000D32D6" w:rsidRDefault="00896EDF" w:rsidP="00896EDF">
      <w:pPr>
        <w:spacing w:before="120" w:after="0" w:line="360" w:lineRule="auto"/>
        <w:rPr>
          <w:rFonts w:cs="David"/>
          <w:b/>
          <w:bCs/>
          <w:sz w:val="24"/>
          <w:szCs w:val="24"/>
          <w:rtl/>
        </w:rPr>
      </w:pPr>
      <w:r w:rsidRPr="000D32D6">
        <w:rPr>
          <w:rFonts w:cs="David" w:hint="cs"/>
          <w:b/>
          <w:bCs/>
          <w:sz w:val="24"/>
          <w:szCs w:val="24"/>
          <w:rtl/>
        </w:rPr>
        <w:t>הצעת החוק</w:t>
      </w:r>
    </w:p>
    <w:p w:rsidR="00896EDF" w:rsidRPr="000D32D6" w:rsidRDefault="00896EDF" w:rsidP="00896EDF">
      <w:pPr>
        <w:spacing w:before="120" w:after="0" w:line="360" w:lineRule="auto"/>
        <w:jc w:val="both"/>
        <w:rPr>
          <w:rFonts w:cs="David"/>
          <w:sz w:val="24"/>
          <w:szCs w:val="24"/>
          <w:rtl/>
        </w:rPr>
      </w:pPr>
      <w:r w:rsidRPr="000D32D6">
        <w:rPr>
          <w:rFonts w:cs="David" w:hint="cs"/>
          <w:sz w:val="24"/>
          <w:szCs w:val="24"/>
          <w:rtl/>
        </w:rPr>
        <w:t xml:space="preserve">הצעת החוק </w:t>
      </w:r>
      <w:r>
        <w:rPr>
          <w:rFonts w:cs="David" w:hint="cs"/>
          <w:sz w:val="24"/>
          <w:szCs w:val="24"/>
          <w:rtl/>
        </w:rPr>
        <w:t xml:space="preserve">המונחת בפני הוועדה </w:t>
      </w:r>
      <w:r w:rsidRPr="000D32D6">
        <w:rPr>
          <w:rFonts w:cs="David" w:hint="cs"/>
          <w:sz w:val="24"/>
          <w:szCs w:val="24"/>
          <w:rtl/>
        </w:rPr>
        <w:t>מבקשת ל</w:t>
      </w:r>
      <w:r>
        <w:rPr>
          <w:rFonts w:cs="David" w:hint="cs"/>
          <w:sz w:val="24"/>
          <w:szCs w:val="24"/>
          <w:rtl/>
        </w:rPr>
        <w:t xml:space="preserve">קבוע </w:t>
      </w:r>
      <w:r w:rsidRPr="000D32D6">
        <w:rPr>
          <w:rFonts w:cs="David" w:hint="cs"/>
          <w:sz w:val="24"/>
          <w:szCs w:val="24"/>
          <w:rtl/>
        </w:rPr>
        <w:t>את חזקת הגיל הרך לגיל שנתיים</w:t>
      </w:r>
      <w:r>
        <w:rPr>
          <w:rFonts w:cs="David" w:hint="cs"/>
          <w:sz w:val="24"/>
          <w:szCs w:val="24"/>
          <w:rtl/>
        </w:rPr>
        <w:t xml:space="preserve">, </w:t>
      </w:r>
      <w:r w:rsidRPr="000D32D6">
        <w:rPr>
          <w:rFonts w:cs="David" w:hint="cs"/>
          <w:sz w:val="24"/>
          <w:szCs w:val="24"/>
          <w:rtl/>
        </w:rPr>
        <w:t xml:space="preserve">ללא </w:t>
      </w:r>
      <w:r>
        <w:rPr>
          <w:rFonts w:cs="David" w:hint="cs"/>
          <w:sz w:val="24"/>
          <w:szCs w:val="24"/>
          <w:rtl/>
        </w:rPr>
        <w:t xml:space="preserve">קביעת </w:t>
      </w:r>
      <w:r w:rsidRPr="000D32D6">
        <w:rPr>
          <w:rFonts w:cs="David" w:hint="cs"/>
          <w:sz w:val="24"/>
          <w:szCs w:val="24"/>
          <w:rtl/>
        </w:rPr>
        <w:t xml:space="preserve">ברירת מחדל </w:t>
      </w:r>
      <w:r>
        <w:rPr>
          <w:rFonts w:cs="David" w:hint="cs"/>
          <w:sz w:val="24"/>
          <w:szCs w:val="24"/>
          <w:rtl/>
        </w:rPr>
        <w:t xml:space="preserve">או כלל הכרעה </w:t>
      </w:r>
      <w:r w:rsidRPr="000D32D6">
        <w:rPr>
          <w:rFonts w:cs="David" w:hint="cs"/>
          <w:sz w:val="24"/>
          <w:szCs w:val="24"/>
          <w:rtl/>
        </w:rPr>
        <w:t>כלשה</w:t>
      </w:r>
      <w:r>
        <w:rPr>
          <w:rFonts w:cs="David" w:hint="cs"/>
          <w:sz w:val="24"/>
          <w:szCs w:val="24"/>
          <w:rtl/>
        </w:rPr>
        <w:t>ו, כך שבית המשפט יידרש לקבל החלטה פוזיטיבית בכל מקרה ומקרה</w:t>
      </w:r>
      <w:r w:rsidRPr="000D32D6">
        <w:rPr>
          <w:rFonts w:cs="David" w:hint="cs"/>
          <w:sz w:val="24"/>
          <w:szCs w:val="24"/>
          <w:rtl/>
        </w:rPr>
        <w:t>.</w:t>
      </w:r>
      <w:r>
        <w:rPr>
          <w:rFonts w:cs="David" w:hint="cs"/>
          <w:sz w:val="24"/>
          <w:szCs w:val="24"/>
          <w:rtl/>
        </w:rPr>
        <w:t xml:space="preserve"> </w:t>
      </w:r>
    </w:p>
    <w:p w:rsidR="00896EDF" w:rsidRDefault="00896EDF" w:rsidP="00896EDF">
      <w:pPr>
        <w:spacing w:before="120" w:after="0" w:line="360" w:lineRule="auto"/>
        <w:jc w:val="both"/>
        <w:rPr>
          <w:rFonts w:cs="David"/>
          <w:sz w:val="24"/>
          <w:szCs w:val="24"/>
          <w:rtl/>
        </w:rPr>
      </w:pPr>
      <w:r>
        <w:rPr>
          <w:rFonts w:cs="David" w:hint="cs"/>
          <w:sz w:val="24"/>
          <w:szCs w:val="24"/>
          <w:rtl/>
        </w:rPr>
        <w:lastRenderedPageBreak/>
        <w:t xml:space="preserve">יצוין כי בשנת 2014 </w:t>
      </w:r>
      <w:r w:rsidRPr="000D32D6">
        <w:rPr>
          <w:rFonts w:cs="David" w:hint="cs"/>
          <w:sz w:val="24"/>
          <w:szCs w:val="24"/>
          <w:rtl/>
        </w:rPr>
        <w:t xml:space="preserve">הונחה על שולחן הכנסת </w:t>
      </w:r>
      <w:r w:rsidRPr="00FE3039">
        <w:rPr>
          <w:rFonts w:cs="David" w:hint="cs"/>
          <w:b/>
          <w:bCs/>
          <w:sz w:val="24"/>
          <w:szCs w:val="24"/>
          <w:rtl/>
        </w:rPr>
        <w:t>הצעת חוק ממשלתית</w:t>
      </w:r>
      <w:r w:rsidRPr="000D32D6">
        <w:rPr>
          <w:rFonts w:cs="David" w:hint="cs"/>
          <w:sz w:val="24"/>
          <w:szCs w:val="24"/>
          <w:rtl/>
        </w:rPr>
        <w:t xml:space="preserve"> </w:t>
      </w:r>
      <w:r>
        <w:rPr>
          <w:rFonts w:cs="David" w:hint="cs"/>
          <w:sz w:val="24"/>
          <w:szCs w:val="24"/>
          <w:rtl/>
        </w:rPr>
        <w:t xml:space="preserve">(שלא קודמה) </w:t>
      </w:r>
      <w:r w:rsidRPr="000D32D6">
        <w:rPr>
          <w:rFonts w:cs="David" w:hint="cs"/>
          <w:sz w:val="24"/>
          <w:szCs w:val="24"/>
          <w:rtl/>
        </w:rPr>
        <w:t xml:space="preserve">אשר ביקשה לאמץ את עיקרי המלצות </w:t>
      </w:r>
      <w:r>
        <w:rPr>
          <w:rFonts w:cs="David" w:hint="cs"/>
          <w:sz w:val="24"/>
          <w:szCs w:val="24"/>
          <w:rtl/>
        </w:rPr>
        <w:t>ועדת רוטלוי ו</w:t>
      </w:r>
      <w:r w:rsidRPr="000D32D6">
        <w:rPr>
          <w:rFonts w:cs="David" w:hint="cs"/>
          <w:sz w:val="24"/>
          <w:szCs w:val="24"/>
          <w:rtl/>
        </w:rPr>
        <w:t>ועדת שניט (הצעת חוק הורים וילדיהם, התשע"ה-2014)</w:t>
      </w:r>
      <w:r>
        <w:rPr>
          <w:rFonts w:cs="David" w:hint="cs"/>
          <w:sz w:val="24"/>
          <w:szCs w:val="24"/>
          <w:rtl/>
        </w:rPr>
        <w:t xml:space="preserve">. </w:t>
      </w:r>
      <w:r w:rsidRPr="002B4662">
        <w:rPr>
          <w:rFonts w:cs="David" w:hint="cs"/>
          <w:sz w:val="24"/>
          <w:szCs w:val="24"/>
          <w:rtl/>
        </w:rPr>
        <w:t xml:space="preserve">הוצע להסדיר את  יחסיהם של הורים וילדיהם הקטינים על יסוד התפיסה של האחריות ההורית תוך הגדרת טובת הילד כשיקול ראשון במעלה. </w:t>
      </w:r>
      <w:r>
        <w:rPr>
          <w:rFonts w:cs="David" w:hint="cs"/>
          <w:sz w:val="24"/>
          <w:szCs w:val="24"/>
          <w:rtl/>
        </w:rPr>
        <w:t>ההצעה כללה, בין היתר, הו</w:t>
      </w:r>
      <w:r w:rsidRPr="002B4662">
        <w:rPr>
          <w:rFonts w:cs="David" w:hint="cs"/>
          <w:sz w:val="24"/>
          <w:szCs w:val="24"/>
          <w:rtl/>
        </w:rPr>
        <w:t>ראות לעניין אחריותם המשותפת של שני ההורים גם במצב של פרידה</w:t>
      </w:r>
      <w:r>
        <w:rPr>
          <w:rFonts w:cs="David" w:hint="cs"/>
          <w:sz w:val="24"/>
          <w:szCs w:val="24"/>
          <w:rtl/>
        </w:rPr>
        <w:t xml:space="preserve">. עוד כללה ההצעה </w:t>
      </w:r>
      <w:r w:rsidRPr="002B4662">
        <w:rPr>
          <w:rFonts w:cs="David" w:hint="cs"/>
          <w:sz w:val="24"/>
          <w:szCs w:val="24"/>
          <w:rtl/>
        </w:rPr>
        <w:t>הוראות הנוגעות להבניית שיקול דעת בית המשפט בבואו לקבוע מהי טובת הילד לשם קביעת הסדר ההורות</w:t>
      </w:r>
      <w:r>
        <w:rPr>
          <w:rFonts w:cs="David" w:hint="cs"/>
          <w:sz w:val="24"/>
          <w:szCs w:val="24"/>
          <w:rtl/>
        </w:rPr>
        <w:t xml:space="preserve">. בהתאם להצעה, על בית המשפט להביא בחשבון את טובת הילד כשיקול ראשון במעלה ולשם כך עליו להתחשב, בין היתר בשיקולים שלהלן: מצבו הגופי והנפשי של הילד, צורכי ההתפתחותיים, רצון הילד, זכות הילד לקיים קשר ישיר וסדיר עם כל אחד מהוריו, זכות הילד לקיים קשר עם בני משפחתו, יכולתו של כל אחד מההורים לממש את האחריות ההורית, מידת הנכונות של כל אחד מההורים לשתף פעולה עם ההורה השני ולהבטיח מימוש הקשר עם ההורה השני, הטיפול שהעניק כל אחד מההורים לילד עד להחלטת בית המשפט. עוד הוצע לקבוע כי במקרה בו לא היה </w:t>
      </w:r>
      <w:r w:rsidRPr="00614C7B">
        <w:rPr>
          <w:rFonts w:cs="David" w:hint="cs"/>
          <w:sz w:val="24"/>
          <w:szCs w:val="24"/>
          <w:rtl/>
        </w:rPr>
        <w:t xml:space="preserve">במכלול השיקולים </w:t>
      </w:r>
      <w:r>
        <w:rPr>
          <w:rFonts w:cs="David" w:hint="cs"/>
          <w:sz w:val="24"/>
          <w:szCs w:val="24"/>
          <w:rtl/>
        </w:rPr>
        <w:t xml:space="preserve">המפורטים לעיל </w:t>
      </w:r>
      <w:r w:rsidRPr="00614C7B">
        <w:rPr>
          <w:rFonts w:cs="David" w:hint="cs"/>
          <w:sz w:val="24"/>
          <w:szCs w:val="24"/>
          <w:rtl/>
        </w:rPr>
        <w:t xml:space="preserve">כדי להכריע בעניין קביעת </w:t>
      </w:r>
      <w:r w:rsidRPr="00614C7B">
        <w:rPr>
          <w:rFonts w:cs="David"/>
          <w:sz w:val="24"/>
          <w:szCs w:val="24"/>
          <w:rtl/>
        </w:rPr>
        <w:t>חלוקת זמ</w:t>
      </w:r>
      <w:r w:rsidRPr="00614C7B">
        <w:rPr>
          <w:rFonts w:cs="David" w:hint="cs"/>
          <w:sz w:val="24"/>
          <w:szCs w:val="24"/>
          <w:rtl/>
        </w:rPr>
        <w:t>ן השהות</w:t>
      </w:r>
      <w:r w:rsidRPr="00614C7B">
        <w:rPr>
          <w:rFonts w:cs="David"/>
          <w:sz w:val="24"/>
          <w:szCs w:val="24"/>
          <w:rtl/>
        </w:rPr>
        <w:t xml:space="preserve"> </w:t>
      </w:r>
      <w:r w:rsidRPr="00614C7B">
        <w:rPr>
          <w:rFonts w:cs="David" w:hint="cs"/>
          <w:sz w:val="24"/>
          <w:szCs w:val="24"/>
          <w:rtl/>
        </w:rPr>
        <w:t>ו</w:t>
      </w:r>
      <w:r w:rsidRPr="00614C7B">
        <w:rPr>
          <w:rFonts w:cs="David"/>
          <w:sz w:val="24"/>
          <w:szCs w:val="24"/>
          <w:rtl/>
        </w:rPr>
        <w:t xml:space="preserve">המגורים של ילדה </w:t>
      </w:r>
      <w:r w:rsidRPr="00614C7B">
        <w:rPr>
          <w:rFonts w:cs="David" w:hint="cs"/>
          <w:sz w:val="24"/>
          <w:szCs w:val="24"/>
          <w:rtl/>
        </w:rPr>
        <w:t xml:space="preserve">או </w:t>
      </w:r>
      <w:r w:rsidRPr="00614C7B">
        <w:rPr>
          <w:rFonts w:cs="David"/>
          <w:sz w:val="24"/>
          <w:szCs w:val="24"/>
          <w:rtl/>
        </w:rPr>
        <w:t>ילד עם כל אחד מהורי</w:t>
      </w:r>
      <w:r w:rsidRPr="00614C7B">
        <w:rPr>
          <w:rFonts w:cs="David" w:hint="cs"/>
          <w:sz w:val="24"/>
          <w:szCs w:val="24"/>
          <w:rtl/>
        </w:rPr>
        <w:t>הם, יחליט בית המשפט  תוך מתן משקל מכריע לצורך ב</w:t>
      </w:r>
      <w:r w:rsidRPr="00614C7B">
        <w:rPr>
          <w:rFonts w:cs="David"/>
          <w:sz w:val="24"/>
          <w:szCs w:val="24"/>
          <w:rtl/>
        </w:rPr>
        <w:t>שמירת היציבות בחיי</w:t>
      </w:r>
      <w:r w:rsidRPr="00614C7B">
        <w:rPr>
          <w:rFonts w:cs="David" w:hint="cs"/>
          <w:sz w:val="24"/>
          <w:szCs w:val="24"/>
          <w:rtl/>
        </w:rPr>
        <w:t xml:space="preserve"> </w:t>
      </w:r>
      <w:r w:rsidRPr="00614C7B">
        <w:rPr>
          <w:rFonts w:cs="David"/>
          <w:sz w:val="24"/>
          <w:szCs w:val="24"/>
          <w:rtl/>
        </w:rPr>
        <w:t>הילד ו</w:t>
      </w:r>
      <w:r w:rsidRPr="00614C7B">
        <w:rPr>
          <w:rFonts w:cs="David" w:hint="cs"/>
          <w:sz w:val="24"/>
          <w:szCs w:val="24"/>
          <w:rtl/>
        </w:rPr>
        <w:t>ל</w:t>
      </w:r>
      <w:r w:rsidRPr="00614C7B">
        <w:rPr>
          <w:rFonts w:cs="David"/>
          <w:sz w:val="24"/>
          <w:szCs w:val="24"/>
          <w:rtl/>
        </w:rPr>
        <w:t xml:space="preserve">אופן </w:t>
      </w:r>
      <w:r w:rsidRPr="00614C7B">
        <w:rPr>
          <w:rFonts w:cs="David" w:hint="cs"/>
          <w:sz w:val="24"/>
          <w:szCs w:val="24"/>
          <w:rtl/>
        </w:rPr>
        <w:t xml:space="preserve">הטיפול </w:t>
      </w:r>
      <w:r w:rsidRPr="00614C7B">
        <w:rPr>
          <w:rFonts w:cs="David"/>
          <w:sz w:val="24"/>
          <w:szCs w:val="24"/>
          <w:rtl/>
        </w:rPr>
        <w:t>ומיד</w:t>
      </w:r>
      <w:r w:rsidRPr="00614C7B">
        <w:rPr>
          <w:rFonts w:cs="David" w:hint="cs"/>
          <w:sz w:val="24"/>
          <w:szCs w:val="24"/>
          <w:rtl/>
        </w:rPr>
        <w:t xml:space="preserve">ת הטיפול בילד, </w:t>
      </w:r>
      <w:r w:rsidRPr="00614C7B">
        <w:rPr>
          <w:rFonts w:cs="David"/>
          <w:sz w:val="24"/>
          <w:szCs w:val="24"/>
          <w:rtl/>
        </w:rPr>
        <w:t>על ידי כל אחד מ</w:t>
      </w:r>
      <w:r w:rsidRPr="00614C7B">
        <w:rPr>
          <w:rFonts w:cs="David" w:hint="cs"/>
          <w:sz w:val="24"/>
          <w:szCs w:val="24"/>
          <w:rtl/>
        </w:rPr>
        <w:t>ה</w:t>
      </w:r>
      <w:r w:rsidRPr="00614C7B">
        <w:rPr>
          <w:rFonts w:cs="David"/>
          <w:sz w:val="24"/>
          <w:szCs w:val="24"/>
          <w:rtl/>
        </w:rPr>
        <w:t>ורי</w:t>
      </w:r>
      <w:r>
        <w:rPr>
          <w:rFonts w:cs="David" w:hint="cs"/>
          <w:sz w:val="24"/>
          <w:szCs w:val="24"/>
          <w:rtl/>
        </w:rPr>
        <w:t xml:space="preserve">ו. על ביהמ"ש לוודא שאין </w:t>
      </w:r>
      <w:r w:rsidRPr="00614C7B">
        <w:rPr>
          <w:rFonts w:cs="David" w:hint="cs"/>
          <w:sz w:val="24"/>
          <w:szCs w:val="24"/>
          <w:rtl/>
        </w:rPr>
        <w:t xml:space="preserve">בהחלטה כאמור כדי לפגוע בשיקול של </w:t>
      </w:r>
      <w:r w:rsidRPr="00614C7B">
        <w:rPr>
          <w:rFonts w:cs="David"/>
          <w:sz w:val="24"/>
          <w:szCs w:val="24"/>
          <w:rtl/>
        </w:rPr>
        <w:t>שמירת הקשר של הילד עם שני הוריו</w:t>
      </w:r>
      <w:r>
        <w:rPr>
          <w:rFonts w:cs="David" w:hint="cs"/>
          <w:sz w:val="24"/>
          <w:szCs w:val="24"/>
          <w:rtl/>
        </w:rPr>
        <w:t>. לעניין ילדים עד גיל שנתיים, הוצע לקבוע כי ההחלטה תתקבל תמיד תוך מתן משקל מכריע לשמירת היציבות אשר כוללת כאמור גם את מידת ואופן הטיפול בילד על ידי כל אחד מהוריו עד למתן ההחלטה.</w:t>
      </w:r>
    </w:p>
    <w:p w:rsidR="00896EDF" w:rsidRDefault="00896EDF" w:rsidP="00896EDF">
      <w:pPr>
        <w:spacing w:before="120" w:after="0" w:line="360" w:lineRule="auto"/>
        <w:jc w:val="both"/>
        <w:rPr>
          <w:rFonts w:cs="David"/>
          <w:sz w:val="24"/>
          <w:szCs w:val="24"/>
          <w:rtl/>
        </w:rPr>
      </w:pPr>
      <w:r>
        <w:rPr>
          <w:rFonts w:cs="David" w:hint="cs"/>
          <w:sz w:val="24"/>
          <w:szCs w:val="24"/>
          <w:rtl/>
        </w:rPr>
        <w:t xml:space="preserve">ההצעה כאמור התייחסה לחלוקת זמן השהות ולא למשמורת. יחד עם זאת, הובהר כי אין המשמות בהכרח לחלוקת זמן שווה עם כל אחד מההורים. </w:t>
      </w:r>
    </w:p>
    <w:p w:rsidR="00896EDF" w:rsidRDefault="00896EDF" w:rsidP="00896EDF">
      <w:pPr>
        <w:spacing w:before="120" w:after="0" w:line="360" w:lineRule="auto"/>
        <w:jc w:val="both"/>
        <w:rPr>
          <w:rFonts w:cs="David"/>
          <w:sz w:val="24"/>
          <w:szCs w:val="24"/>
          <w:rtl/>
        </w:rPr>
      </w:pPr>
      <w:r>
        <w:rPr>
          <w:rFonts w:cs="David" w:hint="cs"/>
          <w:sz w:val="24"/>
          <w:szCs w:val="24"/>
          <w:rtl/>
        </w:rPr>
        <w:t>בנוסף, הוצע לקבוע כי בית המשפט יכריע בנושא תוך שישה חודשים לכל היותר, אלא אם היו טעמים מיוחדים.</w:t>
      </w:r>
    </w:p>
    <w:p w:rsidR="00896EDF" w:rsidRDefault="00896EDF" w:rsidP="00896EDF">
      <w:pPr>
        <w:spacing w:before="120" w:after="0" w:line="360" w:lineRule="auto"/>
        <w:jc w:val="both"/>
        <w:rPr>
          <w:rFonts w:cs="David"/>
          <w:sz w:val="24"/>
          <w:szCs w:val="24"/>
          <w:rtl/>
        </w:rPr>
      </w:pPr>
      <w:r>
        <w:rPr>
          <w:rFonts w:cs="David" w:hint="cs"/>
          <w:sz w:val="24"/>
          <w:szCs w:val="24"/>
          <w:rtl/>
        </w:rPr>
        <w:t xml:space="preserve">ההצעה התייחסה גם להשלכות של הפרת הסכם או הסדר הורות והציעה להסמיך את בית המשפט לנקוט אמצעים וביניהן מינוי צד שלישי שילווה את ההורים במימוש ההסדר. בנוסף, הוצע להסדיר מצבים בהם הורה אחד מבקש להעתיק את מקום מגוריו למקום אחר בתוך ישראל או להעתיק את מקום מגוריו למדינה אחרת.  בין היתר, הוצא לקבוע את חובת ההורה המבקש להעתיק את מקום מגוריו למדינת חוץ להציג בפני בית המשפט את הטעמים לבקשתו, להציג תוכנית לקליטת הילד במדינת החוץ באופן שיבטיח את טובתו ולהציג הסדר הורות שיבטיח את מימוש האחריות ההורית המשותפת, כמו כן, הוצע להבנות את השיקולים שעל בית המשפט יהיה לשקול בבואו להכריע בסוגיה. </w:t>
      </w:r>
    </w:p>
    <w:p w:rsidR="00896EDF" w:rsidRPr="00FE3039" w:rsidRDefault="00896EDF" w:rsidP="00896EDF">
      <w:pPr>
        <w:spacing w:before="120" w:after="0" w:line="360" w:lineRule="auto"/>
        <w:jc w:val="both"/>
        <w:rPr>
          <w:rStyle w:val="Hyperlink"/>
          <w:rFonts w:cs="David"/>
          <w:b/>
          <w:bCs/>
          <w:sz w:val="28"/>
          <w:szCs w:val="28"/>
          <w:rtl/>
        </w:rPr>
      </w:pPr>
      <w:r w:rsidRPr="002B4662">
        <w:rPr>
          <w:rFonts w:cs="David" w:hint="cs"/>
          <w:sz w:val="24"/>
          <w:szCs w:val="24"/>
          <w:rtl/>
        </w:rPr>
        <w:t>ההצעה הונחה זמן קצר לפ</w:t>
      </w:r>
      <w:r w:rsidRPr="000D32D6">
        <w:rPr>
          <w:rFonts w:cs="David" w:hint="cs"/>
          <w:sz w:val="24"/>
          <w:szCs w:val="24"/>
          <w:rtl/>
        </w:rPr>
        <w:t>ני פיזורה של הכנסת ה-19</w:t>
      </w:r>
      <w:r>
        <w:rPr>
          <w:rFonts w:cs="David" w:hint="cs"/>
          <w:sz w:val="24"/>
          <w:szCs w:val="24"/>
          <w:rtl/>
        </w:rPr>
        <w:t>,</w:t>
      </w:r>
      <w:r w:rsidRPr="000D32D6">
        <w:rPr>
          <w:rFonts w:cs="David" w:hint="cs"/>
          <w:sz w:val="24"/>
          <w:szCs w:val="24"/>
          <w:rtl/>
        </w:rPr>
        <w:t xml:space="preserve"> </w:t>
      </w:r>
      <w:r>
        <w:rPr>
          <w:rFonts w:cs="David" w:hint="cs"/>
          <w:sz w:val="24"/>
          <w:szCs w:val="24"/>
          <w:rtl/>
        </w:rPr>
        <w:t xml:space="preserve">אולם, הממשלה ביקשה לדחות את ההצבעה עליה בקריאה הראשונה </w:t>
      </w:r>
      <w:r w:rsidRPr="00FE3039">
        <w:rPr>
          <w:rFonts w:cs="David" w:hint="cs"/>
          <w:sz w:val="24"/>
          <w:szCs w:val="24"/>
          <w:rtl/>
        </w:rPr>
        <w:t xml:space="preserve">בשל פיזור הכנסת והיא </w:t>
      </w:r>
      <w:r w:rsidRPr="00FE3039">
        <w:rPr>
          <w:rFonts w:cs="David" w:hint="cs"/>
          <w:b/>
          <w:bCs/>
          <w:sz w:val="24"/>
          <w:szCs w:val="24"/>
          <w:rtl/>
        </w:rPr>
        <w:t>לא קודמה מאז. בכנסת ה-20 הממשלה לא הניחה הצעת חוק בנושא.</w:t>
      </w:r>
    </w:p>
    <w:p w:rsidR="00896EDF" w:rsidRDefault="00896EDF" w:rsidP="00896EDF">
      <w:pPr>
        <w:rPr>
          <w:rtl/>
        </w:rPr>
      </w:pPr>
    </w:p>
    <w:p w:rsidR="00896EDF" w:rsidRDefault="00896EDF" w:rsidP="00896EDF">
      <w:pPr>
        <w:rPr>
          <w:rtl/>
        </w:rPr>
      </w:pPr>
    </w:p>
    <w:p w:rsidR="00896EDF" w:rsidRDefault="00896EDF" w:rsidP="00896EDF">
      <w:pPr>
        <w:rPr>
          <w:rtl/>
        </w:rPr>
      </w:pPr>
    </w:p>
    <w:p w:rsidR="00896EDF" w:rsidRDefault="00896EDF" w:rsidP="00896EDF"/>
    <w:p w:rsidR="00896EDF" w:rsidRDefault="00896EDF" w:rsidP="00896EDF">
      <w:pPr>
        <w:spacing w:before="120" w:after="0" w:line="360" w:lineRule="auto"/>
        <w:rPr>
          <w:rFonts w:cs="David"/>
          <w:b/>
          <w:bCs/>
          <w:sz w:val="24"/>
          <w:szCs w:val="24"/>
          <w:rtl/>
        </w:rPr>
      </w:pPr>
      <w:r w:rsidRPr="000D32D6">
        <w:rPr>
          <w:rFonts w:cs="David" w:hint="cs"/>
          <w:b/>
          <w:bCs/>
          <w:sz w:val="24"/>
          <w:szCs w:val="24"/>
          <w:rtl/>
        </w:rPr>
        <w:lastRenderedPageBreak/>
        <w:t>סוגיות לדיון</w:t>
      </w:r>
    </w:p>
    <w:p w:rsidR="00896EDF" w:rsidRPr="00A46E36" w:rsidRDefault="00896EDF" w:rsidP="00896EDF">
      <w:pPr>
        <w:spacing w:before="120" w:after="0" w:line="360" w:lineRule="auto"/>
        <w:jc w:val="both"/>
        <w:rPr>
          <w:rFonts w:cs="David"/>
          <w:b/>
          <w:bCs/>
          <w:sz w:val="24"/>
          <w:szCs w:val="24"/>
        </w:rPr>
      </w:pPr>
      <w:r w:rsidRPr="00A46E36">
        <w:rPr>
          <w:rFonts w:cs="David" w:hint="cs"/>
          <w:sz w:val="24"/>
          <w:szCs w:val="24"/>
          <w:rtl/>
        </w:rPr>
        <w:t>כפי שעולה</w:t>
      </w:r>
      <w:r>
        <w:rPr>
          <w:rFonts w:cs="David" w:hint="cs"/>
          <w:sz w:val="24"/>
          <w:szCs w:val="24"/>
          <w:rtl/>
        </w:rPr>
        <w:t xml:space="preserve"> </w:t>
      </w:r>
      <w:r w:rsidRPr="00A46E36">
        <w:rPr>
          <w:rFonts w:cs="David" w:hint="cs"/>
          <w:sz w:val="24"/>
          <w:szCs w:val="24"/>
          <w:rtl/>
        </w:rPr>
        <w:t xml:space="preserve">מדו"ח ועדת שניט ישנה חשיבות רבה במעורבות </w:t>
      </w:r>
      <w:r>
        <w:rPr>
          <w:rFonts w:cs="David" w:hint="cs"/>
          <w:sz w:val="24"/>
          <w:szCs w:val="24"/>
          <w:rtl/>
        </w:rPr>
        <w:t xml:space="preserve">משמעותית </w:t>
      </w:r>
      <w:r w:rsidRPr="00A46E36">
        <w:rPr>
          <w:rFonts w:cs="David" w:hint="cs"/>
          <w:sz w:val="24"/>
          <w:szCs w:val="24"/>
          <w:rtl/>
        </w:rPr>
        <w:t xml:space="preserve">של שני ההורים בחיי הילד ובצמצום המאבקים המשפטיים. </w:t>
      </w:r>
      <w:r>
        <w:rPr>
          <w:rFonts w:cs="David" w:hint="cs"/>
          <w:sz w:val="24"/>
          <w:szCs w:val="24"/>
          <w:rtl/>
        </w:rPr>
        <w:t>לשם בחינת הדרך הנכונה ביותר להגשמת טובתו של הילד כאמור, מוצע לדון בסוגיות המפורטות להלן:</w:t>
      </w:r>
    </w:p>
    <w:p w:rsidR="00896EDF" w:rsidRPr="000D32D6" w:rsidRDefault="00896EDF" w:rsidP="00896EDF">
      <w:pPr>
        <w:pStyle w:val="a3"/>
        <w:numPr>
          <w:ilvl w:val="0"/>
          <w:numId w:val="2"/>
        </w:numPr>
        <w:spacing w:before="120" w:after="0" w:line="360" w:lineRule="auto"/>
        <w:jc w:val="both"/>
        <w:rPr>
          <w:rFonts w:cs="David"/>
          <w:sz w:val="24"/>
          <w:szCs w:val="24"/>
        </w:rPr>
      </w:pPr>
      <w:r w:rsidRPr="000D32D6">
        <w:rPr>
          <w:rFonts w:cs="David" w:hint="cs"/>
          <w:b/>
          <w:bCs/>
          <w:sz w:val="24"/>
          <w:szCs w:val="24"/>
          <w:rtl/>
        </w:rPr>
        <w:t xml:space="preserve">מוצע </w:t>
      </w:r>
      <w:r>
        <w:rPr>
          <w:rFonts w:cs="David" w:hint="cs"/>
          <w:b/>
          <w:bCs/>
          <w:sz w:val="24"/>
          <w:szCs w:val="24"/>
          <w:rtl/>
        </w:rPr>
        <w:t xml:space="preserve">לבקש נתונים </w:t>
      </w:r>
      <w:r w:rsidRPr="000D32D6">
        <w:rPr>
          <w:rFonts w:cs="David" w:hint="cs"/>
          <w:sz w:val="24"/>
          <w:szCs w:val="24"/>
          <w:rtl/>
        </w:rPr>
        <w:t xml:space="preserve">- כמה </w:t>
      </w:r>
      <w:r>
        <w:rPr>
          <w:rFonts w:cs="David" w:hint="cs"/>
          <w:sz w:val="24"/>
          <w:szCs w:val="24"/>
          <w:rtl/>
        </w:rPr>
        <w:t xml:space="preserve">תיקים בנושא משמרות והחזקת ילדים </w:t>
      </w:r>
      <w:r w:rsidRPr="000D32D6">
        <w:rPr>
          <w:rFonts w:cs="David" w:hint="cs"/>
          <w:sz w:val="24"/>
          <w:szCs w:val="24"/>
          <w:rtl/>
        </w:rPr>
        <w:t xml:space="preserve">יש בממוצע בשנה בישראל? באיזה אחוז מהמקרים ילדים עד גיל 6 נמצאים במשמורת האם? באיזה אחוז מהמקרים בית המשפט </w:t>
      </w:r>
      <w:r>
        <w:rPr>
          <w:rFonts w:cs="David" w:hint="cs"/>
          <w:sz w:val="24"/>
          <w:szCs w:val="24"/>
          <w:rtl/>
        </w:rPr>
        <w:t xml:space="preserve">או בית הדין הדתי </w:t>
      </w:r>
      <w:r w:rsidRPr="000D32D6">
        <w:rPr>
          <w:rFonts w:cs="David" w:hint="cs"/>
          <w:sz w:val="24"/>
          <w:szCs w:val="24"/>
          <w:rtl/>
        </w:rPr>
        <w:t>הוא שמכריע בשאלת המשמורת (</w:t>
      </w:r>
      <w:r>
        <w:rPr>
          <w:rFonts w:cs="David" w:hint="cs"/>
          <w:sz w:val="24"/>
          <w:szCs w:val="24"/>
          <w:rtl/>
        </w:rPr>
        <w:t>והצדדים אינם מגיעים להסכמה</w:t>
      </w:r>
      <w:r w:rsidRPr="000D32D6">
        <w:rPr>
          <w:rFonts w:cs="David" w:hint="cs"/>
          <w:sz w:val="24"/>
          <w:szCs w:val="24"/>
          <w:rtl/>
        </w:rPr>
        <w:t xml:space="preserve">)? </w:t>
      </w:r>
    </w:p>
    <w:p w:rsidR="00896EDF" w:rsidRPr="007F090A" w:rsidRDefault="00896EDF" w:rsidP="00896EDF">
      <w:pPr>
        <w:pStyle w:val="a3"/>
        <w:numPr>
          <w:ilvl w:val="0"/>
          <w:numId w:val="2"/>
        </w:numPr>
        <w:spacing w:before="120" w:after="0" w:line="360" w:lineRule="auto"/>
        <w:jc w:val="both"/>
        <w:rPr>
          <w:rFonts w:cs="David"/>
          <w:sz w:val="24"/>
          <w:szCs w:val="24"/>
        </w:rPr>
      </w:pPr>
      <w:r w:rsidRPr="00A83358">
        <w:rPr>
          <w:rFonts w:cs="David" w:hint="cs"/>
          <w:sz w:val="24"/>
          <w:szCs w:val="24"/>
          <w:rtl/>
        </w:rPr>
        <w:t xml:space="preserve">מוצע לדון </w:t>
      </w:r>
      <w:r>
        <w:rPr>
          <w:rFonts w:cs="David" w:hint="cs"/>
          <w:sz w:val="24"/>
          <w:szCs w:val="24"/>
          <w:rtl/>
        </w:rPr>
        <w:t>בשינוי</w:t>
      </w:r>
      <w:r w:rsidRPr="00A83358">
        <w:rPr>
          <w:rFonts w:cs="David" w:hint="cs"/>
          <w:sz w:val="24"/>
          <w:szCs w:val="24"/>
          <w:rtl/>
        </w:rPr>
        <w:t xml:space="preserve"> התפיסה </w:t>
      </w:r>
      <w:r>
        <w:rPr>
          <w:rFonts w:cs="David" w:hint="cs"/>
          <w:sz w:val="24"/>
          <w:szCs w:val="24"/>
          <w:rtl/>
        </w:rPr>
        <w:t xml:space="preserve">והמונחים של </w:t>
      </w:r>
      <w:r w:rsidRPr="00A83358">
        <w:rPr>
          <w:rFonts w:cs="David" w:hint="cs"/>
          <w:sz w:val="24"/>
          <w:szCs w:val="24"/>
          <w:rtl/>
        </w:rPr>
        <w:t xml:space="preserve">משמורת, החזקה והסדרי ראיה </w:t>
      </w:r>
      <w:r w:rsidRPr="00A83358">
        <w:rPr>
          <w:rFonts w:cs="David" w:hint="cs"/>
          <w:b/>
          <w:bCs/>
          <w:sz w:val="24"/>
          <w:szCs w:val="24"/>
          <w:rtl/>
        </w:rPr>
        <w:t>לאחריות הורית משותפת וזמני שהות</w:t>
      </w:r>
      <w:r w:rsidRPr="00A83358">
        <w:rPr>
          <w:rFonts w:cs="David" w:hint="cs"/>
          <w:sz w:val="24"/>
          <w:szCs w:val="24"/>
          <w:rtl/>
        </w:rPr>
        <w:t xml:space="preserve"> כדי </w:t>
      </w:r>
      <w:r>
        <w:rPr>
          <w:rFonts w:cs="David" w:hint="cs"/>
          <w:sz w:val="24"/>
          <w:szCs w:val="24"/>
          <w:rtl/>
        </w:rPr>
        <w:t>לבטל</w:t>
      </w:r>
      <w:r w:rsidRPr="00A83358">
        <w:rPr>
          <w:rFonts w:cs="David" w:hint="cs"/>
          <w:sz w:val="24"/>
          <w:szCs w:val="24"/>
          <w:rtl/>
        </w:rPr>
        <w:t xml:space="preserve"> </w:t>
      </w:r>
      <w:r>
        <w:rPr>
          <w:rFonts w:cs="David" w:hint="cs"/>
          <w:sz w:val="24"/>
          <w:szCs w:val="24"/>
          <w:rtl/>
        </w:rPr>
        <w:t xml:space="preserve">את ההתייחסות לילד במונחי החזקה, לשדר את האחריות ההורית המשותפת תוך ביטול התייחסות להורה עיקרי ולבטל את ההבחנה בין ההורים. שינוי זה נועד </w:t>
      </w:r>
      <w:r w:rsidRPr="007F090A">
        <w:rPr>
          <w:rFonts w:cs="David" w:hint="cs"/>
          <w:sz w:val="24"/>
          <w:szCs w:val="24"/>
          <w:rtl/>
        </w:rPr>
        <w:t>גם לצמצם את המאבקים המשפטיים על תואר ההורה המשמורן ובעיקר במטרה לשקף באופן נכון יותר את זכותו של הילד ששני הוריו יהיו מעורבים בגידולו ויממשו את אחריותם ההורית (כפי שהוצע ע"י ועדת שניט ובהצעת החוק הממשלתית)</w:t>
      </w:r>
      <w:r w:rsidRPr="007F090A">
        <w:rPr>
          <w:rStyle w:val="a6"/>
          <w:rFonts w:cs="David"/>
          <w:sz w:val="24"/>
          <w:szCs w:val="24"/>
          <w:rtl/>
        </w:rPr>
        <w:footnoteReference w:id="11"/>
      </w:r>
      <w:r w:rsidRPr="007F090A">
        <w:rPr>
          <w:rFonts w:cs="David" w:hint="cs"/>
          <w:sz w:val="24"/>
          <w:szCs w:val="24"/>
          <w:rtl/>
        </w:rPr>
        <w:t>. גם לעניין חזקת הגיל הרך (בגיל שיקבע), מוצע להתייחס לזמן מרבי אצל האם ולא במונחי משמורת.</w:t>
      </w:r>
    </w:p>
    <w:p w:rsidR="00896EDF" w:rsidRPr="007F090A" w:rsidRDefault="00896EDF" w:rsidP="00896EDF">
      <w:pPr>
        <w:pStyle w:val="a3"/>
        <w:numPr>
          <w:ilvl w:val="0"/>
          <w:numId w:val="2"/>
        </w:numPr>
        <w:spacing w:before="120" w:after="0" w:line="360" w:lineRule="auto"/>
        <w:jc w:val="both"/>
        <w:rPr>
          <w:rFonts w:cs="David"/>
          <w:b/>
          <w:bCs/>
          <w:sz w:val="24"/>
          <w:szCs w:val="24"/>
        </w:rPr>
      </w:pPr>
      <w:r w:rsidRPr="007F090A">
        <w:rPr>
          <w:rFonts w:cs="David" w:hint="cs"/>
          <w:b/>
          <w:bCs/>
          <w:sz w:val="24"/>
          <w:szCs w:val="24"/>
          <w:rtl/>
        </w:rPr>
        <w:t>מוצע לדון ב</w:t>
      </w:r>
      <w:r w:rsidRPr="007F090A">
        <w:rPr>
          <w:rFonts w:cs="David" w:hint="eastAsia"/>
          <w:b/>
          <w:bCs/>
          <w:sz w:val="24"/>
          <w:szCs w:val="24"/>
          <w:rtl/>
        </w:rPr>
        <w:t>משמעות</w:t>
      </w:r>
      <w:r w:rsidRPr="007F090A">
        <w:rPr>
          <w:rFonts w:cs="David"/>
          <w:b/>
          <w:bCs/>
          <w:sz w:val="24"/>
          <w:szCs w:val="24"/>
          <w:rtl/>
        </w:rPr>
        <w:t xml:space="preserve"> החזקה</w:t>
      </w:r>
      <w:r w:rsidRPr="007F090A">
        <w:rPr>
          <w:rFonts w:cs="David" w:hint="cs"/>
          <w:b/>
          <w:bCs/>
          <w:sz w:val="24"/>
          <w:szCs w:val="24"/>
          <w:rtl/>
        </w:rPr>
        <w:t xml:space="preserve"> הקיימת והמוצעת, ונוסחה</w:t>
      </w:r>
      <w:r w:rsidRPr="007F090A">
        <w:rPr>
          <w:rFonts w:cs="David"/>
          <w:b/>
          <w:bCs/>
          <w:sz w:val="24"/>
          <w:szCs w:val="24"/>
          <w:rtl/>
        </w:rPr>
        <w:t xml:space="preserve"> </w:t>
      </w:r>
      <w:r w:rsidRPr="007F090A">
        <w:rPr>
          <w:rFonts w:cs="David"/>
          <w:sz w:val="24"/>
          <w:szCs w:val="24"/>
          <w:rtl/>
        </w:rPr>
        <w:t>–</w:t>
      </w:r>
      <w:r w:rsidRPr="007F090A">
        <w:rPr>
          <w:rFonts w:cs="David" w:hint="cs"/>
          <w:sz w:val="24"/>
          <w:szCs w:val="24"/>
          <w:rtl/>
        </w:rPr>
        <w:t xml:space="preserve"> יובהר כי משמעות צמצום החזקה אינו קביעת משמורת משותפת בהכרח מעל גיל זה אלא בחינת כל מקרה לגופו. ובכל מקרה, מתעוררת השאלה האם חזקת הגיל הרך שוללת בהכרח קשר משמעותי עם האב. המסקנה המרכזית של ועדת שניט בדבר ביטול חזקת הגיל הרך מתבססת על ממצאי המחקרים הקליניים כי טובת הילד היא ששני ההורים ימלאו תפקיד משמעותי בחייו. חזקת הגיל הרך ומסקנות המחקרים הפסיכולוגיים בדבר חשיבות הקשר עם שני ההורים לא חייבים לעמוד בסתירה.</w:t>
      </w:r>
      <w:r w:rsidRPr="007F090A">
        <w:rPr>
          <w:rFonts w:cs="David" w:hint="cs"/>
          <w:sz w:val="24"/>
          <w:szCs w:val="24"/>
          <w:u w:val="single"/>
          <w:rtl/>
        </w:rPr>
        <w:t xml:space="preserve"> אמנם בית המשפט העליון אימץ פרשנות מצמצת בדבר סתירת החזקה ומשמעותה, אולם לשון החוק מאפשרת פרשנות רחבה יותר </w:t>
      </w:r>
      <w:r w:rsidRPr="007F090A">
        <w:rPr>
          <w:rFonts w:cs="David" w:hint="eastAsia"/>
          <w:sz w:val="24"/>
          <w:szCs w:val="24"/>
          <w:u w:val="single"/>
          <w:rtl/>
        </w:rPr>
        <w:t>–</w:t>
      </w:r>
      <w:r w:rsidRPr="007F090A">
        <w:rPr>
          <w:rFonts w:cs="David" w:hint="cs"/>
          <w:sz w:val="24"/>
          <w:szCs w:val="24"/>
          <w:u w:val="single"/>
          <w:rtl/>
        </w:rPr>
        <w:t xml:space="preserve"> </w:t>
      </w:r>
      <w:r w:rsidRPr="007F090A">
        <w:rPr>
          <w:rFonts w:cs="David"/>
          <w:sz w:val="24"/>
          <w:szCs w:val="24"/>
          <w:u w:val="single"/>
          <w:rtl/>
        </w:rPr>
        <w:t xml:space="preserve">משמעות חזקת הגיל הרך לא אמורה להיות </w:t>
      </w:r>
      <w:r w:rsidRPr="007F090A">
        <w:rPr>
          <w:rFonts w:cs="David" w:hint="eastAsia"/>
          <w:sz w:val="24"/>
          <w:szCs w:val="24"/>
          <w:u w:val="single"/>
          <w:rtl/>
        </w:rPr>
        <w:t>שלילת</w:t>
      </w:r>
      <w:r w:rsidRPr="007F090A">
        <w:rPr>
          <w:rFonts w:cs="David"/>
          <w:sz w:val="24"/>
          <w:szCs w:val="24"/>
          <w:u w:val="single"/>
          <w:rtl/>
        </w:rPr>
        <w:t xml:space="preserve"> קשר משמעותי עם האב וגם לא </w:t>
      </w:r>
      <w:r w:rsidRPr="007F090A">
        <w:rPr>
          <w:rFonts w:cs="David" w:hint="eastAsia"/>
          <w:sz w:val="24"/>
          <w:szCs w:val="24"/>
          <w:u w:val="single"/>
          <w:rtl/>
        </w:rPr>
        <w:t>מימוש</w:t>
      </w:r>
      <w:r w:rsidRPr="007F090A">
        <w:rPr>
          <w:rFonts w:cs="David"/>
          <w:sz w:val="24"/>
          <w:szCs w:val="24"/>
          <w:u w:val="single"/>
          <w:rtl/>
        </w:rPr>
        <w:t xml:space="preserve"> </w:t>
      </w:r>
      <w:r w:rsidRPr="007F090A">
        <w:rPr>
          <w:rFonts w:cs="David" w:hint="eastAsia"/>
          <w:sz w:val="24"/>
          <w:szCs w:val="24"/>
          <w:u w:val="single"/>
          <w:rtl/>
        </w:rPr>
        <w:t>האחריות</w:t>
      </w:r>
      <w:r w:rsidRPr="007F090A">
        <w:rPr>
          <w:rFonts w:cs="David"/>
          <w:sz w:val="24"/>
          <w:szCs w:val="24"/>
          <w:u w:val="single"/>
          <w:rtl/>
        </w:rPr>
        <w:t xml:space="preserve"> ההורית </w:t>
      </w:r>
      <w:r w:rsidRPr="007F090A">
        <w:rPr>
          <w:rFonts w:cs="David" w:hint="eastAsia"/>
          <w:sz w:val="24"/>
          <w:szCs w:val="24"/>
          <w:u w:val="single"/>
          <w:rtl/>
        </w:rPr>
        <w:t>על</w:t>
      </w:r>
      <w:r w:rsidRPr="007F090A">
        <w:rPr>
          <w:rFonts w:cs="David"/>
          <w:sz w:val="24"/>
          <w:szCs w:val="24"/>
          <w:u w:val="single"/>
          <w:rtl/>
        </w:rPr>
        <w:t xml:space="preserve"> </w:t>
      </w:r>
      <w:r w:rsidRPr="007F090A">
        <w:rPr>
          <w:rFonts w:cs="David" w:hint="eastAsia"/>
          <w:sz w:val="24"/>
          <w:szCs w:val="24"/>
          <w:u w:val="single"/>
          <w:rtl/>
        </w:rPr>
        <w:t>ידי</w:t>
      </w:r>
      <w:r w:rsidRPr="007F090A">
        <w:rPr>
          <w:rFonts w:cs="David"/>
          <w:sz w:val="24"/>
          <w:szCs w:val="24"/>
          <w:u w:val="single"/>
          <w:rtl/>
        </w:rPr>
        <w:t xml:space="preserve"> </w:t>
      </w:r>
      <w:r w:rsidRPr="007F090A">
        <w:rPr>
          <w:rFonts w:cs="David" w:hint="eastAsia"/>
          <w:sz w:val="24"/>
          <w:szCs w:val="24"/>
          <w:u w:val="single"/>
          <w:rtl/>
        </w:rPr>
        <w:t>הורה</w:t>
      </w:r>
      <w:r w:rsidRPr="007F090A">
        <w:rPr>
          <w:rFonts w:cs="David"/>
          <w:sz w:val="24"/>
          <w:szCs w:val="24"/>
          <w:u w:val="single"/>
          <w:rtl/>
        </w:rPr>
        <w:t xml:space="preserve"> </w:t>
      </w:r>
      <w:r w:rsidRPr="007F090A">
        <w:rPr>
          <w:rFonts w:cs="David" w:hint="eastAsia"/>
          <w:sz w:val="24"/>
          <w:szCs w:val="24"/>
          <w:u w:val="single"/>
          <w:rtl/>
        </w:rPr>
        <w:t>אחד</w:t>
      </w:r>
      <w:r w:rsidRPr="007F090A">
        <w:rPr>
          <w:rFonts w:cs="David" w:hint="cs"/>
          <w:sz w:val="24"/>
          <w:szCs w:val="24"/>
          <w:rtl/>
        </w:rPr>
        <w:t>. (וכפי שצוין לעיל, היא גם אינה שוללת את מעמדו כשותף לקבלת ההחלטות</w:t>
      </w:r>
      <w:r w:rsidRPr="007F090A">
        <w:rPr>
          <w:rFonts w:cs="David" w:hint="cs"/>
          <w:b/>
          <w:bCs/>
          <w:sz w:val="24"/>
          <w:szCs w:val="24"/>
          <w:rtl/>
        </w:rPr>
        <w:t>). מוצע לדון בנוסח החזקה (לעניין הגיל שיקבע) ובתיקוני חקיקה שיעבירו מסר ברור יותר שאין בה כדי לשלול קשר משמעותי וזמני שהות משמעותיים עם כל אחד מהורים.</w:t>
      </w:r>
    </w:p>
    <w:p w:rsidR="00896EDF" w:rsidRDefault="00896EDF" w:rsidP="00896EDF">
      <w:pPr>
        <w:pStyle w:val="a3"/>
        <w:spacing w:before="240" w:after="240" w:line="360" w:lineRule="auto"/>
        <w:ind w:left="360"/>
        <w:jc w:val="both"/>
        <w:rPr>
          <w:rFonts w:cs="David"/>
          <w:sz w:val="24"/>
          <w:szCs w:val="24"/>
        </w:rPr>
      </w:pPr>
    </w:p>
    <w:p w:rsidR="00896EDF" w:rsidRPr="007F090A" w:rsidRDefault="00896EDF" w:rsidP="00896EDF">
      <w:pPr>
        <w:pStyle w:val="a3"/>
        <w:numPr>
          <w:ilvl w:val="0"/>
          <w:numId w:val="2"/>
        </w:numPr>
        <w:spacing w:before="240" w:after="240" w:line="360" w:lineRule="auto"/>
        <w:jc w:val="both"/>
        <w:rPr>
          <w:rFonts w:cs="David"/>
          <w:sz w:val="24"/>
          <w:szCs w:val="24"/>
        </w:rPr>
      </w:pPr>
      <w:r w:rsidRPr="00D42877">
        <w:rPr>
          <w:rFonts w:cs="David" w:hint="cs"/>
          <w:sz w:val="24"/>
          <w:szCs w:val="24"/>
          <w:rtl/>
        </w:rPr>
        <w:t xml:space="preserve">מוצע לדון </w:t>
      </w:r>
      <w:r w:rsidRPr="00D42877">
        <w:rPr>
          <w:rFonts w:cs="David" w:hint="cs"/>
          <w:b/>
          <w:bCs/>
          <w:sz w:val="24"/>
          <w:szCs w:val="24"/>
          <w:rtl/>
        </w:rPr>
        <w:t>בגיל החזקה</w:t>
      </w:r>
      <w:r w:rsidRPr="00D42877">
        <w:rPr>
          <w:rFonts w:cs="David" w:hint="cs"/>
          <w:sz w:val="24"/>
          <w:szCs w:val="24"/>
          <w:rtl/>
        </w:rPr>
        <w:t xml:space="preserve">- </w:t>
      </w:r>
      <w:r>
        <w:rPr>
          <w:rFonts w:cs="David" w:hint="cs"/>
          <w:sz w:val="24"/>
          <w:szCs w:val="24"/>
          <w:rtl/>
        </w:rPr>
        <w:t>מהם השיקולים שמצדיקים</w:t>
      </w:r>
      <w:r w:rsidRPr="00D42877">
        <w:rPr>
          <w:rFonts w:cs="David" w:hint="cs"/>
          <w:sz w:val="24"/>
          <w:szCs w:val="24"/>
          <w:rtl/>
        </w:rPr>
        <w:t xml:space="preserve"> </w:t>
      </w:r>
      <w:r>
        <w:rPr>
          <w:rFonts w:cs="David" w:hint="cs"/>
          <w:sz w:val="24"/>
          <w:szCs w:val="24"/>
          <w:rtl/>
        </w:rPr>
        <w:t>את ה</w:t>
      </w:r>
      <w:r w:rsidRPr="00D42877">
        <w:rPr>
          <w:rFonts w:cs="David" w:hint="cs"/>
          <w:sz w:val="24"/>
          <w:szCs w:val="24"/>
          <w:rtl/>
        </w:rPr>
        <w:t>קביע</w:t>
      </w:r>
      <w:r>
        <w:rPr>
          <w:rFonts w:cs="David" w:hint="cs"/>
          <w:sz w:val="24"/>
          <w:szCs w:val="24"/>
          <w:rtl/>
        </w:rPr>
        <w:t>ה</w:t>
      </w:r>
      <w:r w:rsidRPr="00D42877">
        <w:rPr>
          <w:rFonts w:cs="David" w:hint="cs"/>
          <w:sz w:val="24"/>
          <w:szCs w:val="24"/>
          <w:rtl/>
        </w:rPr>
        <w:t xml:space="preserve"> </w:t>
      </w:r>
      <w:r>
        <w:rPr>
          <w:rFonts w:cs="David" w:hint="cs"/>
          <w:sz w:val="24"/>
          <w:szCs w:val="24"/>
          <w:rtl/>
        </w:rPr>
        <w:t xml:space="preserve">של </w:t>
      </w:r>
      <w:r w:rsidRPr="00D42877">
        <w:rPr>
          <w:rFonts w:cs="David" w:hint="cs"/>
          <w:sz w:val="24"/>
          <w:szCs w:val="24"/>
          <w:rtl/>
        </w:rPr>
        <w:t>גיל שנתיים</w:t>
      </w:r>
      <w:r>
        <w:rPr>
          <w:rFonts w:cs="David" w:hint="cs"/>
          <w:sz w:val="24"/>
          <w:szCs w:val="24"/>
          <w:rtl/>
        </w:rPr>
        <w:t xml:space="preserve"> דווקא</w:t>
      </w:r>
      <w:r w:rsidRPr="00D42877">
        <w:rPr>
          <w:rFonts w:cs="David" w:hint="cs"/>
          <w:sz w:val="24"/>
          <w:szCs w:val="24"/>
          <w:rtl/>
        </w:rPr>
        <w:t xml:space="preserve">? </w:t>
      </w:r>
      <w:r>
        <w:rPr>
          <w:rFonts w:cs="David" w:hint="cs"/>
          <w:sz w:val="24"/>
          <w:szCs w:val="24"/>
          <w:rtl/>
        </w:rPr>
        <w:t xml:space="preserve">ככל שהגיל המוצע מבוסס על שלבי התפתחות של הילד, </w:t>
      </w:r>
      <w:r w:rsidRPr="00D42877">
        <w:rPr>
          <w:rFonts w:cs="David" w:hint="cs"/>
          <w:sz w:val="24"/>
          <w:szCs w:val="24"/>
          <w:rtl/>
        </w:rPr>
        <w:t xml:space="preserve">מוצע לשאול את גורמי המקצוע על מחקרים </w:t>
      </w:r>
      <w:r w:rsidRPr="007F090A">
        <w:rPr>
          <w:rFonts w:cs="David" w:hint="cs"/>
          <w:sz w:val="24"/>
          <w:szCs w:val="24"/>
          <w:rtl/>
        </w:rPr>
        <w:t xml:space="preserve">עדכניים בנושא ולקבל את התייחסותם לסוגיה זו. </w:t>
      </w:r>
    </w:p>
    <w:p w:rsidR="00896EDF" w:rsidRPr="00D42877" w:rsidRDefault="00896EDF" w:rsidP="00896EDF">
      <w:pPr>
        <w:pStyle w:val="a3"/>
        <w:spacing w:before="120" w:after="0" w:line="360" w:lineRule="auto"/>
        <w:ind w:left="360"/>
        <w:jc w:val="both"/>
        <w:rPr>
          <w:rFonts w:cs="David"/>
          <w:sz w:val="24"/>
          <w:szCs w:val="24"/>
          <w:rtl/>
        </w:rPr>
      </w:pPr>
    </w:p>
    <w:p w:rsidR="00896EDF" w:rsidRPr="007A3705" w:rsidRDefault="00896EDF" w:rsidP="00896EDF">
      <w:pPr>
        <w:pStyle w:val="a3"/>
        <w:numPr>
          <w:ilvl w:val="0"/>
          <w:numId w:val="2"/>
        </w:numPr>
        <w:spacing w:before="120" w:after="0" w:line="360" w:lineRule="auto"/>
        <w:jc w:val="both"/>
        <w:rPr>
          <w:rFonts w:cs="David"/>
          <w:sz w:val="24"/>
          <w:szCs w:val="24"/>
        </w:rPr>
      </w:pPr>
      <w:r w:rsidRPr="00C738ED">
        <w:rPr>
          <w:rFonts w:cs="David" w:hint="cs"/>
          <w:b/>
          <w:bCs/>
          <w:sz w:val="24"/>
          <w:szCs w:val="24"/>
          <w:rtl/>
        </w:rPr>
        <w:t>מוצע לדון בקשיים העומדים בפני בית המשפט בבחינת טובת הילד</w:t>
      </w:r>
      <w:r w:rsidRPr="00C738ED">
        <w:rPr>
          <w:rFonts w:cs="David" w:hint="cs"/>
          <w:sz w:val="24"/>
          <w:szCs w:val="24"/>
          <w:rtl/>
        </w:rPr>
        <w:t xml:space="preserve"> - בחינת</w:t>
      </w:r>
      <w:r w:rsidRPr="007A3705">
        <w:rPr>
          <w:rFonts w:cs="David" w:hint="cs"/>
          <w:sz w:val="24"/>
          <w:szCs w:val="24"/>
          <w:rtl/>
        </w:rPr>
        <w:t xml:space="preserve"> טובתו של הילד המסוים, בכל מקרה לגופו, כפי שעולה גם ממסקנות ועדת שניט, אמורה להגשים במידה המרבית את עקרון טובת הילד. יחד עם זאת, ישנם מספר קשיים שמוצע להתייחס אליהם לעניין שינוי גיל החזקה: </w:t>
      </w:r>
    </w:p>
    <w:p w:rsidR="00896EDF" w:rsidRDefault="00896EDF" w:rsidP="00896EDF">
      <w:pPr>
        <w:pStyle w:val="a3"/>
        <w:numPr>
          <w:ilvl w:val="0"/>
          <w:numId w:val="1"/>
        </w:numPr>
        <w:spacing w:before="120" w:after="0" w:line="360" w:lineRule="auto"/>
        <w:jc w:val="both"/>
        <w:rPr>
          <w:rFonts w:cs="David"/>
          <w:sz w:val="24"/>
          <w:szCs w:val="24"/>
        </w:rPr>
      </w:pPr>
      <w:r w:rsidRPr="000D32D6">
        <w:rPr>
          <w:rFonts w:cs="David" w:hint="cs"/>
          <w:b/>
          <w:bCs/>
          <w:sz w:val="24"/>
          <w:szCs w:val="24"/>
          <w:rtl/>
        </w:rPr>
        <w:t>הכלים העומדים בידי בית המשפט</w:t>
      </w:r>
      <w:r w:rsidRPr="000D32D6">
        <w:rPr>
          <w:rFonts w:cs="David" w:hint="cs"/>
          <w:sz w:val="24"/>
          <w:szCs w:val="24"/>
          <w:rtl/>
        </w:rPr>
        <w:t xml:space="preserve"> </w:t>
      </w:r>
      <w:r w:rsidRPr="001900A5">
        <w:rPr>
          <w:rFonts w:cs="David" w:hint="cs"/>
          <w:b/>
          <w:bCs/>
          <w:sz w:val="24"/>
          <w:szCs w:val="24"/>
          <w:rtl/>
        </w:rPr>
        <w:t>לצורך קביעת טובת הילד</w:t>
      </w:r>
      <w:r>
        <w:rPr>
          <w:rFonts w:cs="David" w:hint="cs"/>
          <w:sz w:val="24"/>
          <w:szCs w:val="24"/>
          <w:rtl/>
        </w:rPr>
        <w:t>-</w:t>
      </w:r>
      <w:r w:rsidRPr="000D32D6">
        <w:rPr>
          <w:rFonts w:cs="David" w:hint="cs"/>
          <w:sz w:val="24"/>
          <w:szCs w:val="24"/>
          <w:rtl/>
        </w:rPr>
        <w:t xml:space="preserve"> </w:t>
      </w:r>
      <w:r>
        <w:rPr>
          <w:rFonts w:cs="David" w:hint="cs"/>
          <w:sz w:val="24"/>
          <w:szCs w:val="24"/>
          <w:rtl/>
        </w:rPr>
        <w:t xml:space="preserve">במצבי קונפליקט ומשבר של משפחה, בשיא המחלוקת והסכסוך קשה לאנשי המקצוע ולבית המשפט לעמוד על טיב היחסים, טובת הילד והשפעות לטווח ארוך. לפיכך, מסתמכים בתי המשפט פעמים רבות על מומחים ועל הערכות פסיכולוגיות של מסוגלות הורית. אולם, </w:t>
      </w:r>
      <w:r w:rsidRPr="000D32D6">
        <w:rPr>
          <w:rFonts w:cs="David" w:hint="cs"/>
          <w:sz w:val="24"/>
          <w:szCs w:val="24"/>
          <w:rtl/>
        </w:rPr>
        <w:t xml:space="preserve">הדיון בוועדת שניט עורר שאלות </w:t>
      </w:r>
      <w:r>
        <w:rPr>
          <w:rFonts w:cs="David" w:hint="cs"/>
          <w:sz w:val="24"/>
          <w:szCs w:val="24"/>
          <w:rtl/>
        </w:rPr>
        <w:t>בדבר טיבם של הכלים העומדים לרשות בית המשפט</w:t>
      </w:r>
      <w:r w:rsidRPr="000D32D6">
        <w:rPr>
          <w:rFonts w:cs="David" w:hint="cs"/>
          <w:sz w:val="24"/>
          <w:szCs w:val="24"/>
          <w:rtl/>
        </w:rPr>
        <w:t xml:space="preserve"> לבחינת </w:t>
      </w:r>
      <w:r>
        <w:rPr>
          <w:rFonts w:cs="David" w:hint="cs"/>
          <w:sz w:val="24"/>
          <w:szCs w:val="24"/>
          <w:rtl/>
        </w:rPr>
        <w:t xml:space="preserve">אותה </w:t>
      </w:r>
      <w:r w:rsidRPr="000D32D6">
        <w:rPr>
          <w:rFonts w:cs="David" w:hint="cs"/>
          <w:sz w:val="24"/>
          <w:szCs w:val="24"/>
          <w:rtl/>
        </w:rPr>
        <w:t>מסוגלות</w:t>
      </w:r>
      <w:r>
        <w:rPr>
          <w:rFonts w:cs="David" w:hint="cs"/>
          <w:sz w:val="24"/>
          <w:szCs w:val="24"/>
          <w:rtl/>
        </w:rPr>
        <w:t xml:space="preserve"> הורית</w:t>
      </w:r>
      <w:r w:rsidRPr="000D32D6">
        <w:rPr>
          <w:rFonts w:cs="David" w:hint="cs"/>
          <w:sz w:val="24"/>
          <w:szCs w:val="24"/>
          <w:rtl/>
        </w:rPr>
        <w:t xml:space="preserve"> </w:t>
      </w:r>
      <w:r>
        <w:rPr>
          <w:rFonts w:cs="David" w:hint="cs"/>
          <w:sz w:val="24"/>
          <w:szCs w:val="24"/>
          <w:rtl/>
        </w:rPr>
        <w:t>ו</w:t>
      </w:r>
      <w:r w:rsidRPr="000D32D6">
        <w:rPr>
          <w:rFonts w:cs="David" w:hint="cs"/>
          <w:sz w:val="24"/>
          <w:szCs w:val="24"/>
          <w:rtl/>
        </w:rPr>
        <w:t xml:space="preserve">עלו ספקות ביחס למהימנותן המקצועית של חוות דעת </w:t>
      </w:r>
      <w:r>
        <w:rPr>
          <w:rFonts w:cs="David" w:hint="cs"/>
          <w:sz w:val="24"/>
          <w:szCs w:val="24"/>
          <w:rtl/>
        </w:rPr>
        <w:t xml:space="preserve">מומחים </w:t>
      </w:r>
      <w:r w:rsidRPr="000D32D6">
        <w:rPr>
          <w:rFonts w:cs="David" w:hint="cs"/>
          <w:sz w:val="24"/>
          <w:szCs w:val="24"/>
          <w:rtl/>
        </w:rPr>
        <w:t>המסתמכות על מבחנים פסיכולוגיים כפי שהן נערכות היום</w:t>
      </w:r>
      <w:r>
        <w:rPr>
          <w:rFonts w:cs="David" w:hint="cs"/>
          <w:sz w:val="24"/>
          <w:szCs w:val="24"/>
          <w:rtl/>
        </w:rPr>
        <w:t xml:space="preserve"> (חוות דעת שבתי המשפט נוהגים להסתמך עליהן) וגם על הצורך בהן</w:t>
      </w:r>
      <w:r w:rsidRPr="000D32D6">
        <w:rPr>
          <w:rFonts w:cs="David" w:hint="cs"/>
          <w:sz w:val="24"/>
          <w:szCs w:val="24"/>
          <w:rtl/>
        </w:rPr>
        <w:t xml:space="preserve">. </w:t>
      </w:r>
    </w:p>
    <w:p w:rsidR="00896EDF" w:rsidRDefault="00896EDF" w:rsidP="00896EDF">
      <w:pPr>
        <w:pStyle w:val="a3"/>
        <w:spacing w:before="120" w:after="0" w:line="360" w:lineRule="auto"/>
        <w:jc w:val="both"/>
        <w:rPr>
          <w:rFonts w:cs="David"/>
          <w:b/>
          <w:bCs/>
          <w:sz w:val="24"/>
          <w:szCs w:val="24"/>
          <w:rtl/>
        </w:rPr>
      </w:pPr>
      <w:r>
        <w:rPr>
          <w:rFonts w:cs="David" w:hint="cs"/>
          <w:sz w:val="24"/>
          <w:szCs w:val="24"/>
          <w:rtl/>
        </w:rPr>
        <w:t xml:space="preserve">קושי זה  </w:t>
      </w:r>
      <w:r w:rsidRPr="00A76CA1">
        <w:rPr>
          <w:rFonts w:cs="David"/>
          <w:sz w:val="24"/>
          <w:szCs w:val="24"/>
          <w:rtl/>
        </w:rPr>
        <w:t xml:space="preserve">עולה לעניין כל גיל כמובן, אולם, </w:t>
      </w:r>
      <w:r>
        <w:rPr>
          <w:rFonts w:cs="David" w:hint="cs"/>
          <w:sz w:val="24"/>
          <w:szCs w:val="24"/>
          <w:rtl/>
        </w:rPr>
        <w:t xml:space="preserve">הוא </w:t>
      </w:r>
      <w:r w:rsidRPr="00A76CA1">
        <w:rPr>
          <w:rFonts w:cs="David"/>
          <w:sz w:val="24"/>
          <w:szCs w:val="24"/>
          <w:rtl/>
        </w:rPr>
        <w:t xml:space="preserve"> מתחדד ככל שהקטין צעיר ורך יותר בשנים, אז קשה יותר </w:t>
      </w:r>
      <w:r>
        <w:rPr>
          <w:rFonts w:cs="David" w:hint="cs"/>
          <w:sz w:val="24"/>
          <w:szCs w:val="24"/>
          <w:rtl/>
        </w:rPr>
        <w:t xml:space="preserve">לבית המשפט ולאנשי המקצוע </w:t>
      </w:r>
      <w:r w:rsidRPr="00A76CA1">
        <w:rPr>
          <w:rFonts w:cs="David"/>
          <w:sz w:val="24"/>
          <w:szCs w:val="24"/>
          <w:rtl/>
        </w:rPr>
        <w:t>ל</w:t>
      </w:r>
      <w:r>
        <w:rPr>
          <w:rFonts w:cs="David" w:hint="cs"/>
          <w:sz w:val="24"/>
          <w:szCs w:val="24"/>
          <w:rtl/>
        </w:rPr>
        <w:t xml:space="preserve">עמוד על טיב היחסים, לקבל תמונה מלאה, </w:t>
      </w:r>
      <w:r w:rsidRPr="00A76CA1">
        <w:rPr>
          <w:rFonts w:cs="David"/>
          <w:sz w:val="24"/>
          <w:szCs w:val="24"/>
          <w:rtl/>
        </w:rPr>
        <w:t>וגם לא ניתן להתרשם מדבריו ומרצונו.</w:t>
      </w:r>
    </w:p>
    <w:p w:rsidR="00896EDF" w:rsidRDefault="00896EDF" w:rsidP="00896EDF">
      <w:pPr>
        <w:pStyle w:val="a3"/>
        <w:spacing w:before="120" w:after="0" w:line="360" w:lineRule="auto"/>
        <w:jc w:val="both"/>
        <w:rPr>
          <w:rFonts w:cs="David"/>
          <w:sz w:val="24"/>
          <w:szCs w:val="24"/>
          <w:rtl/>
        </w:rPr>
      </w:pPr>
      <w:r w:rsidRPr="000D32D6">
        <w:rPr>
          <w:rFonts w:cs="David" w:hint="cs"/>
          <w:sz w:val="24"/>
          <w:szCs w:val="24"/>
          <w:rtl/>
        </w:rPr>
        <w:t xml:space="preserve">מוצע לברר האם </w:t>
      </w:r>
      <w:r>
        <w:rPr>
          <w:rFonts w:cs="David" w:hint="cs"/>
          <w:sz w:val="24"/>
          <w:szCs w:val="24"/>
          <w:rtl/>
        </w:rPr>
        <w:t xml:space="preserve">נשקל לפתח </w:t>
      </w:r>
      <w:r w:rsidRPr="000D32D6">
        <w:rPr>
          <w:rFonts w:cs="David" w:hint="cs"/>
          <w:sz w:val="24"/>
          <w:szCs w:val="24"/>
          <w:rtl/>
        </w:rPr>
        <w:t xml:space="preserve">כלים </w:t>
      </w:r>
      <w:r>
        <w:rPr>
          <w:rFonts w:cs="David" w:hint="cs"/>
          <w:sz w:val="24"/>
          <w:szCs w:val="24"/>
          <w:rtl/>
        </w:rPr>
        <w:t xml:space="preserve">נוספים </w:t>
      </w:r>
      <w:r w:rsidRPr="000D32D6">
        <w:rPr>
          <w:rFonts w:cs="David" w:hint="cs"/>
          <w:sz w:val="24"/>
          <w:szCs w:val="24"/>
          <w:rtl/>
        </w:rPr>
        <w:t xml:space="preserve">שיסייעו בידי בית המשפט </w:t>
      </w:r>
      <w:r>
        <w:rPr>
          <w:rFonts w:cs="David" w:hint="cs"/>
          <w:sz w:val="24"/>
          <w:szCs w:val="24"/>
          <w:rtl/>
        </w:rPr>
        <w:t xml:space="preserve">ובידי המשפחות </w:t>
      </w:r>
      <w:r w:rsidRPr="000D32D6">
        <w:rPr>
          <w:rFonts w:cs="David" w:hint="cs"/>
          <w:sz w:val="24"/>
          <w:szCs w:val="24"/>
          <w:rtl/>
        </w:rPr>
        <w:t>כפי שקיים ב</w:t>
      </w:r>
      <w:r>
        <w:rPr>
          <w:rFonts w:cs="David" w:hint="cs"/>
          <w:sz w:val="24"/>
          <w:szCs w:val="24"/>
          <w:rtl/>
        </w:rPr>
        <w:t xml:space="preserve">מדינות שונות </w:t>
      </w:r>
      <w:r w:rsidRPr="000D32D6">
        <w:rPr>
          <w:rFonts w:cs="David" w:hint="cs"/>
          <w:sz w:val="24"/>
          <w:szCs w:val="24"/>
          <w:rtl/>
        </w:rPr>
        <w:t xml:space="preserve">(כך גם הוצע על ידי הפסיכולוגים שהיו חברים בוועדת שניט לעניין קונפליקטים ברמה </w:t>
      </w:r>
      <w:r>
        <w:rPr>
          <w:rFonts w:cs="David" w:hint="cs"/>
          <w:sz w:val="24"/>
          <w:szCs w:val="24"/>
          <w:rtl/>
        </w:rPr>
        <w:t>גבוהה בהם לא ניתן להגיע להסכמה)</w:t>
      </w:r>
      <w:r w:rsidRPr="000D32D6">
        <w:rPr>
          <w:rFonts w:cs="David" w:hint="cs"/>
          <w:sz w:val="24"/>
          <w:szCs w:val="24"/>
          <w:rtl/>
        </w:rPr>
        <w:t xml:space="preserve"> </w:t>
      </w:r>
      <w:r>
        <w:rPr>
          <w:rFonts w:cs="David" w:hint="cs"/>
          <w:sz w:val="24"/>
          <w:szCs w:val="24"/>
          <w:rtl/>
        </w:rPr>
        <w:t>כדי לסייע בבחינת טובת הילד בגיל צעיר.</w:t>
      </w:r>
    </w:p>
    <w:p w:rsidR="00896EDF" w:rsidRPr="007F090A" w:rsidRDefault="00896EDF" w:rsidP="00896EDF">
      <w:pPr>
        <w:pStyle w:val="a3"/>
        <w:numPr>
          <w:ilvl w:val="0"/>
          <w:numId w:val="1"/>
        </w:numPr>
        <w:spacing w:before="120" w:after="0" w:line="360" w:lineRule="auto"/>
        <w:jc w:val="both"/>
        <w:rPr>
          <w:rFonts w:cs="David"/>
          <w:sz w:val="24"/>
          <w:szCs w:val="24"/>
        </w:rPr>
      </w:pPr>
      <w:r w:rsidRPr="00E62F79">
        <w:rPr>
          <w:rFonts w:cs="David" w:hint="cs"/>
          <w:b/>
          <w:bCs/>
          <w:sz w:val="24"/>
          <w:szCs w:val="24"/>
          <w:rtl/>
        </w:rPr>
        <w:t>בחינת המחקרים הפסיכולוגיים למול המאפיינים המיוחדים של המציאות הישראלית</w:t>
      </w:r>
      <w:r w:rsidRPr="00E62F79">
        <w:rPr>
          <w:rFonts w:cs="David" w:hint="cs"/>
          <w:sz w:val="24"/>
          <w:szCs w:val="24"/>
          <w:rtl/>
        </w:rPr>
        <w:t xml:space="preserve"> </w:t>
      </w:r>
      <w:r w:rsidRPr="00E62F79">
        <w:rPr>
          <w:rFonts w:cs="David" w:hint="cs"/>
          <w:b/>
          <w:bCs/>
          <w:sz w:val="24"/>
          <w:szCs w:val="24"/>
          <w:rtl/>
        </w:rPr>
        <w:t>והמורכבות הקיימת בדיני המשפחה בישראל</w:t>
      </w:r>
      <w:r w:rsidRPr="00E62F79">
        <w:rPr>
          <w:rFonts w:cs="David" w:hint="cs"/>
          <w:sz w:val="24"/>
          <w:szCs w:val="24"/>
          <w:rtl/>
        </w:rPr>
        <w:t xml:space="preserve"> -  מרוץ הסמכויות</w:t>
      </w:r>
      <w:r>
        <w:rPr>
          <w:rFonts w:cs="David" w:hint="cs"/>
          <w:sz w:val="24"/>
          <w:szCs w:val="24"/>
          <w:rtl/>
        </w:rPr>
        <w:t>,</w:t>
      </w:r>
      <w:r w:rsidRPr="00E62F79">
        <w:rPr>
          <w:rFonts w:cs="David" w:hint="cs"/>
          <w:sz w:val="24"/>
          <w:szCs w:val="24"/>
          <w:rtl/>
        </w:rPr>
        <w:t xml:space="preserve">  המוטיבציות הכלכליות של שני ההורים  וכן העומס בבתי המשפט בישראל, מעוררים קשיים ביכולת בית המשפט לקבל תמונה מלאה ומדויקת ולזקק את שאלת טובת הילד באופן שמאפשר לקבל החלטה בנושא.</w:t>
      </w:r>
      <w:r w:rsidRPr="007F090A">
        <w:rPr>
          <w:rFonts w:cs="David" w:hint="cs"/>
          <w:sz w:val="24"/>
          <w:szCs w:val="24"/>
          <w:rtl/>
        </w:rPr>
        <w:t xml:space="preserve"> </w:t>
      </w:r>
      <w:r w:rsidRPr="007F090A">
        <w:rPr>
          <w:rFonts w:cs="David"/>
          <w:sz w:val="24"/>
          <w:szCs w:val="24"/>
          <w:rtl/>
        </w:rPr>
        <w:t>מוצע לדון בדרכים ל</w:t>
      </w:r>
      <w:r w:rsidRPr="007F090A">
        <w:rPr>
          <w:rFonts w:cs="David" w:hint="cs"/>
          <w:sz w:val="24"/>
          <w:szCs w:val="24"/>
          <w:rtl/>
        </w:rPr>
        <w:t>מתן</w:t>
      </w:r>
      <w:r w:rsidRPr="007F090A">
        <w:rPr>
          <w:rFonts w:cs="David"/>
          <w:sz w:val="24"/>
          <w:szCs w:val="24"/>
          <w:rtl/>
        </w:rPr>
        <w:t xml:space="preserve"> את הגורמים הנ"ל ואת האינטרסים הכלכליים של ההורים מההתדיינות על טובת הילד כדי שבית המשפט יוכל להתרשם כנדרש ולהכריע בנושא. </w:t>
      </w:r>
    </w:p>
    <w:p w:rsidR="00896EDF" w:rsidRPr="001900A5" w:rsidRDefault="00896EDF" w:rsidP="00896EDF">
      <w:pPr>
        <w:pStyle w:val="a3"/>
        <w:numPr>
          <w:ilvl w:val="0"/>
          <w:numId w:val="1"/>
        </w:numPr>
        <w:spacing w:before="120" w:after="0" w:line="360" w:lineRule="auto"/>
        <w:jc w:val="both"/>
        <w:rPr>
          <w:rFonts w:cs="David"/>
          <w:sz w:val="24"/>
          <w:szCs w:val="24"/>
        </w:rPr>
      </w:pPr>
      <w:r w:rsidRPr="001900A5">
        <w:rPr>
          <w:rFonts w:cs="David" w:hint="cs"/>
          <w:sz w:val="24"/>
          <w:szCs w:val="24"/>
          <w:rtl/>
        </w:rPr>
        <w:t>החשש מהחרפת הסכסוך ו</w:t>
      </w:r>
      <w:r w:rsidRPr="00137669">
        <w:rPr>
          <w:rFonts w:cs="David" w:hint="cs"/>
          <w:b/>
          <w:bCs/>
          <w:sz w:val="24"/>
          <w:szCs w:val="24"/>
          <w:rtl/>
        </w:rPr>
        <w:t>הימשכות ההליכים</w:t>
      </w:r>
      <w:r w:rsidRPr="001900A5">
        <w:rPr>
          <w:rFonts w:cs="David" w:hint="cs"/>
          <w:sz w:val="24"/>
          <w:szCs w:val="24"/>
          <w:rtl/>
        </w:rPr>
        <w:t xml:space="preserve"> והנזק שהדבר עלול להסב לילד.  מוצע לבקש את הערכת גורמי המקצוע</w:t>
      </w:r>
      <w:r w:rsidRPr="001900A5">
        <w:rPr>
          <w:rFonts w:cs="David" w:hint="cs"/>
          <w:b/>
          <w:bCs/>
          <w:sz w:val="24"/>
          <w:szCs w:val="24"/>
          <w:rtl/>
        </w:rPr>
        <w:t xml:space="preserve"> </w:t>
      </w:r>
      <w:r w:rsidRPr="001900A5">
        <w:rPr>
          <w:rFonts w:cs="David" w:hint="cs"/>
          <w:sz w:val="24"/>
          <w:szCs w:val="24"/>
          <w:rtl/>
        </w:rPr>
        <w:t>עד כמה יהיה בביטול החזקה כדי להאריך את התדיינויות בבתי המשפט</w:t>
      </w:r>
      <w:r>
        <w:rPr>
          <w:rFonts w:cs="David" w:hint="cs"/>
          <w:sz w:val="24"/>
          <w:szCs w:val="24"/>
          <w:rtl/>
        </w:rPr>
        <w:t xml:space="preserve"> ועד כמה </w:t>
      </w:r>
      <w:r w:rsidRPr="001900A5">
        <w:rPr>
          <w:rFonts w:cs="David" w:hint="cs"/>
          <w:sz w:val="24"/>
          <w:szCs w:val="24"/>
          <w:rtl/>
        </w:rPr>
        <w:t>ישפיע על הגעה להסכמים</w:t>
      </w:r>
      <w:r>
        <w:rPr>
          <w:rFonts w:cs="David" w:hint="cs"/>
          <w:sz w:val="24"/>
          <w:szCs w:val="24"/>
          <w:rtl/>
        </w:rPr>
        <w:t xml:space="preserve"> ולדון בדרכים לצמצם את ההתדיינויות.</w:t>
      </w:r>
      <w:r w:rsidRPr="001900A5">
        <w:rPr>
          <w:rFonts w:cs="David" w:hint="cs"/>
          <w:sz w:val="24"/>
          <w:szCs w:val="24"/>
          <w:rtl/>
        </w:rPr>
        <w:t xml:space="preserve"> </w:t>
      </w:r>
    </w:p>
    <w:p w:rsidR="00896EDF" w:rsidRPr="00A83358" w:rsidRDefault="00896EDF" w:rsidP="00896EDF">
      <w:pPr>
        <w:spacing w:before="120" w:after="0" w:line="360" w:lineRule="auto"/>
        <w:ind w:left="360"/>
        <w:jc w:val="both"/>
        <w:rPr>
          <w:rFonts w:cs="David"/>
          <w:sz w:val="24"/>
          <w:szCs w:val="24"/>
        </w:rPr>
      </w:pPr>
      <w:r w:rsidRPr="00A83358">
        <w:rPr>
          <w:rFonts w:cs="David" w:hint="cs"/>
          <w:sz w:val="24"/>
          <w:szCs w:val="24"/>
          <w:rtl/>
        </w:rPr>
        <w:t>נוכח השאלות שהוצגו לעיל, מוצע לבדוק אלו פתרונות יכולות הרשויות להציע להתמודדות עם ה</w:t>
      </w:r>
      <w:r>
        <w:rPr>
          <w:rFonts w:cs="David" w:hint="cs"/>
          <w:sz w:val="24"/>
          <w:szCs w:val="24"/>
          <w:rtl/>
        </w:rPr>
        <w:t>קשיים,</w:t>
      </w:r>
      <w:r w:rsidRPr="00A83358">
        <w:rPr>
          <w:rFonts w:cs="David" w:hint="cs"/>
          <w:sz w:val="24"/>
          <w:szCs w:val="24"/>
          <w:rtl/>
        </w:rPr>
        <w:t xml:space="preserve"> מוצע לדון בהגדלת מספר השופטים</w:t>
      </w:r>
      <w:r>
        <w:rPr>
          <w:rFonts w:cs="David" w:hint="cs"/>
          <w:sz w:val="24"/>
          <w:szCs w:val="24"/>
          <w:rtl/>
        </w:rPr>
        <w:t xml:space="preserve"> והעובדים הסוציאליים כדי שיוכלו לתת מענה בזמן סביר</w:t>
      </w:r>
      <w:r w:rsidRPr="00A83358">
        <w:rPr>
          <w:rFonts w:cs="David" w:hint="cs"/>
          <w:sz w:val="24"/>
          <w:szCs w:val="24"/>
          <w:rtl/>
        </w:rPr>
        <w:t xml:space="preserve"> </w:t>
      </w:r>
      <w:r>
        <w:rPr>
          <w:rFonts w:cs="David" w:hint="cs"/>
          <w:sz w:val="24"/>
          <w:szCs w:val="24"/>
          <w:rtl/>
        </w:rPr>
        <w:t xml:space="preserve">ולדון </w:t>
      </w:r>
      <w:r w:rsidRPr="00A83358">
        <w:rPr>
          <w:rFonts w:cs="David" w:hint="cs"/>
          <w:sz w:val="24"/>
          <w:szCs w:val="24"/>
          <w:rtl/>
        </w:rPr>
        <w:t>בהגבלת זמן ההכרעה של בית המשפט בנושא</w:t>
      </w:r>
      <w:r>
        <w:rPr>
          <w:rFonts w:cs="David" w:hint="cs"/>
          <w:sz w:val="24"/>
          <w:szCs w:val="24"/>
          <w:rtl/>
        </w:rPr>
        <w:t>. כמו כן</w:t>
      </w:r>
      <w:r w:rsidRPr="00A83358">
        <w:rPr>
          <w:rFonts w:cs="David" w:hint="cs"/>
          <w:sz w:val="24"/>
          <w:szCs w:val="24"/>
          <w:rtl/>
        </w:rPr>
        <w:t xml:space="preserve">, </w:t>
      </w:r>
      <w:r>
        <w:rPr>
          <w:rFonts w:cs="David" w:hint="cs"/>
          <w:sz w:val="24"/>
          <w:szCs w:val="24"/>
          <w:rtl/>
        </w:rPr>
        <w:t>מוצע לדון בייצוג נפרד של קטינים</w:t>
      </w:r>
      <w:r w:rsidRPr="00A83358">
        <w:rPr>
          <w:rFonts w:cs="David" w:hint="cs"/>
          <w:sz w:val="24"/>
          <w:szCs w:val="24"/>
          <w:rtl/>
        </w:rPr>
        <w:t xml:space="preserve"> </w:t>
      </w:r>
      <w:r>
        <w:rPr>
          <w:rFonts w:cs="David" w:hint="cs"/>
          <w:sz w:val="24"/>
          <w:szCs w:val="24"/>
          <w:rtl/>
        </w:rPr>
        <w:t>במקרים בהם יש צורך</w:t>
      </w:r>
      <w:r w:rsidRPr="00A83358">
        <w:rPr>
          <w:rFonts w:cs="David" w:hint="cs"/>
          <w:sz w:val="24"/>
          <w:szCs w:val="24"/>
          <w:rtl/>
        </w:rPr>
        <w:t>.</w:t>
      </w:r>
    </w:p>
    <w:p w:rsidR="00896EDF" w:rsidRPr="001900A5" w:rsidRDefault="00896EDF" w:rsidP="00896EDF">
      <w:pPr>
        <w:pStyle w:val="a3"/>
        <w:spacing w:before="120" w:after="0" w:line="360" w:lineRule="auto"/>
        <w:ind w:left="360"/>
        <w:jc w:val="both"/>
        <w:rPr>
          <w:rFonts w:cs="David"/>
          <w:b/>
          <w:bCs/>
          <w:sz w:val="24"/>
          <w:szCs w:val="24"/>
        </w:rPr>
      </w:pPr>
    </w:p>
    <w:p w:rsidR="00896EDF" w:rsidRDefault="00896EDF" w:rsidP="00896EDF">
      <w:pPr>
        <w:pStyle w:val="a3"/>
        <w:numPr>
          <w:ilvl w:val="0"/>
          <w:numId w:val="2"/>
        </w:numPr>
        <w:spacing w:before="120" w:after="0" w:line="360" w:lineRule="auto"/>
        <w:jc w:val="both"/>
        <w:rPr>
          <w:rFonts w:cs="David"/>
          <w:sz w:val="24"/>
          <w:szCs w:val="24"/>
        </w:rPr>
      </w:pPr>
      <w:r>
        <w:rPr>
          <w:rFonts w:cs="David" w:hint="cs"/>
          <w:b/>
          <w:bCs/>
          <w:sz w:val="24"/>
          <w:szCs w:val="24"/>
          <w:rtl/>
        </w:rPr>
        <w:t>מוצע לדון ב</w:t>
      </w:r>
      <w:r w:rsidRPr="001900A5">
        <w:rPr>
          <w:rFonts w:cs="David" w:hint="cs"/>
          <w:b/>
          <w:bCs/>
          <w:sz w:val="24"/>
          <w:szCs w:val="24"/>
          <w:rtl/>
        </w:rPr>
        <w:t>הבניית שיקול דעת בית המשפט</w:t>
      </w:r>
      <w:r>
        <w:rPr>
          <w:rFonts w:cs="David" w:hint="cs"/>
          <w:sz w:val="24"/>
          <w:szCs w:val="24"/>
          <w:rtl/>
        </w:rPr>
        <w:t xml:space="preserve"> - לעניין הגילאים בהם לא תחול </w:t>
      </w:r>
      <w:r w:rsidRPr="000D32D6">
        <w:rPr>
          <w:rFonts w:cs="David" w:hint="cs"/>
          <w:sz w:val="24"/>
          <w:szCs w:val="24"/>
          <w:rtl/>
        </w:rPr>
        <w:t xml:space="preserve">חזקת הגיל הרך, מוצע לדון </w:t>
      </w:r>
      <w:r w:rsidRPr="001900A5">
        <w:rPr>
          <w:rFonts w:cs="David" w:hint="cs"/>
          <w:sz w:val="24"/>
          <w:szCs w:val="24"/>
          <w:rtl/>
        </w:rPr>
        <w:t>בהבניית שיקול דעת</w:t>
      </w:r>
      <w:r w:rsidRPr="000D32D6">
        <w:rPr>
          <w:rFonts w:cs="David" w:hint="cs"/>
          <w:sz w:val="24"/>
          <w:szCs w:val="24"/>
          <w:rtl/>
        </w:rPr>
        <w:t xml:space="preserve"> בית המשפט בבואו להכריע מהי טובת הילד (</w:t>
      </w:r>
      <w:r>
        <w:rPr>
          <w:rFonts w:cs="David" w:hint="cs"/>
          <w:sz w:val="24"/>
          <w:szCs w:val="24"/>
          <w:rtl/>
        </w:rPr>
        <w:t xml:space="preserve">כפי שהוצע בהצעת </w:t>
      </w:r>
      <w:r>
        <w:rPr>
          <w:rFonts w:cs="David" w:hint="cs"/>
          <w:sz w:val="24"/>
          <w:szCs w:val="24"/>
          <w:rtl/>
        </w:rPr>
        <w:lastRenderedPageBreak/>
        <w:t>החוק הממשלתית</w:t>
      </w:r>
      <w:r w:rsidRPr="000D32D6">
        <w:rPr>
          <w:rFonts w:cs="David" w:hint="cs"/>
          <w:sz w:val="24"/>
          <w:szCs w:val="24"/>
          <w:rtl/>
        </w:rPr>
        <w:t>)</w:t>
      </w:r>
      <w:r>
        <w:rPr>
          <w:rFonts w:cs="David" w:hint="cs"/>
          <w:sz w:val="24"/>
          <w:szCs w:val="24"/>
          <w:rtl/>
        </w:rPr>
        <w:t xml:space="preserve"> ולכלול בין היתר שיקולים בדבר הצרכים של  הילד, רצון הילד, זכותו של הילד לקשר משמעותי עם שני הוריו, יכולתו של כל הורה לממש את האחריות של ההורים, הטיפול שהעניק כל אחד מההורים לילד, יציבות בחיי הילד וכו'</w:t>
      </w:r>
      <w:r w:rsidRPr="000D32D6">
        <w:rPr>
          <w:rFonts w:cs="David" w:hint="cs"/>
          <w:sz w:val="24"/>
          <w:szCs w:val="24"/>
          <w:rtl/>
        </w:rPr>
        <w:t>.</w:t>
      </w:r>
    </w:p>
    <w:p w:rsidR="00896EDF" w:rsidRDefault="00896EDF" w:rsidP="00896EDF">
      <w:pPr>
        <w:pStyle w:val="a3"/>
        <w:spacing w:before="120" w:after="0" w:line="360" w:lineRule="auto"/>
        <w:ind w:left="360"/>
        <w:jc w:val="both"/>
        <w:rPr>
          <w:rFonts w:cs="David"/>
          <w:sz w:val="24"/>
          <w:szCs w:val="24"/>
          <w:rtl/>
        </w:rPr>
      </w:pPr>
    </w:p>
    <w:p w:rsidR="00896EDF" w:rsidRDefault="00896EDF" w:rsidP="00896EDF">
      <w:pPr>
        <w:pStyle w:val="a3"/>
        <w:numPr>
          <w:ilvl w:val="0"/>
          <w:numId w:val="2"/>
        </w:numPr>
        <w:spacing w:before="120" w:after="0" w:line="360" w:lineRule="auto"/>
        <w:jc w:val="both"/>
        <w:rPr>
          <w:rFonts w:cs="David"/>
          <w:sz w:val="24"/>
          <w:szCs w:val="24"/>
        </w:rPr>
      </w:pPr>
      <w:r>
        <w:rPr>
          <w:rFonts w:cs="David" w:hint="cs"/>
          <w:b/>
          <w:bCs/>
          <w:sz w:val="24"/>
          <w:szCs w:val="24"/>
          <w:rtl/>
        </w:rPr>
        <w:t>מוצע לדון ב</w:t>
      </w:r>
      <w:r w:rsidRPr="000D32D6">
        <w:rPr>
          <w:rFonts w:cs="David" w:hint="cs"/>
          <w:b/>
          <w:bCs/>
          <w:sz w:val="24"/>
          <w:szCs w:val="24"/>
          <w:rtl/>
        </w:rPr>
        <w:t>השלכות כלכליות</w:t>
      </w:r>
      <w:r w:rsidRPr="000D32D6">
        <w:rPr>
          <w:rFonts w:cs="David" w:hint="cs"/>
          <w:sz w:val="24"/>
          <w:szCs w:val="24"/>
          <w:rtl/>
        </w:rPr>
        <w:t xml:space="preserve"> של גירושין (ושינויים בנושא) על הביטחון הסוציאלי של ילדים</w:t>
      </w:r>
      <w:r>
        <w:rPr>
          <w:rFonts w:cs="David" w:hint="cs"/>
          <w:sz w:val="24"/>
          <w:szCs w:val="24"/>
          <w:rtl/>
        </w:rPr>
        <w:t xml:space="preserve"> </w:t>
      </w:r>
      <w:r w:rsidRPr="000D32D6">
        <w:rPr>
          <w:rFonts w:cs="David" w:hint="cs"/>
          <w:sz w:val="24"/>
          <w:szCs w:val="24"/>
          <w:rtl/>
        </w:rPr>
        <w:t>- מוצע לדון, מחד, בשאלה כיצד ניתן לנטרל את המוטיבציות הכלכליות של שני ההורים בעת הגירושין ובהחלטה בדבר החזקת ילדים (או זמני שהות)</w:t>
      </w:r>
      <w:r>
        <w:rPr>
          <w:rFonts w:cs="David" w:hint="cs"/>
          <w:sz w:val="24"/>
          <w:szCs w:val="24"/>
          <w:rtl/>
        </w:rPr>
        <w:t xml:space="preserve"> כפי שצוין לעיל (לעניין מזונות, הטבות למשפחות חד הוריות וכו'). כמו </w:t>
      </w:r>
      <w:r w:rsidRPr="000D32D6">
        <w:rPr>
          <w:rFonts w:cs="David" w:hint="cs"/>
          <w:sz w:val="24"/>
          <w:szCs w:val="24"/>
          <w:rtl/>
        </w:rPr>
        <w:t xml:space="preserve">כן, </w:t>
      </w:r>
      <w:r>
        <w:rPr>
          <w:rFonts w:cs="David" w:hint="cs"/>
          <w:sz w:val="24"/>
          <w:szCs w:val="24"/>
          <w:rtl/>
        </w:rPr>
        <w:t xml:space="preserve">אם יעשו שינויים לעניין המונח משמורת נדרש יהיה </w:t>
      </w:r>
      <w:r w:rsidRPr="000D32D6">
        <w:rPr>
          <w:rFonts w:cs="David" w:hint="cs"/>
          <w:sz w:val="24"/>
          <w:szCs w:val="24"/>
          <w:rtl/>
        </w:rPr>
        <w:t>להבטיח שרשויות המדינה יתאימו את רשת הביטחון הסוציאלי לשינויים המוצעים (התאמת חוק סיוע למשפחות שבראשן הורה עצמאי, התשנ"ב-1992, חוק הבטחת הכנסה, התשמ"א-1980, חוק הביטוח הלאומי [נוסח משולב], התשנ"ה-1995, וכו')</w:t>
      </w:r>
      <w:r>
        <w:rPr>
          <w:rFonts w:cs="David" w:hint="cs"/>
          <w:sz w:val="24"/>
          <w:szCs w:val="24"/>
          <w:rtl/>
        </w:rPr>
        <w:t xml:space="preserve"> </w:t>
      </w:r>
      <w:r w:rsidRPr="00D42877">
        <w:rPr>
          <w:rFonts w:cs="David" w:hint="cs"/>
          <w:sz w:val="24"/>
          <w:szCs w:val="24"/>
          <w:rtl/>
        </w:rPr>
        <w:t>כך שלא תיפגע הזכאות הכלכלית בשל כך.</w:t>
      </w:r>
    </w:p>
    <w:p w:rsidR="00896EDF" w:rsidRPr="007849EB" w:rsidRDefault="00896EDF" w:rsidP="00896EDF">
      <w:pPr>
        <w:pStyle w:val="a3"/>
        <w:rPr>
          <w:rFonts w:cs="David"/>
          <w:sz w:val="24"/>
          <w:szCs w:val="24"/>
          <w:rtl/>
        </w:rPr>
      </w:pPr>
    </w:p>
    <w:p w:rsidR="00896EDF" w:rsidRPr="00C0340C" w:rsidRDefault="00896EDF" w:rsidP="00896EDF">
      <w:pPr>
        <w:pStyle w:val="a3"/>
        <w:numPr>
          <w:ilvl w:val="0"/>
          <w:numId w:val="2"/>
        </w:numPr>
        <w:spacing w:before="120" w:after="0" w:line="360" w:lineRule="auto"/>
        <w:jc w:val="both"/>
        <w:rPr>
          <w:rFonts w:cs="David"/>
          <w:sz w:val="24"/>
          <w:szCs w:val="24"/>
          <w:rtl/>
        </w:rPr>
      </w:pPr>
      <w:r w:rsidRPr="00C0340C">
        <w:rPr>
          <w:rFonts w:cs="David" w:hint="cs"/>
          <w:sz w:val="24"/>
          <w:szCs w:val="24"/>
          <w:rtl/>
        </w:rPr>
        <w:t xml:space="preserve">מוצע לדון בהחלת סעיפים מתוך הצעת החוק הממשלתית שהונחה בשנת 2014 בעניין </w:t>
      </w:r>
      <w:r w:rsidRPr="00C0340C">
        <w:rPr>
          <w:rFonts w:cs="David" w:hint="cs"/>
          <w:b/>
          <w:bCs/>
          <w:sz w:val="24"/>
          <w:szCs w:val="24"/>
          <w:rtl/>
        </w:rPr>
        <w:t>שיתוף בין ההורים במימוש האחריות ההורית, שינוי המונחים לאחריות הורית וזמני שהות במקום משמורת (כפי שפירטנו לעיל), דרך יישוב חילוקי דעות בעניין מימוש האחריות ההורית, הסכם הורות</w:t>
      </w:r>
      <w:r>
        <w:rPr>
          <w:rFonts w:cs="David" w:hint="cs"/>
          <w:b/>
          <w:bCs/>
          <w:sz w:val="24"/>
          <w:szCs w:val="24"/>
          <w:rtl/>
        </w:rPr>
        <w:t xml:space="preserve"> ואכיפתו</w:t>
      </w:r>
      <w:r w:rsidRPr="00C0340C">
        <w:rPr>
          <w:rFonts w:cs="David" w:hint="cs"/>
          <w:b/>
          <w:bCs/>
          <w:sz w:val="24"/>
          <w:szCs w:val="24"/>
          <w:rtl/>
        </w:rPr>
        <w:t>, הוראות לעניין העתקת מקום מגורים</w:t>
      </w:r>
      <w:r>
        <w:rPr>
          <w:rFonts w:cs="David" w:hint="cs"/>
          <w:sz w:val="24"/>
          <w:szCs w:val="24"/>
          <w:rtl/>
        </w:rPr>
        <w:t xml:space="preserve"> והגירה </w:t>
      </w:r>
      <w:r w:rsidRPr="00C0340C">
        <w:rPr>
          <w:rFonts w:cs="David" w:hint="cs"/>
          <w:sz w:val="24"/>
          <w:szCs w:val="24"/>
          <w:rtl/>
        </w:rPr>
        <w:t xml:space="preserve"> ועוד אשר היוו את הרפורמה המשמעותית שהמליצה ועדת שניט לאמץ ואשר יכולים להביא לשינוי משמעותי בנושא, למעורבות משמעותית יותר של שני ההורים בחיי הילד ללא יצירת היררכיה ביניהם ולצמצום המאבקים המשפטיים בין ההורים. </w:t>
      </w:r>
    </w:p>
    <w:p w:rsidR="00896EDF" w:rsidRPr="00191AE6" w:rsidRDefault="00896EDF" w:rsidP="00896EDF">
      <w:pPr>
        <w:pStyle w:val="a3"/>
        <w:spacing w:before="120" w:after="0" w:line="360" w:lineRule="auto"/>
        <w:ind w:left="360"/>
        <w:jc w:val="both"/>
        <w:rPr>
          <w:rFonts w:cs="David"/>
          <w:sz w:val="24"/>
          <w:szCs w:val="24"/>
          <w:highlight w:val="magenta"/>
        </w:rPr>
      </w:pPr>
    </w:p>
    <w:p w:rsidR="00896EDF" w:rsidRPr="00DA2BED" w:rsidRDefault="00896EDF" w:rsidP="00896EDF">
      <w:pPr>
        <w:pStyle w:val="a3"/>
        <w:numPr>
          <w:ilvl w:val="0"/>
          <w:numId w:val="2"/>
        </w:numPr>
        <w:spacing w:before="120" w:after="0" w:line="360" w:lineRule="auto"/>
        <w:jc w:val="both"/>
        <w:rPr>
          <w:rFonts w:cs="David"/>
        </w:rPr>
      </w:pPr>
      <w:r w:rsidRPr="00DA2BED">
        <w:rPr>
          <w:rFonts w:cs="David" w:hint="cs"/>
          <w:sz w:val="24"/>
          <w:szCs w:val="24"/>
          <w:rtl/>
        </w:rPr>
        <w:t xml:space="preserve">מוצע לדון </w:t>
      </w:r>
      <w:r w:rsidRPr="00DA2BED">
        <w:rPr>
          <w:rFonts w:cs="David" w:hint="cs"/>
          <w:b/>
          <w:bCs/>
          <w:sz w:val="24"/>
          <w:szCs w:val="24"/>
          <w:rtl/>
        </w:rPr>
        <w:t>בעריכת ליווי מחקרי</w:t>
      </w:r>
      <w:r w:rsidRPr="00DA2BED">
        <w:rPr>
          <w:rFonts w:cs="David" w:hint="cs"/>
          <w:sz w:val="24"/>
          <w:szCs w:val="24"/>
          <w:rtl/>
        </w:rPr>
        <w:t xml:space="preserve"> שיבחן השפעת כל שינוי שיתקבל בנושא.</w:t>
      </w:r>
    </w:p>
    <w:p w:rsidR="006E353D" w:rsidRPr="00896EDF" w:rsidRDefault="00D1767E"/>
    <w:sectPr w:rsidR="006E353D" w:rsidRPr="00896EDF" w:rsidSect="00FD3A53">
      <w:footerReference w:type="defaul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67E" w:rsidRDefault="00D1767E" w:rsidP="00896EDF">
      <w:pPr>
        <w:spacing w:after="0" w:line="240" w:lineRule="auto"/>
      </w:pPr>
      <w:r>
        <w:separator/>
      </w:r>
    </w:p>
  </w:endnote>
  <w:endnote w:type="continuationSeparator" w:id="0">
    <w:p w:rsidR="00D1767E" w:rsidRDefault="00D1767E" w:rsidP="00896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30640141"/>
      <w:docPartObj>
        <w:docPartGallery w:val="Page Numbers (Bottom of Page)"/>
        <w:docPartUnique/>
      </w:docPartObj>
    </w:sdtPr>
    <w:sdtEndPr>
      <w:rPr>
        <w:cs/>
      </w:rPr>
    </w:sdtEndPr>
    <w:sdtContent>
      <w:p w:rsidR="008A6DC1" w:rsidRDefault="002542C1">
        <w:pPr>
          <w:pStyle w:val="a8"/>
          <w:jc w:val="right"/>
          <w:rPr>
            <w:rtl/>
            <w:cs/>
          </w:rPr>
        </w:pPr>
        <w:r>
          <w:fldChar w:fldCharType="begin"/>
        </w:r>
        <w:r>
          <w:rPr>
            <w:rtl/>
            <w:cs/>
          </w:rPr>
          <w:instrText>PAGE   \* MERGEFORMAT</w:instrText>
        </w:r>
        <w:r>
          <w:fldChar w:fldCharType="separate"/>
        </w:r>
        <w:r w:rsidR="00D6621F" w:rsidRPr="00D6621F">
          <w:rPr>
            <w:noProof/>
            <w:rtl/>
            <w:lang w:val="he-IL"/>
          </w:rPr>
          <w:t>1</w:t>
        </w:r>
        <w:r>
          <w:fldChar w:fldCharType="end"/>
        </w:r>
      </w:p>
    </w:sdtContent>
  </w:sdt>
  <w:p w:rsidR="008A6DC1" w:rsidRDefault="00D1767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67E" w:rsidRDefault="00D1767E" w:rsidP="00896EDF">
      <w:pPr>
        <w:spacing w:after="0" w:line="240" w:lineRule="auto"/>
      </w:pPr>
      <w:r>
        <w:separator/>
      </w:r>
    </w:p>
  </w:footnote>
  <w:footnote w:type="continuationSeparator" w:id="0">
    <w:p w:rsidR="00D1767E" w:rsidRDefault="00D1767E" w:rsidP="00896EDF">
      <w:pPr>
        <w:spacing w:after="0" w:line="240" w:lineRule="auto"/>
      </w:pPr>
      <w:r>
        <w:continuationSeparator/>
      </w:r>
    </w:p>
  </w:footnote>
  <w:footnote w:id="1">
    <w:p w:rsidR="00896EDF" w:rsidRPr="00E85EF9" w:rsidRDefault="00896EDF" w:rsidP="00896EDF">
      <w:pPr>
        <w:pStyle w:val="a4"/>
        <w:rPr>
          <w:rFonts w:cs="David"/>
          <w:rtl/>
        </w:rPr>
      </w:pPr>
      <w:r w:rsidRPr="00E85EF9">
        <w:rPr>
          <w:rStyle w:val="a6"/>
          <w:rFonts w:cs="David"/>
        </w:rPr>
        <w:footnoteRef/>
      </w:r>
      <w:r w:rsidRPr="00E85EF9">
        <w:rPr>
          <w:rFonts w:cs="David"/>
          <w:rtl/>
        </w:rPr>
        <w:t xml:space="preserve"> </w:t>
      </w:r>
      <w:r w:rsidRPr="00E85EF9">
        <w:rPr>
          <w:rFonts w:cs="David" w:hint="cs"/>
          <w:rtl/>
        </w:rPr>
        <w:t xml:space="preserve">תה"ס 7847/08 </w:t>
      </w:r>
      <w:r w:rsidRPr="00E85EF9">
        <w:rPr>
          <w:rFonts w:cs="David" w:hint="cs"/>
          <w:b/>
          <w:bCs/>
          <w:rtl/>
        </w:rPr>
        <w:t>י.ד. נגד י.ע</w:t>
      </w:r>
      <w:r w:rsidRPr="00E85EF9">
        <w:rPr>
          <w:rFonts w:cs="David" w:hint="cs"/>
          <w:rtl/>
        </w:rPr>
        <w:t>. (ניתן ביום 14.4.10).</w:t>
      </w:r>
    </w:p>
  </w:footnote>
  <w:footnote w:id="2">
    <w:p w:rsidR="00896EDF" w:rsidRPr="00E85EF9" w:rsidRDefault="00896EDF" w:rsidP="00896EDF">
      <w:pPr>
        <w:pStyle w:val="a4"/>
        <w:rPr>
          <w:rFonts w:cs="David"/>
          <w:rtl/>
        </w:rPr>
      </w:pPr>
      <w:r w:rsidRPr="00E85EF9">
        <w:rPr>
          <w:rStyle w:val="a6"/>
          <w:rFonts w:cs="David"/>
        </w:rPr>
        <w:footnoteRef/>
      </w:r>
      <w:r w:rsidRPr="00E85EF9">
        <w:rPr>
          <w:rFonts w:cs="David"/>
          <w:rtl/>
        </w:rPr>
        <w:t xml:space="preserve"> </w:t>
      </w:r>
      <w:r w:rsidRPr="00E85EF9">
        <w:rPr>
          <w:rFonts w:cs="David" w:hint="cs"/>
          <w:rtl/>
        </w:rPr>
        <w:t>ראו למשל את סקירתו של השופט זגורי ב</w:t>
      </w:r>
      <w:r w:rsidRPr="00E85EF9">
        <w:rPr>
          <w:rFonts w:cs="David"/>
          <w:rtl/>
        </w:rPr>
        <w:t>תמ"ש 12148</w:t>
      </w:r>
      <w:r w:rsidRPr="00E85EF9">
        <w:rPr>
          <w:rFonts w:cs="David" w:hint="cs"/>
          <w:rtl/>
        </w:rPr>
        <w:t xml:space="preserve">/ </w:t>
      </w:r>
      <w:r w:rsidRPr="00E85EF9">
        <w:rPr>
          <w:rFonts w:cs="David"/>
          <w:rtl/>
        </w:rPr>
        <w:t xml:space="preserve">10 </w:t>
      </w:r>
      <w:r w:rsidRPr="00E85EF9">
        <w:rPr>
          <w:rFonts w:cs="David" w:hint="cs"/>
          <w:b/>
          <w:bCs/>
          <w:rtl/>
        </w:rPr>
        <w:t>ס.ג.</w:t>
      </w:r>
      <w:r w:rsidRPr="00E85EF9">
        <w:rPr>
          <w:rFonts w:cs="David"/>
          <w:b/>
          <w:bCs/>
          <w:rtl/>
        </w:rPr>
        <w:t xml:space="preserve"> נ' </w:t>
      </w:r>
      <w:r w:rsidRPr="00E85EF9">
        <w:rPr>
          <w:rFonts w:cs="David" w:hint="cs"/>
          <w:b/>
          <w:bCs/>
          <w:rtl/>
        </w:rPr>
        <w:t>ע.ג</w:t>
      </w:r>
      <w:r w:rsidRPr="00E85EF9">
        <w:rPr>
          <w:rFonts w:cs="David" w:hint="cs"/>
          <w:rtl/>
        </w:rPr>
        <w:t>. (ניתן ביום 28.4.11).</w:t>
      </w:r>
    </w:p>
  </w:footnote>
  <w:footnote w:id="3">
    <w:p w:rsidR="00896EDF" w:rsidRPr="00E85EF9" w:rsidRDefault="00896EDF" w:rsidP="00896EDF">
      <w:pPr>
        <w:pStyle w:val="a4"/>
        <w:rPr>
          <w:rFonts w:cs="David"/>
        </w:rPr>
      </w:pPr>
      <w:r w:rsidRPr="00E85EF9">
        <w:rPr>
          <w:rStyle w:val="a6"/>
          <w:rFonts w:cs="David"/>
        </w:rPr>
        <w:footnoteRef/>
      </w:r>
      <w:r w:rsidRPr="00E85EF9">
        <w:rPr>
          <w:rFonts w:cs="David"/>
          <w:rtl/>
        </w:rPr>
        <w:t xml:space="preserve"> </w:t>
      </w:r>
      <w:r w:rsidRPr="00E85EF9">
        <w:rPr>
          <w:rFonts w:cs="David" w:hint="cs"/>
          <w:rtl/>
        </w:rPr>
        <w:t xml:space="preserve">בע"מ 1858/14 </w:t>
      </w:r>
      <w:r w:rsidRPr="00E85EF9">
        <w:rPr>
          <w:rFonts w:cs="David" w:hint="cs"/>
          <w:b/>
          <w:bCs/>
          <w:rtl/>
        </w:rPr>
        <w:t>פלוני נגד פלונית</w:t>
      </w:r>
      <w:r w:rsidRPr="00E85EF9">
        <w:rPr>
          <w:rFonts w:cs="David" w:hint="cs"/>
          <w:rtl/>
        </w:rPr>
        <w:t xml:space="preserve"> (ניתן ביום 3.4.14).</w:t>
      </w:r>
    </w:p>
  </w:footnote>
  <w:footnote w:id="4">
    <w:p w:rsidR="00896EDF" w:rsidRPr="00E85EF9" w:rsidRDefault="00896EDF" w:rsidP="00896EDF">
      <w:pPr>
        <w:pStyle w:val="a4"/>
        <w:rPr>
          <w:rFonts w:cs="David"/>
          <w:rtl/>
        </w:rPr>
      </w:pPr>
      <w:r w:rsidRPr="00E85EF9">
        <w:rPr>
          <w:rStyle w:val="a6"/>
          <w:rFonts w:cs="David"/>
        </w:rPr>
        <w:footnoteRef/>
      </w:r>
      <w:r w:rsidRPr="00E85EF9">
        <w:rPr>
          <w:rFonts w:cs="David"/>
          <w:rtl/>
        </w:rPr>
        <w:t xml:space="preserve"> </w:t>
      </w:r>
      <w:r w:rsidRPr="00E85EF9">
        <w:rPr>
          <w:rFonts w:cs="David" w:hint="cs"/>
          <w:rtl/>
        </w:rPr>
        <w:t xml:space="preserve">בע"מ 27/06 </w:t>
      </w:r>
      <w:r w:rsidRPr="00E85EF9">
        <w:rPr>
          <w:rFonts w:cs="David" w:hint="cs"/>
          <w:b/>
          <w:bCs/>
          <w:rtl/>
        </w:rPr>
        <w:t>פלוני נגד פלונית</w:t>
      </w:r>
      <w:r w:rsidRPr="00E85EF9">
        <w:rPr>
          <w:rFonts w:cs="David" w:hint="cs"/>
          <w:rtl/>
        </w:rPr>
        <w:t xml:space="preserve"> (ניתן ביום 1.5.06).</w:t>
      </w:r>
    </w:p>
  </w:footnote>
  <w:footnote w:id="5">
    <w:p w:rsidR="00896EDF" w:rsidRPr="00E85EF9" w:rsidRDefault="00896EDF" w:rsidP="00896EDF">
      <w:pPr>
        <w:pStyle w:val="a4"/>
        <w:rPr>
          <w:rFonts w:cs="David"/>
        </w:rPr>
      </w:pPr>
      <w:r w:rsidRPr="00E85EF9">
        <w:rPr>
          <w:rStyle w:val="a6"/>
          <w:rFonts w:cs="David"/>
        </w:rPr>
        <w:footnoteRef/>
      </w:r>
      <w:r w:rsidRPr="00E85EF9">
        <w:rPr>
          <w:rFonts w:cs="David"/>
          <w:rtl/>
        </w:rPr>
        <w:t xml:space="preserve"> </w:t>
      </w:r>
      <w:r w:rsidRPr="00E85EF9">
        <w:rPr>
          <w:rFonts w:cs="David" w:hint="cs"/>
          <w:rtl/>
        </w:rPr>
        <w:t xml:space="preserve">משרד המשפטים, </w:t>
      </w:r>
      <w:r w:rsidRPr="00E85EF9">
        <w:rPr>
          <w:rFonts w:cs="David" w:hint="cs"/>
          <w:b/>
          <w:bCs/>
          <w:rtl/>
        </w:rPr>
        <w:t>הוועדה לבחינת עקרונות יסוד בתחום הילד והמשפט ויישומם בחקיקה: דוח ועדת המשנה בנושא הילד ומשפחתו</w:t>
      </w:r>
      <w:r w:rsidRPr="00E85EF9">
        <w:rPr>
          <w:rFonts w:cs="David" w:hint="cs"/>
          <w:rtl/>
        </w:rPr>
        <w:t xml:space="preserve">, פברואר 2003. </w:t>
      </w:r>
    </w:p>
  </w:footnote>
  <w:footnote w:id="6">
    <w:p w:rsidR="00896EDF" w:rsidRPr="00E85EF9" w:rsidRDefault="00896EDF" w:rsidP="00943C2E">
      <w:pPr>
        <w:pStyle w:val="a4"/>
        <w:jc w:val="both"/>
        <w:rPr>
          <w:rFonts w:cs="David"/>
          <w:rtl/>
        </w:rPr>
      </w:pPr>
      <w:r w:rsidRPr="00E85EF9">
        <w:rPr>
          <w:rStyle w:val="a6"/>
          <w:rFonts w:cs="David"/>
        </w:rPr>
        <w:footnoteRef/>
      </w:r>
      <w:r w:rsidRPr="00E85EF9">
        <w:rPr>
          <w:rFonts w:cs="David"/>
          <w:rtl/>
        </w:rPr>
        <w:t xml:space="preserve"> </w:t>
      </w:r>
      <w:r w:rsidRPr="00E85EF9">
        <w:rPr>
          <w:rFonts w:cs="David" w:hint="cs"/>
          <w:rtl/>
        </w:rPr>
        <w:t xml:space="preserve">א.שגיא-שוורץ, ד.שניט "חזקת הגיל הרך </w:t>
      </w:r>
      <w:r w:rsidRPr="00E85EF9">
        <w:rPr>
          <w:rFonts w:cs="David"/>
          <w:rtl/>
        </w:rPr>
        <w:t>–</w:t>
      </w:r>
      <w:r w:rsidRPr="00E85EF9">
        <w:rPr>
          <w:rFonts w:cs="David" w:hint="cs"/>
          <w:rtl/>
        </w:rPr>
        <w:t xml:space="preserve"> פרשנות בית המשפט העליון סותרת את טובת הילד"</w:t>
      </w:r>
      <w:r w:rsidRPr="00E85EF9">
        <w:rPr>
          <w:rFonts w:cs="David" w:hint="cs"/>
          <w:b/>
          <w:bCs/>
          <w:rtl/>
        </w:rPr>
        <w:t xml:space="preserve"> פסיכואקטואליה</w:t>
      </w:r>
      <w:r w:rsidRPr="00E85EF9">
        <w:rPr>
          <w:rFonts w:cs="David" w:hint="cs"/>
          <w:rtl/>
        </w:rPr>
        <w:t xml:space="preserve"> (2014).</w:t>
      </w:r>
    </w:p>
  </w:footnote>
  <w:footnote w:id="7">
    <w:p w:rsidR="00896EDF" w:rsidRPr="00E85EF9" w:rsidRDefault="00896EDF" w:rsidP="00943C2E">
      <w:pPr>
        <w:pStyle w:val="a4"/>
        <w:jc w:val="both"/>
        <w:rPr>
          <w:rFonts w:cs="David"/>
          <w:rtl/>
        </w:rPr>
      </w:pPr>
      <w:r w:rsidRPr="00E85EF9">
        <w:rPr>
          <w:rStyle w:val="a6"/>
          <w:rFonts w:cs="David"/>
        </w:rPr>
        <w:footnoteRef/>
      </w:r>
      <w:r w:rsidRPr="00E85EF9">
        <w:rPr>
          <w:rFonts w:cs="David"/>
          <w:rtl/>
        </w:rPr>
        <w:t xml:space="preserve"> </w:t>
      </w:r>
      <w:r w:rsidRPr="00E85EF9">
        <w:rPr>
          <w:rFonts w:cs="David" w:hint="cs"/>
          <w:rtl/>
        </w:rPr>
        <w:t xml:space="preserve">ראו </w:t>
      </w:r>
      <w:r>
        <w:rPr>
          <w:rFonts w:cs="David" w:hint="cs"/>
          <w:rtl/>
        </w:rPr>
        <w:t xml:space="preserve">מחקריה של </w:t>
      </w:r>
      <w:r w:rsidRPr="00E85EF9">
        <w:rPr>
          <w:rFonts w:cs="David" w:hint="cs"/>
          <w:rtl/>
        </w:rPr>
        <w:t>מקינטוש</w:t>
      </w:r>
      <w:r>
        <w:rPr>
          <w:rFonts w:cs="David" w:hint="cs"/>
          <w:rtl/>
        </w:rPr>
        <w:t xml:space="preserve"> בשנים 2010-2016.</w:t>
      </w:r>
    </w:p>
  </w:footnote>
  <w:footnote w:id="8">
    <w:p w:rsidR="00896EDF" w:rsidRDefault="00896EDF" w:rsidP="00943C2E">
      <w:pPr>
        <w:pStyle w:val="a4"/>
        <w:jc w:val="both"/>
        <w:rPr>
          <w:rFonts w:cs="David"/>
          <w:rtl/>
        </w:rPr>
      </w:pPr>
      <w:r w:rsidRPr="00E85EF9">
        <w:rPr>
          <w:rStyle w:val="a6"/>
          <w:rFonts w:cs="David"/>
        </w:rPr>
        <w:footnoteRef/>
      </w:r>
      <w:r w:rsidRPr="00E85EF9">
        <w:rPr>
          <w:rFonts w:cs="David"/>
          <w:rtl/>
        </w:rPr>
        <w:t xml:space="preserve"> </w:t>
      </w:r>
      <w:r w:rsidRPr="00E85EF9">
        <w:rPr>
          <w:rFonts w:cs="David" w:hint="cs"/>
          <w:rtl/>
        </w:rPr>
        <w:t xml:space="preserve">א.שגיא-שוורץ, ד.שניט "חזקת הגיל הרך </w:t>
      </w:r>
      <w:r w:rsidRPr="00E85EF9">
        <w:rPr>
          <w:rFonts w:cs="David"/>
          <w:rtl/>
        </w:rPr>
        <w:t>–</w:t>
      </w:r>
      <w:r w:rsidRPr="00E85EF9">
        <w:rPr>
          <w:rFonts w:cs="David" w:hint="cs"/>
          <w:rtl/>
        </w:rPr>
        <w:t xml:space="preserve"> פרשנות בית המשפט העליון סותרת את טובת הילד"</w:t>
      </w:r>
      <w:r w:rsidRPr="00E85EF9">
        <w:rPr>
          <w:rFonts w:cs="David" w:hint="cs"/>
          <w:b/>
          <w:bCs/>
          <w:rtl/>
        </w:rPr>
        <w:t xml:space="preserve"> פסיכואקטואליה</w:t>
      </w:r>
      <w:r w:rsidRPr="00E85EF9">
        <w:rPr>
          <w:rFonts w:cs="David" w:hint="cs"/>
          <w:rtl/>
        </w:rPr>
        <w:t xml:space="preserve"> (2014)</w:t>
      </w:r>
      <w:r>
        <w:rPr>
          <w:rFonts w:cs="David" w:hint="cs"/>
          <w:rtl/>
        </w:rPr>
        <w:t>. מאמר זה סוקר, בין היתר, את הביקורת על המחקר של מקינטוש.</w:t>
      </w:r>
    </w:p>
    <w:p w:rsidR="00896EDF" w:rsidRPr="00E85EF9" w:rsidRDefault="00896EDF" w:rsidP="00896EDF">
      <w:pPr>
        <w:pStyle w:val="a4"/>
        <w:jc w:val="both"/>
        <w:rPr>
          <w:rFonts w:cs="David"/>
        </w:rPr>
      </w:pPr>
      <w:r w:rsidRPr="00E85EF9">
        <w:rPr>
          <w:rFonts w:cs="David" w:hint="cs"/>
          <w:rtl/>
        </w:rPr>
        <w:t>פרופ' ד.הקר ופרופ' ר.הלפרין</w:t>
      </w:r>
      <w:r w:rsidRPr="00E85EF9">
        <w:rPr>
          <w:rFonts w:cs="David"/>
          <w:rtl/>
        </w:rPr>
        <w:t>–</w:t>
      </w:r>
      <w:r w:rsidRPr="00E85EF9">
        <w:rPr>
          <w:rFonts w:cs="David" w:hint="cs"/>
          <w:rtl/>
        </w:rPr>
        <w:t xml:space="preserve">קדרי "כללי ההכרעה בסכסוכי משמורת </w:t>
      </w:r>
      <w:r w:rsidRPr="00E85EF9">
        <w:rPr>
          <w:rFonts w:cs="David"/>
          <w:rtl/>
        </w:rPr>
        <w:t>–</w:t>
      </w:r>
      <w:r w:rsidRPr="00E85EF9">
        <w:rPr>
          <w:rFonts w:cs="David" w:hint="cs"/>
          <w:rtl/>
        </w:rPr>
        <w:t xml:space="preserve"> על סכנותיה של אשליית הדמיון ההורי במציאות ממוגדרת " </w:t>
      </w:r>
      <w:r w:rsidRPr="00E85EF9">
        <w:rPr>
          <w:rFonts w:cs="David" w:hint="cs"/>
          <w:b/>
          <w:bCs/>
          <w:rtl/>
        </w:rPr>
        <w:t>משפט וממשל טו</w:t>
      </w:r>
      <w:r w:rsidRPr="00E85EF9">
        <w:rPr>
          <w:rFonts w:cs="David" w:hint="cs"/>
          <w:rtl/>
        </w:rPr>
        <w:t xml:space="preserve"> (2013). במאמר פרופ' הקר ופרופ' הלפרין-קדרי </w:t>
      </w:r>
      <w:r>
        <w:rPr>
          <w:rFonts w:cs="David" w:hint="cs"/>
          <w:rtl/>
        </w:rPr>
        <w:t xml:space="preserve">מתחו ביקורת על ההסתמכות על מחקר העל של באוזרמן עליו הסתמכו בוועדת שניט. לטענתן </w:t>
      </w:r>
      <w:r w:rsidRPr="00E85EF9">
        <w:rPr>
          <w:rFonts w:cs="David" w:hint="cs"/>
          <w:rtl/>
        </w:rPr>
        <w:t>מומחים שונים הצביעו על פגמים מתודולוגיים חמורים של הסקירה ולכן היא אינה יכולה להוות בסיס מדעי איתן לטענות על כלל ההכרעה הראוי לעניין משמורת. המחקר האמפירי על רווחתם הנפשית של ילדים החיים בהסדר של משמורת פיסית משותפת הוא דל. המחברות מציגות את ממצאי המחקר באוסטרליה (שם הרפורמה בנושא מלווה במחקר מטעם הממשלה), המחקר שצוין לעיל, לפיו לעניין ילדים בני שנתיים ושלוש החיים במשמורת פיסית משותפת גילו קשיים ובעיות התנהגות. ואילו לעניין ילדים בני ארבע וחמש, גיל בו הילדים כבר מפתחים תפיסה של זמן, מעברי הלינה בין ההורים אינם פוגעים ברווחתם הנפשית של הילדים.</w:t>
      </w:r>
    </w:p>
  </w:footnote>
  <w:footnote w:id="9">
    <w:p w:rsidR="00896EDF" w:rsidRPr="00E85EF9" w:rsidRDefault="00896EDF" w:rsidP="00896EDF">
      <w:pPr>
        <w:pStyle w:val="a4"/>
        <w:rPr>
          <w:rFonts w:cs="David"/>
          <w:rtl/>
        </w:rPr>
      </w:pPr>
      <w:r w:rsidRPr="00E85EF9">
        <w:rPr>
          <w:rStyle w:val="a6"/>
          <w:rFonts w:cs="David"/>
        </w:rPr>
        <w:footnoteRef/>
      </w:r>
      <w:r w:rsidRPr="00E85EF9">
        <w:rPr>
          <w:rFonts w:cs="David"/>
          <w:rtl/>
        </w:rPr>
        <w:t xml:space="preserve"> </w:t>
      </w:r>
      <w:r w:rsidRPr="00E85EF9">
        <w:rPr>
          <w:rFonts w:cs="David" w:hint="cs"/>
          <w:rtl/>
        </w:rPr>
        <w:t xml:space="preserve">מרכז המחקר והמידע של הכנסת: </w:t>
      </w:r>
      <w:r w:rsidRPr="00E85EF9">
        <w:rPr>
          <w:rFonts w:cs="David" w:hint="cs"/>
          <w:b/>
          <w:bCs/>
          <w:rtl/>
        </w:rPr>
        <w:t>חזקת הגיל הרך בישראל ובעולם</w:t>
      </w:r>
      <w:r w:rsidRPr="00E85EF9">
        <w:rPr>
          <w:rFonts w:cs="David" w:hint="cs"/>
          <w:rtl/>
        </w:rPr>
        <w:t>, כתב: נתן פרלמן, מאי 2012.</w:t>
      </w:r>
    </w:p>
  </w:footnote>
  <w:footnote w:id="10">
    <w:p w:rsidR="00896EDF" w:rsidRPr="00E85EF9" w:rsidRDefault="00896EDF" w:rsidP="00896EDF">
      <w:pPr>
        <w:pStyle w:val="a4"/>
        <w:rPr>
          <w:rFonts w:cs="David"/>
          <w:rtl/>
        </w:rPr>
      </w:pPr>
      <w:r w:rsidRPr="00E85EF9">
        <w:rPr>
          <w:rStyle w:val="a6"/>
          <w:rFonts w:cs="David"/>
        </w:rPr>
        <w:footnoteRef/>
      </w:r>
      <w:r w:rsidRPr="00E85EF9">
        <w:rPr>
          <w:rFonts w:cs="David"/>
          <w:rtl/>
        </w:rPr>
        <w:t xml:space="preserve"> </w:t>
      </w:r>
      <w:r w:rsidRPr="00E85EF9">
        <w:rPr>
          <w:rFonts w:cs="David" w:hint="cs"/>
          <w:rtl/>
        </w:rPr>
        <w:t xml:space="preserve">מרכז המחקר והמידע של הכנסת: </w:t>
      </w:r>
      <w:r w:rsidRPr="00E85EF9">
        <w:rPr>
          <w:rFonts w:cs="David" w:hint="cs"/>
          <w:b/>
          <w:bCs/>
          <w:rtl/>
        </w:rPr>
        <w:t>מעורבות המדינה בגיבוש הסדרי הורות בעת גירושים ובמימושם- סקירה משווה</w:t>
      </w:r>
      <w:r w:rsidRPr="00E85EF9">
        <w:rPr>
          <w:rFonts w:cs="David" w:hint="cs"/>
          <w:rtl/>
        </w:rPr>
        <w:t>, כתבה: נטע משה, יולי 2013.</w:t>
      </w:r>
    </w:p>
  </w:footnote>
  <w:footnote w:id="11">
    <w:p w:rsidR="00896EDF" w:rsidRPr="00E85EF9" w:rsidRDefault="00896EDF" w:rsidP="00896EDF">
      <w:pPr>
        <w:pStyle w:val="a3"/>
        <w:spacing w:before="120" w:after="0" w:line="360" w:lineRule="auto"/>
        <w:ind w:left="360"/>
        <w:jc w:val="both"/>
        <w:rPr>
          <w:rFonts w:cs="David"/>
          <w:sz w:val="20"/>
          <w:szCs w:val="20"/>
          <w:rtl/>
        </w:rPr>
      </w:pPr>
      <w:r w:rsidRPr="00E85EF9">
        <w:rPr>
          <w:rStyle w:val="a6"/>
          <w:rFonts w:cs="David"/>
        </w:rPr>
        <w:footnoteRef/>
      </w:r>
      <w:r w:rsidRPr="00E85EF9">
        <w:rPr>
          <w:rFonts w:cs="David"/>
          <w:rtl/>
        </w:rPr>
        <w:t xml:space="preserve"> </w:t>
      </w:r>
      <w:r w:rsidRPr="00E85EF9">
        <w:rPr>
          <w:rFonts w:cs="David" w:hint="cs"/>
          <w:sz w:val="20"/>
          <w:szCs w:val="20"/>
          <w:rtl/>
        </w:rPr>
        <w:t xml:space="preserve">ראו לעניין זה גם יואב מזא"ה "משמורת ילדים: מושג מהותי או כותרת חלולה? </w:t>
      </w:r>
      <w:r w:rsidRPr="00E85EF9">
        <w:rPr>
          <w:rFonts w:cs="David" w:hint="cs"/>
          <w:b/>
          <w:bCs/>
          <w:sz w:val="20"/>
          <w:szCs w:val="20"/>
          <w:rtl/>
        </w:rPr>
        <w:t>מחקרי משפט כח</w:t>
      </w:r>
      <w:r w:rsidRPr="00E85EF9">
        <w:rPr>
          <w:rFonts w:cs="David" w:hint="cs"/>
          <w:sz w:val="20"/>
          <w:szCs w:val="20"/>
          <w:rtl/>
        </w:rPr>
        <w:t xml:space="preserve"> (התשע"ג 2012). ד"ר מזא"ה טוען במאמרו כי מושג המשמורת הוא שיוצר היררכיה מיותרת בין ההורים, משפיע על האופן בו תופסים הילדים את ההורה הלא משמורן כדמות שולית בחייהם. עוד הוא טוען כי המושג משמורת מעודד תחרותיות בין ההורים על זהות ההורה בעל הסטטוס המועדף, גורם למאבקים רבים יותר אשר לפי מחקרים רבים פוגע בטובת הילדים ויש לשנותו.</w:t>
      </w:r>
    </w:p>
    <w:p w:rsidR="00896EDF" w:rsidRPr="00E85EF9" w:rsidRDefault="00896EDF" w:rsidP="00896EDF">
      <w:pPr>
        <w:pStyle w:val="a3"/>
        <w:spacing w:before="120" w:after="0" w:line="360" w:lineRule="auto"/>
        <w:ind w:left="360"/>
        <w:jc w:val="both"/>
        <w:rPr>
          <w:rFonts w:cs="David"/>
          <w:sz w:val="24"/>
          <w:szCs w:val="24"/>
        </w:rPr>
      </w:pPr>
    </w:p>
    <w:p w:rsidR="00896EDF" w:rsidRPr="00E85EF9" w:rsidRDefault="00896EDF" w:rsidP="00896EDF">
      <w:pPr>
        <w:pStyle w:val="a4"/>
        <w:rPr>
          <w:rFonts w:cs="David"/>
          <w:rtl/>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74827"/>
    <w:multiLevelType w:val="hybridMultilevel"/>
    <w:tmpl w:val="E6C24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750263"/>
    <w:multiLevelType w:val="hybridMultilevel"/>
    <w:tmpl w:val="A5424380"/>
    <w:lvl w:ilvl="0" w:tplc="7E7258E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EDF"/>
    <w:rsid w:val="00024BA4"/>
    <w:rsid w:val="00104F4F"/>
    <w:rsid w:val="002542C1"/>
    <w:rsid w:val="00266407"/>
    <w:rsid w:val="00436ACB"/>
    <w:rsid w:val="00444358"/>
    <w:rsid w:val="00655E0A"/>
    <w:rsid w:val="007C6872"/>
    <w:rsid w:val="007D514E"/>
    <w:rsid w:val="007F2B16"/>
    <w:rsid w:val="00896EDF"/>
    <w:rsid w:val="008F7FE0"/>
    <w:rsid w:val="00943C2E"/>
    <w:rsid w:val="0097515F"/>
    <w:rsid w:val="00A12F8C"/>
    <w:rsid w:val="00A15981"/>
    <w:rsid w:val="00AC3903"/>
    <w:rsid w:val="00AC3C07"/>
    <w:rsid w:val="00B00BA2"/>
    <w:rsid w:val="00BD0BF0"/>
    <w:rsid w:val="00C41C0A"/>
    <w:rsid w:val="00C43C96"/>
    <w:rsid w:val="00CD5F73"/>
    <w:rsid w:val="00D1767E"/>
    <w:rsid w:val="00D500AC"/>
    <w:rsid w:val="00D6621F"/>
    <w:rsid w:val="00DF1AF1"/>
    <w:rsid w:val="00EE3780"/>
    <w:rsid w:val="00EE7155"/>
    <w:rsid w:val="00FB3BB6"/>
    <w:rsid w:val="00FC7C6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15F0AE-9A42-4AA0-85D7-0389B4171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6ED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basedOn w:val="a0"/>
    <w:rsid w:val="00896EDF"/>
    <w:rPr>
      <w:rFonts w:ascii="Times New Roman" w:hAnsi="Times New Roman" w:cs="Times New Roman"/>
      <w:sz w:val="26"/>
      <w:szCs w:val="26"/>
    </w:rPr>
  </w:style>
  <w:style w:type="paragraph" w:styleId="a3">
    <w:name w:val="List Paragraph"/>
    <w:basedOn w:val="a"/>
    <w:uiPriority w:val="34"/>
    <w:qFormat/>
    <w:rsid w:val="00896EDF"/>
    <w:pPr>
      <w:ind w:left="720"/>
      <w:contextualSpacing/>
    </w:pPr>
  </w:style>
  <w:style w:type="paragraph" w:styleId="a4">
    <w:name w:val="footnote text"/>
    <w:basedOn w:val="a"/>
    <w:link w:val="a5"/>
    <w:unhideWhenUsed/>
    <w:rsid w:val="00896EDF"/>
    <w:pPr>
      <w:spacing w:after="0" w:line="240" w:lineRule="auto"/>
    </w:pPr>
    <w:rPr>
      <w:sz w:val="20"/>
      <w:szCs w:val="20"/>
    </w:rPr>
  </w:style>
  <w:style w:type="character" w:customStyle="1" w:styleId="a5">
    <w:name w:val="טקסט הערת שוליים תו"/>
    <w:basedOn w:val="a0"/>
    <w:link w:val="a4"/>
    <w:rsid w:val="00896EDF"/>
    <w:rPr>
      <w:sz w:val="20"/>
      <w:szCs w:val="20"/>
    </w:rPr>
  </w:style>
  <w:style w:type="character" w:styleId="a6">
    <w:name w:val="footnote reference"/>
    <w:basedOn w:val="a0"/>
    <w:uiPriority w:val="99"/>
    <w:unhideWhenUsed/>
    <w:rsid w:val="00896EDF"/>
    <w:rPr>
      <w:vertAlign w:val="superscript"/>
    </w:rPr>
  </w:style>
  <w:style w:type="paragraph" w:customStyle="1" w:styleId="P00">
    <w:name w:val="P00"/>
    <w:rsid w:val="00896ED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default"/>
    <w:rsid w:val="00896EDF"/>
    <w:rPr>
      <w:rFonts w:ascii="Times New Roman" w:hAnsi="Times New Roman" w:cs="Times New Roman"/>
      <w:sz w:val="32"/>
      <w:szCs w:val="32"/>
    </w:rPr>
  </w:style>
  <w:style w:type="character" w:styleId="Hyperlink">
    <w:name w:val="Hyperlink"/>
    <w:basedOn w:val="a0"/>
    <w:rsid w:val="00896EDF"/>
    <w:rPr>
      <w:color w:val="0000FF"/>
      <w:u w:val="single"/>
    </w:rPr>
  </w:style>
  <w:style w:type="table" w:styleId="a7">
    <w:name w:val="Table Grid"/>
    <w:basedOn w:val="a1"/>
    <w:uiPriority w:val="39"/>
    <w:rsid w:val="00896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896EDF"/>
    <w:pPr>
      <w:tabs>
        <w:tab w:val="center" w:pos="4153"/>
        <w:tab w:val="right" w:pos="8306"/>
      </w:tabs>
      <w:spacing w:after="0" w:line="240" w:lineRule="auto"/>
    </w:pPr>
  </w:style>
  <w:style w:type="character" w:customStyle="1" w:styleId="a9">
    <w:name w:val="כותרת תחתונה תו"/>
    <w:basedOn w:val="a0"/>
    <w:link w:val="a8"/>
    <w:uiPriority w:val="99"/>
    <w:rsid w:val="00896E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4/LAW-1993.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nevo.co.il/law/70325" TargetMode="External"/><Relationship Id="rId4" Type="http://schemas.openxmlformats.org/officeDocument/2006/relationships/settings" Target="settings.xml"/><Relationship Id="rId9" Type="http://schemas.openxmlformats.org/officeDocument/2006/relationships/hyperlink" Target="http://www.nevo.co.il/Law_word/law16/KNESSET-63.pdf" TargetMode="Externa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187BE3-0AB7-4690-97F7-397DA01D8354}">
  <ds:schemaRefs>
    <ds:schemaRef ds:uri="http://schemas.openxmlformats.org/officeDocument/2006/bibliography"/>
  </ds:schemaRefs>
</ds:datastoreItem>
</file>

<file path=customXml/itemProps2.xml><?xml version="1.0" encoding="utf-8"?>
<ds:datastoreItem xmlns:ds="http://schemas.openxmlformats.org/officeDocument/2006/customXml" ds:itemID="{FEA02ACF-7E0F-4510-AC0B-5E42F41B5741}"/>
</file>

<file path=customXml/itemProps3.xml><?xml version="1.0" encoding="utf-8"?>
<ds:datastoreItem xmlns:ds="http://schemas.openxmlformats.org/officeDocument/2006/customXml" ds:itemID="{11150EFF-57B6-4476-B7CB-EF53EEEAAEDC}"/>
</file>

<file path=customXml/itemProps4.xml><?xml version="1.0" encoding="utf-8"?>
<ds:datastoreItem xmlns:ds="http://schemas.openxmlformats.org/officeDocument/2006/customXml" ds:itemID="{13F86458-0A05-4668-81C7-DABD440C337B}"/>
</file>

<file path=docProps/app.xml><?xml version="1.0" encoding="utf-8"?>
<Properties xmlns="http://schemas.openxmlformats.org/officeDocument/2006/extended-properties" xmlns:vt="http://schemas.openxmlformats.org/officeDocument/2006/docPropsVTypes">
  <Template>Normal</Template>
  <TotalTime>1</TotalTime>
  <Pages>12</Pages>
  <Words>4519</Words>
  <Characters>22599</Characters>
  <Application>Microsoft Office Word</Application>
  <DocSecurity>0</DocSecurity>
  <Lines>188</Lines>
  <Paragraphs>54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27064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רבקה וידר</cp:lastModifiedBy>
  <cp:revision>2</cp:revision>
  <cp:lastPrinted>2017-07-18T14:51:00Z</cp:lastPrinted>
  <dcterms:created xsi:type="dcterms:W3CDTF">2017-07-19T04:18:00Z</dcterms:created>
  <dcterms:modified xsi:type="dcterms:W3CDTF">2017-07-19T04:18:00Z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2019918</vt:r8>
  </property>
</Properties>
</file>