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9EE" w:rsidRPr="00666E2E" w:rsidRDefault="004439EE" w:rsidP="00CA1CDF">
      <w:pPr>
        <w:spacing w:before="0" w:line="240" w:lineRule="auto"/>
        <w:jc w:val="right"/>
        <w:rPr>
          <w:rFonts w:cs="David"/>
          <w:sz w:val="20"/>
          <w:szCs w:val="20"/>
          <w:rtl/>
        </w:rPr>
      </w:pPr>
      <w:bookmarkStart w:id="0" w:name="_GoBack"/>
      <w:bookmarkEnd w:id="0"/>
      <w:r w:rsidRPr="00666E2E">
        <w:rPr>
          <w:rFonts w:cs="David" w:hint="cs"/>
          <w:sz w:val="20"/>
          <w:szCs w:val="20"/>
          <w:rtl/>
        </w:rPr>
        <w:t>מספר פנימי:</w:t>
      </w:r>
      <w:bookmarkStart w:id="1" w:name="LGSItemId"/>
      <w:r w:rsidRPr="00666E2E">
        <w:rPr>
          <w:rFonts w:cs="David" w:hint="cs"/>
          <w:sz w:val="20"/>
          <w:szCs w:val="20"/>
          <w:rtl/>
        </w:rPr>
        <w:t xml:space="preserve"> 2007474</w:t>
      </w:r>
      <w:bookmarkEnd w:id="1"/>
      <w:r w:rsidRPr="00666E2E">
        <w:rPr>
          <w:rFonts w:cs="David" w:hint="cs"/>
          <w:sz w:val="20"/>
          <w:szCs w:val="20"/>
          <w:rtl/>
        </w:rPr>
        <w:t>-</w:t>
      </w:r>
      <w:r w:rsidR="00CA1CDF" w:rsidRPr="00666E2E">
        <w:rPr>
          <w:rFonts w:cs="David" w:hint="cs"/>
          <w:sz w:val="20"/>
          <w:szCs w:val="20"/>
          <w:rtl/>
        </w:rPr>
        <w:t>4922</w:t>
      </w:r>
    </w:p>
    <w:p w:rsidR="004439EE" w:rsidRPr="00666E2E" w:rsidRDefault="004439EE" w:rsidP="004439EE">
      <w:pPr>
        <w:spacing w:before="0" w:line="240" w:lineRule="auto"/>
        <w:jc w:val="right"/>
        <w:rPr>
          <w:rFonts w:cs="David"/>
          <w:b/>
          <w:bCs/>
          <w:sz w:val="28"/>
          <w:szCs w:val="28"/>
          <w:rtl/>
        </w:rPr>
      </w:pPr>
      <w:r w:rsidRPr="00666E2E">
        <w:rPr>
          <w:rFonts w:cs="David" w:hint="cs"/>
          <w:b/>
          <w:bCs/>
          <w:sz w:val="28"/>
          <w:szCs w:val="28"/>
          <w:rtl/>
        </w:rPr>
        <w:t xml:space="preserve">נספח מס' </w:t>
      </w:r>
      <w:bookmarkStart w:id="2" w:name="LGSNum"/>
      <w:r w:rsidRPr="00666E2E">
        <w:rPr>
          <w:rFonts w:cs="David" w:hint="cs"/>
          <w:b/>
          <w:bCs/>
          <w:sz w:val="28"/>
          <w:szCs w:val="28"/>
          <w:rtl/>
        </w:rPr>
        <w:t>כ-726</w:t>
      </w:r>
      <w:bookmarkEnd w:id="2"/>
      <w:r w:rsidRPr="00666E2E">
        <w:rPr>
          <w:rFonts w:cs="David" w:hint="cs"/>
          <w:b/>
          <w:bCs/>
          <w:sz w:val="28"/>
          <w:szCs w:val="28"/>
          <w:rtl/>
        </w:rPr>
        <w:t>/א'</w:t>
      </w:r>
    </w:p>
    <w:p w:rsidR="00CA1CDF" w:rsidRPr="00666E2E" w:rsidRDefault="004439EE" w:rsidP="004439EE">
      <w:pPr>
        <w:spacing w:before="0" w:line="240" w:lineRule="auto"/>
        <w:jc w:val="right"/>
        <w:rPr>
          <w:rFonts w:cs="David"/>
          <w:b/>
          <w:bCs/>
          <w:sz w:val="28"/>
          <w:szCs w:val="28"/>
          <w:rtl/>
        </w:rPr>
      </w:pPr>
      <w:bookmarkStart w:id="3" w:name="LGSPrivateNum"/>
      <w:r w:rsidRPr="00666E2E">
        <w:rPr>
          <w:rFonts w:cs="David" w:hint="cs"/>
          <w:b/>
          <w:bCs/>
          <w:sz w:val="28"/>
          <w:szCs w:val="28"/>
          <w:rtl/>
        </w:rPr>
        <w:t>(פ/3502/20</w:t>
      </w:r>
      <w:r w:rsidR="00CA1CDF" w:rsidRPr="00666E2E">
        <w:rPr>
          <w:rFonts w:cs="David" w:hint="cs"/>
          <w:b/>
          <w:bCs/>
          <w:sz w:val="28"/>
          <w:szCs w:val="28"/>
          <w:rtl/>
        </w:rPr>
        <w:t xml:space="preserve">; פ/3510/20; </w:t>
      </w:r>
    </w:p>
    <w:p w:rsidR="00CA1CDF" w:rsidRPr="00666E2E" w:rsidRDefault="00CA1CDF" w:rsidP="004439EE">
      <w:pPr>
        <w:spacing w:before="0" w:line="240" w:lineRule="auto"/>
        <w:jc w:val="right"/>
        <w:rPr>
          <w:rFonts w:cs="David"/>
          <w:b/>
          <w:bCs/>
          <w:sz w:val="28"/>
          <w:szCs w:val="28"/>
          <w:rtl/>
        </w:rPr>
      </w:pPr>
      <w:r w:rsidRPr="00666E2E">
        <w:rPr>
          <w:rFonts w:cs="David" w:hint="cs"/>
          <w:b/>
          <w:bCs/>
          <w:sz w:val="28"/>
          <w:szCs w:val="28"/>
          <w:rtl/>
        </w:rPr>
        <w:t xml:space="preserve">פ/4276/20; פ/4075/20; </w:t>
      </w:r>
    </w:p>
    <w:p w:rsidR="004439EE" w:rsidRPr="00666E2E" w:rsidRDefault="00CA1CDF" w:rsidP="004439EE">
      <w:pPr>
        <w:spacing w:before="0" w:line="240" w:lineRule="auto"/>
        <w:jc w:val="right"/>
        <w:rPr>
          <w:rFonts w:cs="David"/>
          <w:b/>
          <w:bCs/>
          <w:sz w:val="28"/>
          <w:szCs w:val="28"/>
          <w:rtl/>
        </w:rPr>
      </w:pPr>
      <w:r w:rsidRPr="00666E2E">
        <w:rPr>
          <w:rFonts w:cs="David" w:hint="cs"/>
          <w:b/>
          <w:bCs/>
          <w:sz w:val="28"/>
          <w:szCs w:val="28"/>
          <w:rtl/>
        </w:rPr>
        <w:t>פ/590/20</w:t>
      </w:r>
      <w:r w:rsidR="004439EE" w:rsidRPr="00666E2E">
        <w:rPr>
          <w:rFonts w:cs="David" w:hint="cs"/>
          <w:b/>
          <w:bCs/>
          <w:sz w:val="28"/>
          <w:szCs w:val="28"/>
          <w:rtl/>
        </w:rPr>
        <w:t>)</w:t>
      </w:r>
      <w:bookmarkEnd w:id="3"/>
    </w:p>
    <w:p w:rsidR="00974243" w:rsidRPr="00666E2E" w:rsidRDefault="00974243" w:rsidP="004439EE">
      <w:pPr>
        <w:pStyle w:val="HeadHatzaotHok"/>
        <w:spacing w:before="0"/>
        <w:rPr>
          <w:rtl/>
        </w:rPr>
      </w:pPr>
      <w:bookmarkStart w:id="4" w:name="LGSName"/>
    </w:p>
    <w:p w:rsidR="004439EE" w:rsidRPr="00666E2E" w:rsidRDefault="004439EE" w:rsidP="004439EE">
      <w:pPr>
        <w:pStyle w:val="HeadHatzaotHok"/>
        <w:spacing w:before="0"/>
        <w:rPr>
          <w:rtl/>
        </w:rPr>
      </w:pPr>
      <w:r w:rsidRPr="00666E2E">
        <w:rPr>
          <w:rFonts w:hint="cs"/>
          <w:rtl/>
        </w:rPr>
        <w:t>חוק לפיקוח על הפעלת צהרונים, התשע"ז</w:t>
      </w:r>
      <w:r w:rsidRPr="00666E2E">
        <w:rPr>
          <w:rFonts w:hint="eastAsia"/>
          <w:rtl/>
        </w:rPr>
        <w:t>–</w:t>
      </w:r>
      <w:r w:rsidRPr="00666E2E">
        <w:rPr>
          <w:rFonts w:hint="cs"/>
          <w:rtl/>
        </w:rPr>
        <w:t>2017</w:t>
      </w:r>
      <w:bookmarkEnd w:id="4"/>
    </w:p>
    <w:p w:rsidR="004439EE" w:rsidRPr="00666E2E" w:rsidRDefault="004439EE" w:rsidP="004439EE">
      <w:pPr>
        <w:pStyle w:val="Noparagraphstyle"/>
        <w:ind w:right="-28"/>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5896"/>
      </w:tblGrid>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Head"/>
              <w:rPr>
                <w:rtl/>
              </w:rPr>
            </w:pPr>
            <w:r w:rsidRPr="00666E2E">
              <w:rPr>
                <w:rtl/>
              </w:rPr>
              <w:t>פרק א': הגדרות</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r w:rsidRPr="00666E2E">
              <w:rPr>
                <w:rtl/>
              </w:rPr>
              <w:t>הגדרות</w:t>
            </w: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r w:rsidRPr="00666E2E">
              <w:rPr>
                <w:rtl/>
              </w:rPr>
              <w:t>1.</w:t>
            </w: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
              <w:rPr>
                <w:rtl/>
              </w:rPr>
            </w:pPr>
            <w:r w:rsidRPr="00666E2E">
              <w:rPr>
                <w:rtl/>
              </w:rPr>
              <w:t>בחוק זה –</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Outdent"/>
              <w:rPr>
                <w:rtl/>
              </w:rPr>
            </w:pPr>
            <w:r w:rsidRPr="00666E2E">
              <w:rPr>
                <w:rtl/>
              </w:rPr>
              <w:t>"חוק לימוד חובה" – חוק לימוד חובה, התש"ט–1949‏</w:t>
            </w:r>
            <w:r w:rsidRPr="00666E2E">
              <w:rPr>
                <w:rStyle w:val="a6"/>
                <w:rtl/>
              </w:rPr>
              <w:footnoteReference w:id="2"/>
            </w:r>
            <w:r w:rsidRPr="00666E2E">
              <w:rPr>
                <w:rtl/>
              </w:rPr>
              <w:t>;</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Outdent"/>
              <w:rPr>
                <w:rtl/>
              </w:rPr>
            </w:pPr>
            <w:r w:rsidRPr="00666E2E">
              <w:rPr>
                <w:rtl/>
              </w:rPr>
              <w:t>"חוק לפיקוח על איכות המזון" – חוק לפיקוח על איכות המזון ולתזונה נכונה בצהרונים, התשע"ז–2016‏</w:t>
            </w:r>
            <w:r w:rsidRPr="00666E2E">
              <w:rPr>
                <w:rStyle w:val="a6"/>
                <w:rtl/>
              </w:rPr>
              <w:footnoteReference w:id="3"/>
            </w:r>
            <w:r w:rsidRPr="00666E2E">
              <w:rPr>
                <w:rtl/>
              </w:rPr>
              <w:t>;</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Outdent"/>
              <w:rPr>
                <w:rtl/>
              </w:rPr>
            </w:pPr>
            <w:r w:rsidRPr="00666E2E">
              <w:rPr>
                <w:rtl/>
              </w:rPr>
              <w:t>"ילד" ו"מוסד חינוך" – כהגדרתם בחוק לימוד חובה;</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Outdent"/>
              <w:rPr>
                <w:rtl/>
              </w:rPr>
            </w:pPr>
            <w:r w:rsidRPr="00666E2E">
              <w:rPr>
                <w:rtl/>
              </w:rPr>
              <w:t>"הממונה" – מי שהשר מינה לפי סעיף 2;</w:t>
            </w:r>
          </w:p>
        </w:tc>
      </w:tr>
      <w:tr w:rsidR="00F05C2B" w:rsidRPr="00666E2E" w:rsidTr="007C5FCC">
        <w:trPr>
          <w:cantSplit/>
        </w:trPr>
        <w:tc>
          <w:tcPr>
            <w:tcW w:w="1870" w:type="dxa"/>
            <w:shd w:val="clear" w:color="auto" w:fill="auto"/>
            <w:tcMar>
              <w:top w:w="91" w:type="dxa"/>
              <w:left w:w="0" w:type="dxa"/>
              <w:bottom w:w="91" w:type="dxa"/>
              <w:right w:w="0" w:type="dxa"/>
            </w:tcMar>
          </w:tcPr>
          <w:p w:rsidR="00F05C2B" w:rsidRPr="00666E2E" w:rsidRDefault="00F05C2B" w:rsidP="00201A0B">
            <w:pPr>
              <w:pStyle w:val="TableSideHeading"/>
              <w:rPr>
                <w:rtl/>
              </w:rPr>
            </w:pPr>
          </w:p>
        </w:tc>
        <w:tc>
          <w:tcPr>
            <w:tcW w:w="624" w:type="dxa"/>
            <w:shd w:val="clear" w:color="auto" w:fill="auto"/>
            <w:tcMar>
              <w:top w:w="91" w:type="dxa"/>
              <w:left w:w="0" w:type="dxa"/>
              <w:bottom w:w="91" w:type="dxa"/>
              <w:right w:w="0" w:type="dxa"/>
            </w:tcMar>
          </w:tcPr>
          <w:p w:rsidR="00F05C2B" w:rsidRPr="00666E2E" w:rsidRDefault="00F05C2B" w:rsidP="00201A0B">
            <w:pPr>
              <w:pStyle w:val="TableText"/>
              <w:rPr>
                <w:rtl/>
              </w:rPr>
            </w:pPr>
          </w:p>
        </w:tc>
        <w:tc>
          <w:tcPr>
            <w:tcW w:w="7144" w:type="dxa"/>
            <w:gridSpan w:val="3"/>
            <w:shd w:val="clear" w:color="auto" w:fill="auto"/>
            <w:tcMar>
              <w:top w:w="91" w:type="dxa"/>
              <w:left w:w="0" w:type="dxa"/>
              <w:bottom w:w="91" w:type="dxa"/>
              <w:right w:w="0" w:type="dxa"/>
            </w:tcMar>
          </w:tcPr>
          <w:p w:rsidR="00F05C2B" w:rsidRPr="00666E2E" w:rsidRDefault="00F05C2B" w:rsidP="000F543F">
            <w:pPr>
              <w:pStyle w:val="TableBlockOutdent"/>
              <w:rPr>
                <w:rtl/>
              </w:rPr>
            </w:pPr>
            <w:r w:rsidRPr="00666E2E">
              <w:rPr>
                <w:rtl/>
              </w:rPr>
              <w:t>"מפעיל צהרון" – בין בעצמו ובין באמצעות מי מטעמו, וכן מנהל צהרון או בעלים של צהרון;</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811DB1" w:rsidRPr="00666E2E" w:rsidRDefault="00811DB1" w:rsidP="000F543F">
            <w:pPr>
              <w:pStyle w:val="TableBlockOutdent"/>
              <w:rPr>
                <w:rtl/>
              </w:rPr>
            </w:pPr>
            <w:r w:rsidRPr="00666E2E">
              <w:rPr>
                <w:rtl/>
              </w:rPr>
              <w:t>"מרכז קהילתי" – מבנה ציבור המיועד או משמש דרך כלל לקיום פעילות קהילתית או חברתית;</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szCs w:val="20"/>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CB1AFF" w:rsidP="000F543F">
            <w:pPr>
              <w:pStyle w:val="TableBlockOutdent"/>
              <w:rPr>
                <w:rtl/>
              </w:rPr>
            </w:pPr>
            <w:r w:rsidRPr="00666E2E">
              <w:rPr>
                <w:rtl/>
              </w:rPr>
              <w:t>"צהרון" – מסגרת חינוכית בלתי</w:t>
            </w:r>
            <w:r w:rsidRPr="00666E2E">
              <w:rPr>
                <w:rFonts w:hint="cs"/>
                <w:rtl/>
              </w:rPr>
              <w:t>-</w:t>
            </w:r>
            <w:r w:rsidRPr="00666E2E">
              <w:rPr>
                <w:rtl/>
              </w:rPr>
              <w:t>פורמלית לילדים עד כיתה ג', המשמשת לשהות יומית של ילדים כאמור חמישה ימים בשבוע ופועלת לאחר שעות הלימודים או בתקופות של חופשות לימודים במהלך שנת הלימודים, ומתקיים בה אחד אלה:</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6520" w:type="dxa"/>
            <w:gridSpan w:val="2"/>
            <w:shd w:val="clear" w:color="auto" w:fill="auto"/>
            <w:tcMar>
              <w:top w:w="91" w:type="dxa"/>
              <w:left w:w="0" w:type="dxa"/>
              <w:bottom w:w="91" w:type="dxa"/>
              <w:right w:w="0" w:type="dxa"/>
            </w:tcMar>
          </w:tcPr>
          <w:p w:rsidR="004439EE" w:rsidRPr="00666E2E" w:rsidRDefault="004439EE" w:rsidP="000F543F">
            <w:pPr>
              <w:pStyle w:val="TableBlock"/>
              <w:rPr>
                <w:rtl/>
              </w:rPr>
            </w:pPr>
            <w:r w:rsidRPr="00666E2E">
              <w:rPr>
                <w:rtl/>
              </w:rPr>
              <w:t>(1)</w:t>
            </w:r>
            <w:r w:rsidRPr="00666E2E">
              <w:rPr>
                <w:rtl/>
              </w:rPr>
              <w:tab/>
            </w:r>
            <w:r w:rsidR="00CB1AFF" w:rsidRPr="00666E2E">
              <w:rPr>
                <w:rtl/>
              </w:rPr>
              <w:t>היא פועלת בשטח מוסד חינוך</w:t>
            </w:r>
            <w:r w:rsidR="00C11CAC" w:rsidRPr="00666E2E">
              <w:rPr>
                <w:rFonts w:hint="cs"/>
                <w:rtl/>
              </w:rPr>
              <w:t>, למעט מוסד חינוך שהמדינה או רשות מקומית אינן משתתפות בתקציבו, במישרין או בעקיפין</w:t>
            </w:r>
            <w:r w:rsidR="00CB1AFF" w:rsidRPr="00666E2E">
              <w:rPr>
                <w:rtl/>
              </w:rPr>
              <w:t>;</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6520" w:type="dxa"/>
            <w:gridSpan w:val="2"/>
            <w:shd w:val="clear" w:color="auto" w:fill="auto"/>
            <w:tcMar>
              <w:top w:w="91" w:type="dxa"/>
              <w:left w:w="0" w:type="dxa"/>
              <w:bottom w:w="91" w:type="dxa"/>
              <w:right w:w="0" w:type="dxa"/>
            </w:tcMar>
          </w:tcPr>
          <w:p w:rsidR="004439EE" w:rsidRPr="00666E2E" w:rsidRDefault="00CB1AFF" w:rsidP="000F543F">
            <w:pPr>
              <w:pStyle w:val="TableBlock"/>
              <w:rPr>
                <w:rtl/>
              </w:rPr>
            </w:pPr>
            <w:r w:rsidRPr="00666E2E">
              <w:rPr>
                <w:rtl/>
              </w:rPr>
              <w:t>(2)</w:t>
            </w:r>
            <w:r w:rsidRPr="00666E2E">
              <w:rPr>
                <w:rtl/>
              </w:rPr>
              <w:tab/>
              <w:t>היא מופעלת על ידי רשות מקומית או מי מטעמה בשטח מרכז קהילתי;</w:t>
            </w:r>
          </w:p>
        </w:tc>
      </w:tr>
      <w:tr w:rsidR="00C11CAC" w:rsidRPr="00666E2E" w:rsidTr="007C5FCC">
        <w:trPr>
          <w:cantSplit/>
        </w:trPr>
        <w:tc>
          <w:tcPr>
            <w:tcW w:w="1870" w:type="dxa"/>
            <w:shd w:val="clear" w:color="auto" w:fill="auto"/>
            <w:tcMar>
              <w:top w:w="91" w:type="dxa"/>
              <w:left w:w="0" w:type="dxa"/>
              <w:bottom w:w="91" w:type="dxa"/>
              <w:right w:w="0" w:type="dxa"/>
            </w:tcMar>
          </w:tcPr>
          <w:p w:rsidR="00C11CAC" w:rsidRPr="00666E2E" w:rsidRDefault="00C11CAC" w:rsidP="00201A0B">
            <w:pPr>
              <w:pStyle w:val="TableSideHeading"/>
              <w:rPr>
                <w:rtl/>
              </w:rPr>
            </w:pPr>
          </w:p>
        </w:tc>
        <w:tc>
          <w:tcPr>
            <w:tcW w:w="624" w:type="dxa"/>
            <w:shd w:val="clear" w:color="auto" w:fill="auto"/>
            <w:tcMar>
              <w:top w:w="91" w:type="dxa"/>
              <w:left w:w="0" w:type="dxa"/>
              <w:bottom w:w="91" w:type="dxa"/>
              <w:right w:w="0" w:type="dxa"/>
            </w:tcMar>
          </w:tcPr>
          <w:p w:rsidR="00C11CAC" w:rsidRPr="00666E2E" w:rsidRDefault="00C11CAC" w:rsidP="00C11CAC">
            <w:pPr>
              <w:pStyle w:val="TableText"/>
              <w:rPr>
                <w:rtl/>
              </w:rPr>
            </w:pPr>
          </w:p>
        </w:tc>
        <w:tc>
          <w:tcPr>
            <w:tcW w:w="624" w:type="dxa"/>
            <w:shd w:val="clear" w:color="auto" w:fill="auto"/>
            <w:tcMar>
              <w:top w:w="91" w:type="dxa"/>
              <w:left w:w="0" w:type="dxa"/>
              <w:bottom w:w="91" w:type="dxa"/>
              <w:right w:w="0" w:type="dxa"/>
            </w:tcMar>
          </w:tcPr>
          <w:p w:rsidR="00C11CAC" w:rsidRPr="00666E2E" w:rsidRDefault="00C11CAC" w:rsidP="00201A0B">
            <w:pPr>
              <w:pStyle w:val="TableText"/>
              <w:rPr>
                <w:rtl/>
              </w:rPr>
            </w:pPr>
          </w:p>
        </w:tc>
        <w:tc>
          <w:tcPr>
            <w:tcW w:w="6520" w:type="dxa"/>
            <w:gridSpan w:val="2"/>
            <w:shd w:val="clear" w:color="auto" w:fill="auto"/>
            <w:tcMar>
              <w:top w:w="91" w:type="dxa"/>
              <w:left w:w="0" w:type="dxa"/>
              <w:bottom w:w="91" w:type="dxa"/>
              <w:right w:w="0" w:type="dxa"/>
            </w:tcMar>
          </w:tcPr>
          <w:p w:rsidR="00C11CAC" w:rsidRPr="00666E2E" w:rsidRDefault="00C11CAC" w:rsidP="000F543F">
            <w:pPr>
              <w:pStyle w:val="TableBlock"/>
              <w:rPr>
                <w:rtl/>
              </w:rPr>
            </w:pPr>
            <w:r w:rsidRPr="00666E2E">
              <w:rPr>
                <w:rFonts w:hint="cs"/>
                <w:rtl/>
              </w:rPr>
              <w:t>(3)</w:t>
            </w:r>
            <w:r w:rsidRPr="00666E2E">
              <w:rPr>
                <w:rtl/>
              </w:rPr>
              <w:tab/>
            </w:r>
            <w:r w:rsidRPr="00666E2E">
              <w:rPr>
                <w:rFonts w:hint="cs"/>
                <w:rtl/>
              </w:rPr>
              <w:t xml:space="preserve">היא מופעלת </w:t>
            </w:r>
            <w:r w:rsidR="00E877CE" w:rsidRPr="00666E2E">
              <w:rPr>
                <w:rFonts w:hint="cs"/>
                <w:rtl/>
              </w:rPr>
              <w:t>על ידי</w:t>
            </w:r>
            <w:r w:rsidRPr="00666E2E">
              <w:rPr>
                <w:rFonts w:hint="cs"/>
                <w:rtl/>
              </w:rPr>
              <w:t xml:space="preserve"> חברה ממשלתית בשטח מרכז קהילתי;</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Outdent"/>
              <w:rPr>
                <w:rtl/>
              </w:rPr>
            </w:pPr>
            <w:r w:rsidRPr="00666E2E">
              <w:rPr>
                <w:rtl/>
              </w:rPr>
              <w:t>"רשות מקומית" – עירייה</w:t>
            </w:r>
            <w:r w:rsidR="00C11CAC" w:rsidRPr="00666E2E">
              <w:rPr>
                <w:rFonts w:hint="cs"/>
                <w:rtl/>
              </w:rPr>
              <w:t>,</w:t>
            </w:r>
            <w:r w:rsidRPr="00666E2E">
              <w:rPr>
                <w:rtl/>
              </w:rPr>
              <w:t xml:space="preserve"> מועצה מקומית</w:t>
            </w:r>
            <w:r w:rsidR="00C11CAC" w:rsidRPr="00666E2E">
              <w:rPr>
                <w:rFonts w:hint="cs"/>
                <w:rtl/>
              </w:rPr>
              <w:t xml:space="preserve"> או מועצה אזורית</w:t>
            </w:r>
            <w:r w:rsidRPr="00666E2E">
              <w:rPr>
                <w:rtl/>
              </w:rPr>
              <w:t>;</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Outdent"/>
              <w:rPr>
                <w:rtl/>
              </w:rPr>
            </w:pPr>
            <w:r w:rsidRPr="00666E2E">
              <w:rPr>
                <w:rtl/>
              </w:rPr>
              <w:t>"השר" – שר החינוך.</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Head"/>
              <w:rPr>
                <w:rtl/>
              </w:rPr>
            </w:pPr>
            <w:r w:rsidRPr="00666E2E">
              <w:rPr>
                <w:rtl/>
              </w:rPr>
              <w:t>פרק ב': הממונה</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r w:rsidRPr="00666E2E">
              <w:rPr>
                <w:rtl/>
              </w:rPr>
              <w:t xml:space="preserve">מינוי ממונה </w:t>
            </w: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r w:rsidRPr="00666E2E">
              <w:rPr>
                <w:rtl/>
              </w:rPr>
              <w:t>2.</w:t>
            </w: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
              <w:rPr>
                <w:rtl/>
              </w:rPr>
            </w:pPr>
            <w:r w:rsidRPr="00666E2E">
              <w:rPr>
                <w:rtl/>
              </w:rPr>
              <w:t>(א)</w:t>
            </w:r>
            <w:r w:rsidRPr="00666E2E">
              <w:rPr>
                <w:rtl/>
              </w:rPr>
              <w:tab/>
              <w:t>השר ימנה, מבין עובדי משרדו, ממונה לעניין חוק זה; הממונה יהיה אחראי לפיקוח על הפעלת צהרונים לפי חוק זה.</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
              <w:rPr>
                <w:rtl/>
              </w:rPr>
            </w:pPr>
            <w:r w:rsidRPr="00666E2E">
              <w:rPr>
                <w:rtl/>
              </w:rPr>
              <w:t>(ב)</w:t>
            </w:r>
            <w:r w:rsidRPr="00666E2E">
              <w:rPr>
                <w:rtl/>
              </w:rPr>
              <w:tab/>
              <w:t xml:space="preserve">הודעה על מינוי הממונה תפורסם ברשומות. </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Head"/>
              <w:rPr>
                <w:rtl/>
              </w:rPr>
            </w:pPr>
            <w:r w:rsidRPr="00666E2E">
              <w:rPr>
                <w:rtl/>
              </w:rPr>
              <w:t>פרק ג': הפעלת צהרון וניהולו ומחיר מרבי</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r w:rsidRPr="00666E2E">
              <w:rPr>
                <w:rtl/>
              </w:rPr>
              <w:t xml:space="preserve">הפעלת צהרון וניהולו </w:t>
            </w: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r w:rsidRPr="00666E2E">
              <w:rPr>
                <w:rtl/>
              </w:rPr>
              <w:t>3.</w:t>
            </w: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
              <w:rPr>
                <w:rtl/>
              </w:rPr>
            </w:pPr>
            <w:r w:rsidRPr="00666E2E">
              <w:rPr>
                <w:rtl/>
              </w:rPr>
              <w:t>לא יפעיל אדם צהרון ולא ינהל אותו, אלא בהתאם להוראות לפי חוק זה.</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2C16BF" w:rsidP="000F543F">
            <w:pPr>
              <w:pStyle w:val="TableSideHeading"/>
              <w:rPr>
                <w:szCs w:val="20"/>
                <w:rtl/>
              </w:rPr>
            </w:pPr>
            <w:r>
              <w:rPr>
                <w:rFonts w:hint="cs"/>
                <w:sz w:val="26"/>
                <w:rtl/>
              </w:rPr>
              <w:t>תצהיר של מפעיל צהרון</w:t>
            </w: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r w:rsidRPr="00666E2E">
              <w:rPr>
                <w:rtl/>
              </w:rPr>
              <w:t>4.</w:t>
            </w:r>
          </w:p>
        </w:tc>
        <w:tc>
          <w:tcPr>
            <w:tcW w:w="7144" w:type="dxa"/>
            <w:gridSpan w:val="3"/>
            <w:shd w:val="clear" w:color="auto" w:fill="auto"/>
            <w:tcMar>
              <w:top w:w="91" w:type="dxa"/>
              <w:left w:w="0" w:type="dxa"/>
              <w:bottom w:w="91" w:type="dxa"/>
              <w:right w:w="0" w:type="dxa"/>
            </w:tcMar>
          </w:tcPr>
          <w:p w:rsidR="004439EE" w:rsidRPr="00666E2E" w:rsidRDefault="004439EE" w:rsidP="00E87B1C">
            <w:pPr>
              <w:pStyle w:val="TableBlock"/>
              <w:rPr>
                <w:rtl/>
              </w:rPr>
            </w:pPr>
            <w:r w:rsidRPr="00666E2E">
              <w:rPr>
                <w:rtl/>
              </w:rPr>
              <w:t>(א)</w:t>
            </w:r>
            <w:r w:rsidRPr="00666E2E">
              <w:rPr>
                <w:rtl/>
              </w:rPr>
              <w:tab/>
            </w:r>
            <w:r w:rsidR="00CB1AFF" w:rsidRPr="00666E2E">
              <w:rPr>
                <w:rtl/>
              </w:rPr>
              <w:t xml:space="preserve">מפעיל צהרון יגיש לממונה </w:t>
            </w:r>
            <w:r w:rsidR="00CB1AFF" w:rsidRPr="00666E2E">
              <w:rPr>
                <w:rFonts w:hint="cs"/>
                <w:rtl/>
              </w:rPr>
              <w:t>תצהיר</w:t>
            </w:r>
            <w:r w:rsidR="00CB1AFF" w:rsidRPr="00666E2E">
              <w:rPr>
                <w:rtl/>
              </w:rPr>
              <w:t xml:space="preserve"> כי הוא עומד בהוראות לפי חוק זה; </w:t>
            </w:r>
            <w:r w:rsidR="00CB1AFF" w:rsidRPr="00666E2E">
              <w:rPr>
                <w:rFonts w:hint="cs"/>
                <w:rtl/>
              </w:rPr>
              <w:t xml:space="preserve">התצהיר </w:t>
            </w:r>
            <w:r w:rsidR="00E87B1C" w:rsidRPr="00666E2E">
              <w:rPr>
                <w:rFonts w:hint="cs"/>
                <w:rtl/>
              </w:rPr>
              <w:t>ייחתם</w:t>
            </w:r>
            <w:r w:rsidR="00CB1AFF" w:rsidRPr="00666E2E">
              <w:rPr>
                <w:rtl/>
              </w:rPr>
              <w:t xml:space="preserve"> בידי המפעיל או מי שמורשה לכך מטעמו, ואם הוא תאגיד – בידי מורשה חתימה של התאגיד</w:t>
            </w:r>
            <w:r w:rsidR="00FF7231" w:rsidRPr="00666E2E">
              <w:rPr>
                <w:rFonts w:hint="cs"/>
                <w:rtl/>
              </w:rPr>
              <w:t>;</w:t>
            </w:r>
            <w:r w:rsidR="00C11CAC" w:rsidRPr="00666E2E">
              <w:rPr>
                <w:rFonts w:hint="cs"/>
                <w:rtl/>
              </w:rPr>
              <w:t xml:space="preserve"> לעניין מפעיל צהרון המנוי בפסקה (2) להגדרה "צהרון" </w:t>
            </w:r>
            <w:r w:rsidR="00C11CAC" w:rsidRPr="00666E2E">
              <w:rPr>
                <w:rtl/>
              </w:rPr>
              <w:t>–</w:t>
            </w:r>
            <w:r w:rsidR="00E87B1C" w:rsidRPr="00666E2E">
              <w:rPr>
                <w:rFonts w:hint="cs"/>
                <w:rtl/>
              </w:rPr>
              <w:t xml:space="preserve"> </w:t>
            </w:r>
            <w:r w:rsidR="00C11CAC" w:rsidRPr="00666E2E">
              <w:rPr>
                <w:rFonts w:hint="cs"/>
                <w:rtl/>
              </w:rPr>
              <w:t>הרשות המקומית שהצהרון פועל בתחומה</w:t>
            </w:r>
            <w:r w:rsidR="00E87B1C" w:rsidRPr="00666E2E">
              <w:rPr>
                <w:rFonts w:hint="cs"/>
                <w:rtl/>
              </w:rPr>
              <w:t xml:space="preserve"> תגיש תצהיר כאמור לממונה</w:t>
            </w:r>
            <w:r w:rsidR="00C11CAC" w:rsidRPr="00666E2E">
              <w:rPr>
                <w:rFonts w:hint="cs"/>
                <w:rtl/>
              </w:rPr>
              <w:t>.</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
              <w:rPr>
                <w:rtl/>
              </w:rPr>
            </w:pPr>
            <w:r w:rsidRPr="00666E2E">
              <w:rPr>
                <w:rtl/>
              </w:rPr>
              <w:t>(ב)</w:t>
            </w:r>
            <w:r w:rsidRPr="00666E2E">
              <w:rPr>
                <w:rtl/>
              </w:rPr>
              <w:tab/>
              <w:t xml:space="preserve">השר יקבע הוראות לעניין </w:t>
            </w:r>
            <w:r w:rsidRPr="00666E2E">
              <w:rPr>
                <w:rFonts w:hint="cs"/>
                <w:rtl/>
              </w:rPr>
              <w:t>התצהיר</w:t>
            </w:r>
            <w:r w:rsidRPr="00666E2E">
              <w:rPr>
                <w:rtl/>
              </w:rPr>
              <w:t>, ובכלל זה הוראות לעניין מועדי הגשת</w:t>
            </w:r>
            <w:r w:rsidRPr="00666E2E">
              <w:rPr>
                <w:rFonts w:hint="cs"/>
                <w:rtl/>
              </w:rPr>
              <w:t>ו</w:t>
            </w:r>
            <w:r w:rsidRPr="00666E2E">
              <w:rPr>
                <w:rtl/>
              </w:rPr>
              <w:t>, המסמכים שיצורפו ל</w:t>
            </w:r>
            <w:r w:rsidRPr="00666E2E">
              <w:rPr>
                <w:rFonts w:hint="cs"/>
                <w:rtl/>
              </w:rPr>
              <w:t>ו</w:t>
            </w:r>
            <w:r w:rsidRPr="00666E2E">
              <w:rPr>
                <w:rtl/>
              </w:rPr>
              <w:t xml:space="preserve"> והפרטים ש</w:t>
            </w:r>
            <w:r w:rsidRPr="00666E2E">
              <w:rPr>
                <w:rFonts w:hint="cs"/>
                <w:rtl/>
              </w:rPr>
              <w:t>י</w:t>
            </w:r>
            <w:r w:rsidRPr="00666E2E">
              <w:rPr>
                <w:rtl/>
              </w:rPr>
              <w:t>כלול, ובין היתר פרטים לעניין הספקה של מזון לצהרון, ורשאי הוא לקבוע הוראות שונות לסוגים שונים של צהרונים.</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0F543F">
            <w:pPr>
              <w:pStyle w:val="TableSideHeading"/>
              <w:rPr>
                <w:szCs w:val="20"/>
                <w:rtl/>
              </w:rPr>
            </w:pPr>
            <w:r w:rsidRPr="00666E2E">
              <w:rPr>
                <w:rtl/>
              </w:rPr>
              <w:t>הודעה לרשות המקומית</w:t>
            </w:r>
            <w:r w:rsidR="000F543F" w:rsidRPr="00666E2E">
              <w:rPr>
                <w:szCs w:val="20"/>
                <w:rtl/>
              </w:rPr>
              <w:t xml:space="preserve"> </w:t>
            </w: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r w:rsidRPr="00666E2E">
              <w:rPr>
                <w:rtl/>
              </w:rPr>
              <w:t>5.</w:t>
            </w: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
              <w:rPr>
                <w:rtl/>
              </w:rPr>
            </w:pPr>
            <w:r w:rsidRPr="00666E2E">
              <w:rPr>
                <w:rtl/>
              </w:rPr>
              <w:t>מפעיל צהרון שאינו רשות מקומית או מי מטעמה יודיע לרשות המקומית שהוא פועל בתחומה על פתיחת הצהרון והפעלתו, והכול כפי שיקבע השר.</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r w:rsidRPr="00666E2E">
              <w:rPr>
                <w:rtl/>
              </w:rPr>
              <w:t>תנאים לפתיחת צהרון ולהפעלתו</w:t>
            </w: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r w:rsidRPr="00666E2E">
              <w:rPr>
                <w:rtl/>
              </w:rPr>
              <w:t>6.</w:t>
            </w: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
              <w:rPr>
                <w:rtl/>
              </w:rPr>
            </w:pPr>
            <w:r w:rsidRPr="00666E2E">
              <w:rPr>
                <w:rtl/>
              </w:rPr>
              <w:t>השר, באישור ועדת החינוך, התרבות והספורט של הכנסת, יקבע תנאים לפתיחת צהרון ולהפעלתו, ורשאי הוא לקבוע תנאים שונים לפי סוגים שונים של צהרונים או לפי מספר הילדים השוהים בצהרון או גילם, כמפורט להלן:</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
              <w:rPr>
                <w:rtl/>
              </w:rPr>
            </w:pPr>
            <w:r w:rsidRPr="00666E2E">
              <w:rPr>
                <w:rtl/>
              </w:rPr>
              <w:t>(1)</w:t>
            </w:r>
            <w:r w:rsidRPr="00666E2E">
              <w:rPr>
                <w:rtl/>
              </w:rPr>
              <w:tab/>
              <w:t>תנאים ואמצעים הדרושים להפעלתו התקינה של הצהרון, ובכלל זה תנאים פיזיים, בטיחותיים וסביבתיים, ובלבד שתקנות בעניין תברואה והזנה ייקבעו בהסכמת שר הבריאות;</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
              <w:rPr>
                <w:rtl/>
              </w:rPr>
            </w:pPr>
            <w:r w:rsidRPr="00666E2E">
              <w:rPr>
                <w:rtl/>
              </w:rPr>
              <w:t>(2)</w:t>
            </w:r>
            <w:r w:rsidRPr="00666E2E">
              <w:rPr>
                <w:rtl/>
              </w:rPr>
              <w:tab/>
              <w:t xml:space="preserve">תנאים הנדרשים מממלאי תפקידים בצהרון, ורשאי השר לקבוע תנאים שונים לסוגים שונים של ממלאי תפקידים, ובכלל זה תנאים לעניין ניסיון והכשרה מקצועית, לרבות השתלמויות והדרכות ועמידה בבחינות מקצועיות; </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E87B1C">
            <w:pPr>
              <w:pStyle w:val="TableBlock"/>
              <w:rPr>
                <w:rtl/>
              </w:rPr>
            </w:pPr>
            <w:r w:rsidRPr="00666E2E">
              <w:rPr>
                <w:rtl/>
              </w:rPr>
              <w:t>(3)</w:t>
            </w:r>
            <w:r w:rsidRPr="00666E2E">
              <w:rPr>
                <w:rtl/>
              </w:rPr>
              <w:tab/>
              <w:t>השירותים שיינתנו בכל סוג צהרון, לרבות סדר היום</w:t>
            </w:r>
            <w:r w:rsidR="007674F4" w:rsidRPr="00666E2E">
              <w:rPr>
                <w:rFonts w:hint="cs"/>
                <w:rtl/>
              </w:rPr>
              <w:t>,</w:t>
            </w:r>
            <w:r w:rsidRPr="00666E2E">
              <w:rPr>
                <w:rtl/>
              </w:rPr>
              <w:t xml:space="preserve"> התכנית החינוכית</w:t>
            </w:r>
            <w:r w:rsidR="007674F4" w:rsidRPr="00666E2E">
              <w:rPr>
                <w:rFonts w:hint="cs"/>
                <w:rtl/>
              </w:rPr>
              <w:t xml:space="preserve"> </w:t>
            </w:r>
            <w:r w:rsidR="00E87B1C" w:rsidRPr="00666E2E">
              <w:rPr>
                <w:rFonts w:hint="cs"/>
                <w:rtl/>
              </w:rPr>
              <w:t>והמזון שיוגש</w:t>
            </w:r>
            <w:r w:rsidRPr="00666E2E">
              <w:rPr>
                <w:rtl/>
              </w:rPr>
              <w:t>, והוראות לעניין איכות השירותים, תדירותם ובידי מי יינתנו (בחוק זה – סל השירותים);</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4439EE" w:rsidP="00201A0B">
            <w:pPr>
              <w:pStyle w:val="TableSideHeading"/>
              <w:rPr>
                <w:rtl/>
              </w:rPr>
            </w:pP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p>
        </w:tc>
        <w:tc>
          <w:tcPr>
            <w:tcW w:w="7144" w:type="dxa"/>
            <w:gridSpan w:val="3"/>
            <w:shd w:val="clear" w:color="auto" w:fill="auto"/>
            <w:tcMar>
              <w:top w:w="91" w:type="dxa"/>
              <w:left w:w="0" w:type="dxa"/>
              <w:bottom w:w="91" w:type="dxa"/>
              <w:right w:w="0" w:type="dxa"/>
            </w:tcMar>
          </w:tcPr>
          <w:p w:rsidR="004439EE" w:rsidRPr="00666E2E" w:rsidRDefault="004439EE" w:rsidP="000F543F">
            <w:pPr>
              <w:pStyle w:val="TableBlock"/>
              <w:rPr>
                <w:rtl/>
              </w:rPr>
            </w:pPr>
            <w:r w:rsidRPr="00666E2E">
              <w:rPr>
                <w:rtl/>
              </w:rPr>
              <w:t>(4)</w:t>
            </w:r>
            <w:r w:rsidRPr="00666E2E">
              <w:rPr>
                <w:rtl/>
              </w:rPr>
              <w:tab/>
              <w:t>תקן ממלאי תפקידים בצהרון והיחס בין מספרם ובין מספר הילדים השוהים בצהרון.</w:t>
            </w:r>
          </w:p>
        </w:tc>
      </w:tr>
      <w:tr w:rsidR="004439EE" w:rsidRPr="00666E2E" w:rsidTr="007C5FCC">
        <w:trPr>
          <w:cantSplit/>
        </w:trPr>
        <w:tc>
          <w:tcPr>
            <w:tcW w:w="1870" w:type="dxa"/>
            <w:shd w:val="clear" w:color="auto" w:fill="auto"/>
            <w:tcMar>
              <w:top w:w="91" w:type="dxa"/>
              <w:left w:w="0" w:type="dxa"/>
              <w:bottom w:w="91" w:type="dxa"/>
              <w:right w:w="0" w:type="dxa"/>
            </w:tcMar>
          </w:tcPr>
          <w:p w:rsidR="004439EE" w:rsidRPr="00666E2E" w:rsidRDefault="00E87B1C" w:rsidP="000F543F">
            <w:pPr>
              <w:pStyle w:val="TableSideHeading"/>
              <w:rPr>
                <w:szCs w:val="20"/>
                <w:rtl/>
              </w:rPr>
            </w:pPr>
            <w:r w:rsidRPr="00666E2E">
              <w:rPr>
                <w:rFonts w:hint="cs"/>
                <w:rtl/>
              </w:rPr>
              <w:t>סייגים</w:t>
            </w:r>
            <w:r w:rsidRPr="00666E2E">
              <w:rPr>
                <w:rtl/>
              </w:rPr>
              <w:t xml:space="preserve"> </w:t>
            </w:r>
            <w:r w:rsidRPr="00666E2E">
              <w:rPr>
                <w:rFonts w:hint="cs"/>
                <w:rtl/>
              </w:rPr>
              <w:t>להפעלת הצהרון ו</w:t>
            </w:r>
            <w:r w:rsidR="004439EE" w:rsidRPr="00666E2E">
              <w:rPr>
                <w:rtl/>
              </w:rPr>
              <w:t>להעסקת עובדים בצהרון</w:t>
            </w:r>
            <w:r w:rsidR="000F543F" w:rsidRPr="00666E2E">
              <w:rPr>
                <w:szCs w:val="20"/>
                <w:rtl/>
              </w:rPr>
              <w:t xml:space="preserve"> </w:t>
            </w:r>
          </w:p>
        </w:tc>
        <w:tc>
          <w:tcPr>
            <w:tcW w:w="624" w:type="dxa"/>
            <w:shd w:val="clear" w:color="auto" w:fill="auto"/>
            <w:tcMar>
              <w:top w:w="91" w:type="dxa"/>
              <w:left w:w="0" w:type="dxa"/>
              <w:bottom w:w="91" w:type="dxa"/>
              <w:right w:w="0" w:type="dxa"/>
            </w:tcMar>
          </w:tcPr>
          <w:p w:rsidR="004439EE" w:rsidRPr="00666E2E" w:rsidRDefault="004439EE" w:rsidP="00201A0B">
            <w:pPr>
              <w:pStyle w:val="TableText"/>
              <w:rPr>
                <w:rtl/>
              </w:rPr>
            </w:pPr>
            <w:r w:rsidRPr="00666E2E">
              <w:rPr>
                <w:rtl/>
              </w:rPr>
              <w:t>7.</w:t>
            </w:r>
          </w:p>
        </w:tc>
        <w:tc>
          <w:tcPr>
            <w:tcW w:w="7144" w:type="dxa"/>
            <w:gridSpan w:val="3"/>
            <w:shd w:val="clear" w:color="auto" w:fill="auto"/>
            <w:tcMar>
              <w:top w:w="91" w:type="dxa"/>
              <w:left w:w="0" w:type="dxa"/>
              <w:bottom w:w="91" w:type="dxa"/>
              <w:right w:w="0" w:type="dxa"/>
            </w:tcMar>
          </w:tcPr>
          <w:p w:rsidR="004439EE" w:rsidRPr="00666E2E" w:rsidRDefault="00D22F1D" w:rsidP="00F05C2B">
            <w:pPr>
              <w:pStyle w:val="TableBlock"/>
              <w:rPr>
                <w:rtl/>
              </w:rPr>
            </w:pPr>
            <w:r w:rsidRPr="00666E2E">
              <w:rPr>
                <w:rFonts w:hint="cs"/>
                <w:rtl/>
              </w:rPr>
              <w:t xml:space="preserve">(א) </w:t>
            </w:r>
            <w:r w:rsidR="00E87B1C" w:rsidRPr="00666E2E">
              <w:rPr>
                <w:rtl/>
              </w:rPr>
              <w:tab/>
            </w:r>
            <w:r w:rsidR="004439EE" w:rsidRPr="00666E2E">
              <w:rPr>
                <w:rtl/>
              </w:rPr>
              <w:t xml:space="preserve">לא </w:t>
            </w:r>
            <w:r w:rsidR="00F05C2B" w:rsidRPr="00666E2E">
              <w:rPr>
                <w:rFonts w:hint="cs"/>
                <w:rtl/>
              </w:rPr>
              <w:t>יפעיל אדם צהרון</w:t>
            </w:r>
            <w:r w:rsidR="004439EE" w:rsidRPr="00666E2E">
              <w:rPr>
                <w:rFonts w:hint="cs"/>
                <w:rtl/>
              </w:rPr>
              <w:t xml:space="preserve"> ולא </w:t>
            </w:r>
            <w:r w:rsidR="004439EE" w:rsidRPr="00666E2E">
              <w:rPr>
                <w:rtl/>
              </w:rPr>
              <w:t>יעסיק אדם עובד בצהרון אם התקיים בו אחד מאלה:</w:t>
            </w:r>
          </w:p>
        </w:tc>
      </w:tr>
      <w:tr w:rsidR="00E87B1C" w:rsidRPr="00666E2E" w:rsidTr="007C5FCC">
        <w:tblPrEx>
          <w:tblLook w:val="01E0" w:firstRow="1" w:lastRow="1" w:firstColumn="1" w:lastColumn="1" w:noHBand="0" w:noVBand="0"/>
        </w:tblPrEx>
        <w:trPr>
          <w:cantSplit/>
          <w:trHeight w:val="60"/>
        </w:trPr>
        <w:tc>
          <w:tcPr>
            <w:tcW w:w="1870" w:type="dxa"/>
          </w:tcPr>
          <w:p w:rsidR="00E87B1C" w:rsidRPr="00666E2E" w:rsidRDefault="00E87B1C" w:rsidP="00E87B1C">
            <w:pPr>
              <w:pStyle w:val="TableSideHeading"/>
            </w:pPr>
          </w:p>
        </w:tc>
        <w:tc>
          <w:tcPr>
            <w:tcW w:w="624" w:type="dxa"/>
          </w:tcPr>
          <w:p w:rsidR="00E87B1C" w:rsidRPr="00666E2E" w:rsidRDefault="00E87B1C" w:rsidP="00E87B1C">
            <w:pPr>
              <w:pStyle w:val="TableText"/>
            </w:pPr>
          </w:p>
        </w:tc>
        <w:tc>
          <w:tcPr>
            <w:tcW w:w="624" w:type="dxa"/>
          </w:tcPr>
          <w:p w:rsidR="00E87B1C" w:rsidRPr="00666E2E" w:rsidRDefault="00E87B1C" w:rsidP="00E87B1C">
            <w:pPr>
              <w:pStyle w:val="TableText"/>
            </w:pPr>
          </w:p>
        </w:tc>
        <w:tc>
          <w:tcPr>
            <w:tcW w:w="6520" w:type="dxa"/>
            <w:gridSpan w:val="2"/>
          </w:tcPr>
          <w:p w:rsidR="00E87B1C" w:rsidRPr="00666E2E" w:rsidRDefault="00E87B1C" w:rsidP="00E87B1C">
            <w:pPr>
              <w:pStyle w:val="TableBlock"/>
            </w:pPr>
            <w:r w:rsidRPr="00666E2E">
              <w:rPr>
                <w:rtl/>
              </w:rPr>
              <w:t>(1)</w:t>
            </w:r>
            <w:r w:rsidRPr="00666E2E">
              <w:rPr>
                <w:rtl/>
              </w:rPr>
              <w:tab/>
              <w:t>הוא הורשע בעבירת מין כהגדרתה בחוק למניעת העסקה של עברייני מין במוסדות מסוימים, התשס"א–2001‏</w:t>
            </w:r>
            <w:r w:rsidRPr="00666E2E">
              <w:rPr>
                <w:rStyle w:val="a6"/>
                <w:rtl/>
              </w:rPr>
              <w:footnoteReference w:id="4"/>
            </w:r>
            <w:r w:rsidRPr="00666E2E">
              <w:rPr>
                <w:rFonts w:hint="cs"/>
                <w:rtl/>
              </w:rPr>
              <w:t>;</w:t>
            </w:r>
            <w:r w:rsidRPr="00666E2E">
              <w:rPr>
                <w:rtl/>
              </w:rPr>
              <w:t xml:space="preserve"> </w:t>
            </w:r>
          </w:p>
        </w:tc>
      </w:tr>
      <w:tr w:rsidR="00E87B1C" w:rsidRPr="00666E2E" w:rsidTr="007C5FCC">
        <w:tblPrEx>
          <w:tblLook w:val="01E0" w:firstRow="1" w:lastRow="1" w:firstColumn="1" w:lastColumn="1" w:noHBand="0" w:noVBand="0"/>
        </w:tblPrEx>
        <w:trPr>
          <w:cantSplit/>
          <w:trHeight w:val="60"/>
        </w:trPr>
        <w:tc>
          <w:tcPr>
            <w:tcW w:w="1870" w:type="dxa"/>
          </w:tcPr>
          <w:p w:rsidR="00E87B1C" w:rsidRPr="00666E2E" w:rsidRDefault="00E87B1C" w:rsidP="00E87B1C">
            <w:pPr>
              <w:pStyle w:val="TableSideHeading"/>
            </w:pPr>
          </w:p>
        </w:tc>
        <w:tc>
          <w:tcPr>
            <w:tcW w:w="624" w:type="dxa"/>
          </w:tcPr>
          <w:p w:rsidR="00E87B1C" w:rsidRPr="00666E2E" w:rsidRDefault="00E87B1C" w:rsidP="00E87B1C">
            <w:pPr>
              <w:pStyle w:val="TableText"/>
            </w:pPr>
          </w:p>
        </w:tc>
        <w:tc>
          <w:tcPr>
            <w:tcW w:w="624" w:type="dxa"/>
          </w:tcPr>
          <w:p w:rsidR="00E87B1C" w:rsidRPr="00666E2E" w:rsidRDefault="00E87B1C" w:rsidP="00E87B1C">
            <w:pPr>
              <w:pStyle w:val="TableText"/>
            </w:pPr>
          </w:p>
        </w:tc>
        <w:tc>
          <w:tcPr>
            <w:tcW w:w="6520" w:type="dxa"/>
            <w:gridSpan w:val="2"/>
          </w:tcPr>
          <w:p w:rsidR="00E87B1C" w:rsidRPr="00666E2E" w:rsidRDefault="00E87B1C" w:rsidP="00E87B1C">
            <w:pPr>
              <w:pStyle w:val="TableBlock"/>
            </w:pPr>
            <w:r w:rsidRPr="00666E2E">
              <w:rPr>
                <w:rtl/>
              </w:rPr>
              <w:t>(2)</w:t>
            </w:r>
            <w:r w:rsidRPr="00666E2E">
              <w:rPr>
                <w:rtl/>
              </w:rPr>
              <w:tab/>
              <w:t>נודע לממונה כי הוא הורשע בעבירה אשר מפאת מהותה, חומרתה או נסיבותיה אין הוא ראוי לעבוד בצהרון, או שהוגש נגדו כתב אישום בעבירה כאמו</w:t>
            </w:r>
            <w:r w:rsidR="00811DB1" w:rsidRPr="00666E2E">
              <w:rPr>
                <w:rFonts w:hint="cs"/>
                <w:rtl/>
              </w:rPr>
              <w:t>ר.</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w:t>
            </w:r>
            <w:r w:rsidRPr="00666E2E">
              <w:rPr>
                <w:rFonts w:hint="cs"/>
                <w:rtl/>
              </w:rPr>
              <w:t>ב</w:t>
            </w:r>
            <w:r w:rsidRPr="00666E2E">
              <w:rPr>
                <w:rtl/>
              </w:rPr>
              <w:t>)</w:t>
            </w:r>
            <w:r w:rsidRPr="00666E2E">
              <w:rPr>
                <w:rtl/>
              </w:rPr>
              <w:tab/>
            </w:r>
            <w:r w:rsidRPr="00666E2E">
              <w:rPr>
                <w:rFonts w:hint="cs"/>
                <w:rtl/>
              </w:rPr>
              <w:t xml:space="preserve">לא יעסיק אדם עובד בצהרון אם </w:t>
            </w:r>
            <w:r w:rsidRPr="00666E2E">
              <w:rPr>
                <w:rtl/>
              </w:rPr>
              <w:t xml:space="preserve">נודע לממונה כי יש בהתנהגותו משום השפעה מזיקה על ילדים. </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07207E">
            <w:pPr>
              <w:pStyle w:val="TableBlock"/>
              <w:rPr>
                <w:rtl/>
              </w:rPr>
            </w:pPr>
            <w:r w:rsidRPr="00666E2E">
              <w:rPr>
                <w:rFonts w:hint="cs"/>
                <w:rtl/>
              </w:rPr>
              <w:t xml:space="preserve">(ג) </w:t>
            </w:r>
            <w:r w:rsidRPr="00666E2E">
              <w:rPr>
                <w:rtl/>
              </w:rPr>
              <w:tab/>
            </w:r>
            <w:r w:rsidRPr="00666E2E">
              <w:rPr>
                <w:rFonts w:hint="cs"/>
                <w:rtl/>
              </w:rPr>
              <w:t xml:space="preserve">נודע לממונה כי התקיים בעובד בצהרון סייג מהסייגים  המנויים בסעיפים קטנים (א) או (ב), רשאי הוא </w:t>
            </w:r>
            <w:r w:rsidR="0007207E" w:rsidRPr="00666E2E">
              <w:rPr>
                <w:rFonts w:hint="cs"/>
                <w:rtl/>
              </w:rPr>
              <w:t>לדרוש</w:t>
            </w:r>
            <w:r w:rsidRPr="00666E2E">
              <w:rPr>
                <w:rFonts w:hint="cs"/>
                <w:rtl/>
              </w:rPr>
              <w:t xml:space="preserve"> </w:t>
            </w:r>
            <w:r w:rsidR="0007207E" w:rsidRPr="00666E2E">
              <w:rPr>
                <w:rFonts w:hint="cs"/>
                <w:rtl/>
              </w:rPr>
              <w:t>כי העובד יפוטר</w:t>
            </w:r>
            <w:r w:rsidRPr="00666E2E">
              <w:rPr>
                <w:rFonts w:hint="cs"/>
                <w:rtl/>
              </w:rPr>
              <w:t>, לאחר שנתן לנוגע בדבר הזדמנות נאותה להשמיע טענותיו</w:t>
            </w:r>
            <w:r w:rsidR="009D30EB" w:rsidRPr="00666E2E">
              <w:rPr>
                <w:rFonts w:hint="cs"/>
                <w:rtl/>
              </w:rPr>
              <w:t xml:space="preserve">; לא קוימה הוראת הממונה לעניין זה, </w:t>
            </w:r>
            <w:r w:rsidRPr="00666E2E">
              <w:rPr>
                <w:rFonts w:hint="cs"/>
                <w:rtl/>
              </w:rPr>
              <w:t>יחולו</w:t>
            </w:r>
            <w:r w:rsidR="009D30EB" w:rsidRPr="00666E2E">
              <w:rPr>
                <w:rFonts w:hint="cs"/>
                <w:rtl/>
              </w:rPr>
              <w:t xml:space="preserve"> </w:t>
            </w:r>
            <w:r w:rsidRPr="00666E2E">
              <w:rPr>
                <w:rFonts w:hint="cs"/>
                <w:rtl/>
              </w:rPr>
              <w:t>הוראות פרק ה'.</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szCs w:val="20"/>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9D30EB" w:rsidRPr="00666E2E" w:rsidRDefault="009D30EB" w:rsidP="00E36413">
            <w:pPr>
              <w:pStyle w:val="TableBlock"/>
            </w:pPr>
            <w:r w:rsidRPr="00666E2E">
              <w:rPr>
                <w:rFonts w:hint="cs"/>
                <w:rtl/>
              </w:rPr>
              <w:t>(ד)</w:t>
            </w:r>
            <w:r w:rsidRPr="00666E2E">
              <w:rPr>
                <w:rtl/>
              </w:rPr>
              <w:tab/>
            </w:r>
            <w:r w:rsidR="0007207E" w:rsidRPr="00666E2E">
              <w:rPr>
                <w:rFonts w:hint="cs"/>
                <w:rtl/>
              </w:rPr>
              <w:t>מי ש</w:t>
            </w:r>
            <w:r w:rsidR="0007207E" w:rsidRPr="00666E2E">
              <w:rPr>
                <w:rtl/>
              </w:rPr>
              <w:t>רואה את עצמו נפגע על ידי דריש</w:t>
            </w:r>
            <w:r w:rsidR="0007207E" w:rsidRPr="00666E2E">
              <w:rPr>
                <w:rFonts w:hint="cs"/>
                <w:rtl/>
              </w:rPr>
              <w:t>ת</w:t>
            </w:r>
            <w:r w:rsidR="0007207E" w:rsidRPr="00666E2E">
              <w:rPr>
                <w:rtl/>
              </w:rPr>
              <w:t xml:space="preserve"> </w:t>
            </w:r>
            <w:r w:rsidR="0007207E" w:rsidRPr="00666E2E">
              <w:rPr>
                <w:rFonts w:hint="cs"/>
                <w:rtl/>
              </w:rPr>
              <w:t xml:space="preserve">פיטורין </w:t>
            </w:r>
            <w:r w:rsidR="0007207E" w:rsidRPr="00666E2E">
              <w:rPr>
                <w:rtl/>
              </w:rPr>
              <w:t xml:space="preserve">כאמור בסעיף </w:t>
            </w:r>
            <w:r w:rsidR="0007207E" w:rsidRPr="00666E2E">
              <w:rPr>
                <w:rFonts w:hint="cs"/>
                <w:rtl/>
              </w:rPr>
              <w:t>קטן (ג)</w:t>
            </w:r>
            <w:r w:rsidR="0007207E" w:rsidRPr="00666E2E">
              <w:rPr>
                <w:rtl/>
              </w:rPr>
              <w:t xml:space="preserve">, רשאי </w:t>
            </w:r>
            <w:r w:rsidR="00E36413" w:rsidRPr="00666E2E">
              <w:rPr>
                <w:rFonts w:hint="cs"/>
                <w:rtl/>
              </w:rPr>
              <w:t>להשיג</w:t>
            </w:r>
            <w:r w:rsidR="00E36413" w:rsidRPr="00666E2E">
              <w:rPr>
                <w:rtl/>
              </w:rPr>
              <w:t xml:space="preserve"> </w:t>
            </w:r>
            <w:r w:rsidR="0007207E" w:rsidRPr="00666E2E">
              <w:rPr>
                <w:rtl/>
              </w:rPr>
              <w:t xml:space="preserve">על כך, </w:t>
            </w:r>
            <w:r w:rsidR="0007207E" w:rsidRPr="00666E2E">
              <w:rPr>
                <w:rFonts w:hint="cs"/>
                <w:rtl/>
              </w:rPr>
              <w:t>ב</w:t>
            </w:r>
            <w:r w:rsidR="0007207E" w:rsidRPr="00666E2E">
              <w:rPr>
                <w:rtl/>
              </w:rPr>
              <w:t xml:space="preserve">תוך </w:t>
            </w:r>
            <w:r w:rsidR="0007207E" w:rsidRPr="00666E2E">
              <w:rPr>
                <w:rFonts w:hint="cs"/>
                <w:rtl/>
              </w:rPr>
              <w:t>21</w:t>
            </w:r>
            <w:r w:rsidR="0007207E" w:rsidRPr="00666E2E">
              <w:rPr>
                <w:rtl/>
              </w:rPr>
              <w:t xml:space="preserve"> י</w:t>
            </w:r>
            <w:r w:rsidR="0007207E" w:rsidRPr="00666E2E">
              <w:rPr>
                <w:rFonts w:hint="cs"/>
                <w:rtl/>
              </w:rPr>
              <w:t>מי</w:t>
            </w:r>
            <w:r w:rsidR="0007207E" w:rsidRPr="00666E2E">
              <w:rPr>
                <w:rtl/>
              </w:rPr>
              <w:t xml:space="preserve">ם מהיום שהודע לו על הדרישה, לפני </w:t>
            </w:r>
            <w:r w:rsidR="00E36413" w:rsidRPr="00666E2E">
              <w:rPr>
                <w:rFonts w:hint="cs"/>
                <w:rtl/>
              </w:rPr>
              <w:t>המנהל הכללי של משרד החינוך</w:t>
            </w:r>
            <w:r w:rsidR="0007207E" w:rsidRPr="00666E2E">
              <w:t>.</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r w:rsidRPr="00666E2E">
              <w:rPr>
                <w:rtl/>
              </w:rPr>
              <w:t xml:space="preserve">תזונה ומזון </w:t>
            </w:r>
            <w:r w:rsidR="007A0A0D" w:rsidRPr="00666E2E">
              <w:rPr>
                <w:rtl/>
              </w:rPr>
              <w:br/>
            </w:r>
            <w:r w:rsidRPr="00666E2E">
              <w:rPr>
                <w:rtl/>
              </w:rPr>
              <w:t>בצהרון</w:t>
            </w: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r w:rsidRPr="00666E2E">
              <w:rPr>
                <w:rtl/>
              </w:rPr>
              <w:t>8.</w:t>
            </w: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(א)</w:t>
            </w:r>
            <w:r w:rsidRPr="00666E2E">
              <w:rPr>
                <w:rtl/>
              </w:rPr>
              <w:tab/>
              <w:t>לא יתקשר מפעיל צהרון בקשר למכירה ולהספקה של מזון לצהרון שהוא מפעיל אלא עם ספק מזון מורשה כהגדרתו בחוק לפיקוח על איכות המזון (בסעיף זה – ספק מזון מורשה), שהציג לפניו את הרישיון שבידו והצהיר בכתב כי המזון שהוא מוכר או מספק לצהרון עומד בתנאים לפי סעיף 4 לאותו חוק.</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(ב)</w:t>
            </w:r>
            <w:r w:rsidRPr="00666E2E">
              <w:rPr>
                <w:rtl/>
              </w:rPr>
              <w:tab/>
              <w:t>ספק מזון לא ימכור ולא יספק מזון לצהרון אלא אם כן הוא ספק מזון מורשה והמזון עומד בתנאים לפי סעיף 4 לחוק לפיקוח על איכות המזון.</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(ג)</w:t>
            </w:r>
            <w:r w:rsidRPr="00666E2E">
              <w:rPr>
                <w:rtl/>
              </w:rPr>
              <w:tab/>
              <w:t>מפעיל צהרון יפרסם בצהרון, באופן גלוי וזמין לכול, בתחילת כל חודש, פירוט תפריט יומי של המזון המסופק בצהרון; מפעיל יתעד פרסום כאמור וישמור העתק צילומי מכל פרסום; השר רשאי לקבוע הוראות לעניין פרסום כאמור.</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(ד)</w:t>
            </w:r>
            <w:r w:rsidRPr="00666E2E">
              <w:rPr>
                <w:rtl/>
              </w:rPr>
              <w:tab/>
              <w:t>מפעיל יביא לידיעת הילדים והוריהם בתחילת כל שנת לימודים ויפרסם בצהרון באופן גלוי וזמין לכול את העניינים האלה:</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520" w:type="dxa"/>
            <w:gridSpan w:val="2"/>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(1)</w:t>
            </w:r>
            <w:r w:rsidRPr="00666E2E">
              <w:rPr>
                <w:rtl/>
              </w:rPr>
              <w:tab/>
              <w:t>ההוראות והתנאים שנקבעו בחוק לפיקוח על איכות המזון; השר רשאי לקבוע הוראות לעניין חובת יידוע כאמור;</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520" w:type="dxa"/>
            <w:gridSpan w:val="2"/>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(2)</w:t>
            </w:r>
            <w:r w:rsidRPr="00666E2E">
              <w:rPr>
                <w:rtl/>
              </w:rPr>
              <w:tab/>
              <w:t>פרטי ספק המזון המורשה שעמו התקשר למכירה או להספקה של מזון לצהרון שהוא מפעיל; הוחלף ספק המזון המורשה במהלך שנת הלימודים, יפרסם המפעיל את פרטי הספק המורשה החדש באופן האמור בסעיף קטן זה בלא דיחוי.</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r w:rsidRPr="00666E2E">
              <w:rPr>
                <w:rtl/>
              </w:rPr>
              <w:t>קביעת מחיר חודשי מרבי לצהרון ושיעור השתתפות המדינה</w:t>
            </w: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r w:rsidRPr="00666E2E">
              <w:rPr>
                <w:rtl/>
              </w:rPr>
              <w:t>9.</w:t>
            </w: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(א)</w:t>
            </w:r>
            <w:r w:rsidRPr="00666E2E">
              <w:rPr>
                <w:rtl/>
              </w:rPr>
              <w:tab/>
              <w:t>השר, בהסכמת שר האוצר, לאחר התייעצות עם ועדת החינוך, התרבות והספורט של הכנסת, רשאי לקבוע, בצו –</w:t>
            </w:r>
          </w:p>
        </w:tc>
      </w:tr>
      <w:tr w:rsidR="00E87B1C" w:rsidRPr="00666E2E" w:rsidTr="007C5FCC">
        <w:trPr>
          <w:cantSplit/>
        </w:trPr>
        <w:tc>
          <w:tcPr>
            <w:tcW w:w="1870" w:type="dxa"/>
            <w:shd w:val="clear" w:color="auto" w:fill="auto"/>
          </w:tcPr>
          <w:p w:rsidR="00E87B1C" w:rsidRPr="00666E2E" w:rsidRDefault="00E87B1C" w:rsidP="00E87B1C">
            <w:pPr>
              <w:pStyle w:val="TableSideHeading"/>
              <w:ind w:right="0"/>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520" w:type="dxa"/>
            <w:gridSpan w:val="2"/>
            <w:shd w:val="clear" w:color="auto" w:fill="auto"/>
            <w:tcMar>
              <w:top w:w="91" w:type="dxa"/>
              <w:left w:w="0" w:type="dxa"/>
              <w:bottom w:w="91" w:type="dxa"/>
              <w:right w:w="0" w:type="dxa"/>
            </w:tcMar>
          </w:tcPr>
          <w:p w:rsidR="00E87B1C" w:rsidRPr="00666E2E" w:rsidRDefault="00E87B1C" w:rsidP="007232C4">
            <w:pPr>
              <w:pStyle w:val="TableBlock"/>
              <w:rPr>
                <w:rtl/>
              </w:rPr>
            </w:pPr>
            <w:r w:rsidRPr="00666E2E">
              <w:rPr>
                <w:rtl/>
              </w:rPr>
              <w:t>(1)</w:t>
            </w:r>
            <w:r w:rsidRPr="00666E2E">
              <w:rPr>
                <w:rtl/>
              </w:rPr>
              <w:tab/>
              <w:t xml:space="preserve">מחיר חודשי מרבי לעניין שירות של צהרון שייגבה בעד כל ילד השוהה בצהרון, בין היתר על בסיס עלות הצהרון ותקורה סבירה; </w:t>
            </w:r>
            <w:r w:rsidRPr="00666E2E">
              <w:rPr>
                <w:rFonts w:hint="cs"/>
                <w:rtl/>
              </w:rPr>
              <w:t xml:space="preserve">מחיר כאמור </w:t>
            </w:r>
            <w:r w:rsidR="007232C4" w:rsidRPr="00666E2E">
              <w:rPr>
                <w:rFonts w:hint="cs"/>
                <w:rtl/>
              </w:rPr>
              <w:t>ייקבע בין היתר בהתחשב באמות המידה המפורטות להלן, ו</w:t>
            </w:r>
            <w:r w:rsidR="007232C4" w:rsidRPr="00666E2E">
              <w:rPr>
                <w:rtl/>
              </w:rPr>
              <w:t>רשאי</w:t>
            </w:r>
            <w:r w:rsidR="007232C4" w:rsidRPr="00666E2E">
              <w:rPr>
                <w:rFonts w:hint="cs"/>
                <w:rtl/>
              </w:rPr>
              <w:t xml:space="preserve"> השר </w:t>
            </w:r>
            <w:r w:rsidR="007232C4" w:rsidRPr="00666E2E">
              <w:rPr>
                <w:rtl/>
              </w:rPr>
              <w:t xml:space="preserve">לקבוע מחירים חודשיים מרביים שונים </w:t>
            </w:r>
            <w:r w:rsidR="007232C4" w:rsidRPr="00666E2E">
              <w:rPr>
                <w:rFonts w:hint="cs"/>
                <w:rtl/>
              </w:rPr>
              <w:t xml:space="preserve">בהתאם לאמות מידה </w:t>
            </w:r>
            <w:r w:rsidRPr="00666E2E">
              <w:rPr>
                <w:rFonts w:hint="cs"/>
                <w:rtl/>
              </w:rPr>
              <w:t>אלו</w:t>
            </w:r>
            <w:r w:rsidR="007232C4" w:rsidRPr="00666E2E">
              <w:rPr>
                <w:rFonts w:hint="cs"/>
                <w:rtl/>
              </w:rPr>
              <w:t>:</w:t>
            </w:r>
            <w:r w:rsidRPr="00666E2E">
              <w:rPr>
                <w:rtl/>
              </w:rPr>
              <w:t xml:space="preserve"> </w:t>
            </w:r>
          </w:p>
        </w:tc>
      </w:tr>
      <w:tr w:rsidR="007232C4" w:rsidRPr="00666E2E" w:rsidTr="00FF3810">
        <w:tblPrEx>
          <w:tblLook w:val="01E0" w:firstRow="1" w:lastRow="1" w:firstColumn="1" w:lastColumn="1" w:noHBand="0" w:noVBand="0"/>
        </w:tblPrEx>
        <w:trPr>
          <w:cantSplit/>
          <w:trHeight w:val="60"/>
        </w:trPr>
        <w:tc>
          <w:tcPr>
            <w:tcW w:w="1870" w:type="dxa"/>
          </w:tcPr>
          <w:p w:rsidR="007232C4" w:rsidRPr="00666E2E" w:rsidRDefault="007232C4">
            <w:pPr>
              <w:pStyle w:val="TableSideHeading"/>
            </w:pPr>
          </w:p>
        </w:tc>
        <w:tc>
          <w:tcPr>
            <w:tcW w:w="624" w:type="dxa"/>
          </w:tcPr>
          <w:p w:rsidR="007232C4" w:rsidRPr="00666E2E" w:rsidRDefault="007232C4">
            <w:pPr>
              <w:pStyle w:val="TableText"/>
            </w:pPr>
          </w:p>
        </w:tc>
        <w:tc>
          <w:tcPr>
            <w:tcW w:w="624" w:type="dxa"/>
          </w:tcPr>
          <w:p w:rsidR="007232C4" w:rsidRPr="00666E2E" w:rsidRDefault="007232C4">
            <w:pPr>
              <w:pStyle w:val="TableText"/>
            </w:pPr>
          </w:p>
        </w:tc>
        <w:tc>
          <w:tcPr>
            <w:tcW w:w="624" w:type="dxa"/>
          </w:tcPr>
          <w:p w:rsidR="007232C4" w:rsidRPr="00666E2E" w:rsidRDefault="007232C4">
            <w:pPr>
              <w:pStyle w:val="TableText"/>
            </w:pPr>
          </w:p>
        </w:tc>
        <w:tc>
          <w:tcPr>
            <w:tcW w:w="5896" w:type="dxa"/>
          </w:tcPr>
          <w:p w:rsidR="007232C4" w:rsidRPr="00666E2E" w:rsidRDefault="007232C4">
            <w:pPr>
              <w:pStyle w:val="TableBlock"/>
            </w:pPr>
            <w:r w:rsidRPr="00666E2E">
              <w:rPr>
                <w:rFonts w:hint="cs"/>
                <w:rtl/>
              </w:rPr>
              <w:t>(א)</w:t>
            </w:r>
            <w:r w:rsidRPr="00666E2E">
              <w:rPr>
                <w:rtl/>
              </w:rPr>
              <w:tab/>
              <w:t xml:space="preserve">אופן </w:t>
            </w:r>
            <w:r w:rsidRPr="00666E2E">
              <w:rPr>
                <w:rFonts w:hint="cs"/>
                <w:rtl/>
              </w:rPr>
              <w:t>ה</w:t>
            </w:r>
            <w:r w:rsidRPr="00666E2E">
              <w:rPr>
                <w:rtl/>
              </w:rPr>
              <w:t>התאגדות</w:t>
            </w:r>
            <w:r w:rsidRPr="00666E2E">
              <w:rPr>
                <w:rFonts w:hint="cs"/>
                <w:rtl/>
              </w:rPr>
              <w:t xml:space="preserve"> של מפעיל הצהרון;</w:t>
            </w:r>
          </w:p>
        </w:tc>
      </w:tr>
      <w:tr w:rsidR="007232C4" w:rsidRPr="00666E2E" w:rsidTr="00FF3810">
        <w:tblPrEx>
          <w:tblLook w:val="01E0" w:firstRow="1" w:lastRow="1" w:firstColumn="1" w:lastColumn="1" w:noHBand="0" w:noVBand="0"/>
        </w:tblPrEx>
        <w:trPr>
          <w:cantSplit/>
          <w:trHeight w:val="60"/>
        </w:trPr>
        <w:tc>
          <w:tcPr>
            <w:tcW w:w="1870" w:type="dxa"/>
          </w:tcPr>
          <w:p w:rsidR="007232C4" w:rsidRPr="00666E2E" w:rsidRDefault="007232C4">
            <w:pPr>
              <w:pStyle w:val="TableSideHeading"/>
            </w:pPr>
          </w:p>
        </w:tc>
        <w:tc>
          <w:tcPr>
            <w:tcW w:w="624" w:type="dxa"/>
          </w:tcPr>
          <w:p w:rsidR="007232C4" w:rsidRPr="00666E2E" w:rsidRDefault="007232C4" w:rsidP="007232C4">
            <w:pPr>
              <w:pStyle w:val="TableText"/>
            </w:pPr>
          </w:p>
        </w:tc>
        <w:tc>
          <w:tcPr>
            <w:tcW w:w="624" w:type="dxa"/>
          </w:tcPr>
          <w:p w:rsidR="007232C4" w:rsidRPr="00666E2E" w:rsidRDefault="007232C4">
            <w:pPr>
              <w:pStyle w:val="TableText"/>
            </w:pPr>
          </w:p>
        </w:tc>
        <w:tc>
          <w:tcPr>
            <w:tcW w:w="624" w:type="dxa"/>
          </w:tcPr>
          <w:p w:rsidR="007232C4" w:rsidRPr="00666E2E" w:rsidRDefault="007232C4">
            <w:pPr>
              <w:pStyle w:val="TableText"/>
            </w:pPr>
          </w:p>
        </w:tc>
        <w:tc>
          <w:tcPr>
            <w:tcW w:w="5896" w:type="dxa"/>
          </w:tcPr>
          <w:p w:rsidR="007232C4" w:rsidRPr="00666E2E" w:rsidRDefault="007232C4">
            <w:pPr>
              <w:pStyle w:val="TableBlock"/>
            </w:pPr>
            <w:r w:rsidRPr="00666E2E">
              <w:rPr>
                <w:rFonts w:hint="cs"/>
                <w:rtl/>
              </w:rPr>
              <w:t>(ב)</w:t>
            </w:r>
            <w:r w:rsidRPr="00666E2E">
              <w:rPr>
                <w:rtl/>
              </w:rPr>
              <w:tab/>
              <w:t xml:space="preserve">סל השירותים שנקבע לפי סעיף 6(3) הניתן </w:t>
            </w:r>
            <w:r w:rsidRPr="00666E2E">
              <w:rPr>
                <w:rFonts w:hint="cs"/>
                <w:rtl/>
              </w:rPr>
              <w:t>בצהרון;</w:t>
            </w:r>
          </w:p>
        </w:tc>
      </w:tr>
      <w:tr w:rsidR="007232C4" w:rsidRPr="00666E2E" w:rsidTr="00FF3810">
        <w:tblPrEx>
          <w:tblLook w:val="01E0" w:firstRow="1" w:lastRow="1" w:firstColumn="1" w:lastColumn="1" w:noHBand="0" w:noVBand="0"/>
        </w:tblPrEx>
        <w:trPr>
          <w:cantSplit/>
          <w:trHeight w:val="60"/>
        </w:trPr>
        <w:tc>
          <w:tcPr>
            <w:tcW w:w="1870" w:type="dxa"/>
          </w:tcPr>
          <w:p w:rsidR="007232C4" w:rsidRPr="00666E2E" w:rsidRDefault="007232C4">
            <w:pPr>
              <w:pStyle w:val="TableSideHeading"/>
            </w:pPr>
          </w:p>
        </w:tc>
        <w:tc>
          <w:tcPr>
            <w:tcW w:w="624" w:type="dxa"/>
          </w:tcPr>
          <w:p w:rsidR="007232C4" w:rsidRPr="00666E2E" w:rsidRDefault="007232C4" w:rsidP="007232C4">
            <w:pPr>
              <w:pStyle w:val="TableText"/>
            </w:pPr>
          </w:p>
        </w:tc>
        <w:tc>
          <w:tcPr>
            <w:tcW w:w="624" w:type="dxa"/>
          </w:tcPr>
          <w:p w:rsidR="007232C4" w:rsidRPr="00666E2E" w:rsidRDefault="007232C4">
            <w:pPr>
              <w:pStyle w:val="TableText"/>
            </w:pPr>
          </w:p>
        </w:tc>
        <w:tc>
          <w:tcPr>
            <w:tcW w:w="624" w:type="dxa"/>
          </w:tcPr>
          <w:p w:rsidR="007232C4" w:rsidRPr="00666E2E" w:rsidRDefault="007232C4">
            <w:pPr>
              <w:pStyle w:val="TableText"/>
            </w:pPr>
          </w:p>
        </w:tc>
        <w:tc>
          <w:tcPr>
            <w:tcW w:w="5896" w:type="dxa"/>
          </w:tcPr>
          <w:p w:rsidR="007232C4" w:rsidRPr="00666E2E" w:rsidRDefault="007232C4">
            <w:pPr>
              <w:pStyle w:val="TableBlock"/>
            </w:pPr>
            <w:r w:rsidRPr="00666E2E">
              <w:rPr>
                <w:rFonts w:hint="cs"/>
                <w:rtl/>
              </w:rPr>
              <w:t>(ג)</w:t>
            </w:r>
            <w:r w:rsidRPr="00666E2E">
              <w:rPr>
                <w:rtl/>
              </w:rPr>
              <w:tab/>
              <w:t xml:space="preserve">האזור שבו פועל </w:t>
            </w:r>
            <w:r w:rsidRPr="00666E2E">
              <w:rPr>
                <w:rFonts w:hint="cs"/>
                <w:rtl/>
              </w:rPr>
              <w:t>הצהרון;</w:t>
            </w:r>
          </w:p>
        </w:tc>
      </w:tr>
      <w:tr w:rsidR="007232C4" w:rsidRPr="00666E2E" w:rsidTr="00FF3810">
        <w:tblPrEx>
          <w:tblLook w:val="01E0" w:firstRow="1" w:lastRow="1" w:firstColumn="1" w:lastColumn="1" w:noHBand="0" w:noVBand="0"/>
        </w:tblPrEx>
        <w:trPr>
          <w:cantSplit/>
          <w:trHeight w:val="60"/>
        </w:trPr>
        <w:tc>
          <w:tcPr>
            <w:tcW w:w="1870" w:type="dxa"/>
          </w:tcPr>
          <w:p w:rsidR="007232C4" w:rsidRPr="00666E2E" w:rsidRDefault="007232C4">
            <w:pPr>
              <w:pStyle w:val="TableSideHeading"/>
            </w:pPr>
          </w:p>
        </w:tc>
        <w:tc>
          <w:tcPr>
            <w:tcW w:w="624" w:type="dxa"/>
          </w:tcPr>
          <w:p w:rsidR="007232C4" w:rsidRPr="00666E2E" w:rsidRDefault="007232C4" w:rsidP="007232C4">
            <w:pPr>
              <w:pStyle w:val="TableText"/>
            </w:pPr>
          </w:p>
        </w:tc>
        <w:tc>
          <w:tcPr>
            <w:tcW w:w="624" w:type="dxa"/>
          </w:tcPr>
          <w:p w:rsidR="007232C4" w:rsidRPr="00666E2E" w:rsidRDefault="007232C4">
            <w:pPr>
              <w:pStyle w:val="TableText"/>
            </w:pPr>
          </w:p>
        </w:tc>
        <w:tc>
          <w:tcPr>
            <w:tcW w:w="624" w:type="dxa"/>
          </w:tcPr>
          <w:p w:rsidR="007232C4" w:rsidRPr="00666E2E" w:rsidRDefault="007232C4">
            <w:pPr>
              <w:pStyle w:val="TableText"/>
            </w:pPr>
          </w:p>
        </w:tc>
        <w:tc>
          <w:tcPr>
            <w:tcW w:w="5896" w:type="dxa"/>
          </w:tcPr>
          <w:p w:rsidR="007232C4" w:rsidRPr="00666E2E" w:rsidRDefault="007232C4">
            <w:pPr>
              <w:pStyle w:val="TableBlock"/>
            </w:pPr>
            <w:r w:rsidRPr="00666E2E">
              <w:rPr>
                <w:rFonts w:hint="cs"/>
                <w:rtl/>
              </w:rPr>
              <w:t>(ד)</w:t>
            </w:r>
            <w:r w:rsidRPr="00666E2E">
              <w:rPr>
                <w:rtl/>
              </w:rPr>
              <w:tab/>
            </w:r>
            <w:r w:rsidRPr="00666E2E">
              <w:rPr>
                <w:rFonts w:hint="cs"/>
                <w:rtl/>
              </w:rPr>
              <w:t xml:space="preserve">מספר הילדים </w:t>
            </w:r>
            <w:r w:rsidRPr="00666E2E">
              <w:rPr>
                <w:rtl/>
              </w:rPr>
              <w:t xml:space="preserve">ושכבות הגיל של הילדים השוהים </w:t>
            </w:r>
            <w:r w:rsidRPr="00666E2E">
              <w:rPr>
                <w:rFonts w:hint="cs"/>
                <w:rtl/>
              </w:rPr>
              <w:t>בצהרון;</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szCs w:val="20"/>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520" w:type="dxa"/>
            <w:gridSpan w:val="2"/>
            <w:shd w:val="clear" w:color="auto" w:fill="auto"/>
            <w:tcMar>
              <w:top w:w="91" w:type="dxa"/>
              <w:left w:w="0" w:type="dxa"/>
              <w:bottom w:w="91" w:type="dxa"/>
              <w:right w:w="0" w:type="dxa"/>
            </w:tcMar>
          </w:tcPr>
          <w:p w:rsidR="00E87B1C" w:rsidRPr="00666E2E" w:rsidRDefault="00E87B1C" w:rsidP="007232C4">
            <w:pPr>
              <w:pStyle w:val="TableBlock"/>
              <w:rPr>
                <w:rtl/>
              </w:rPr>
            </w:pPr>
            <w:r w:rsidRPr="00666E2E">
              <w:rPr>
                <w:rtl/>
              </w:rPr>
              <w:t>(2)</w:t>
            </w:r>
            <w:r w:rsidRPr="00666E2E">
              <w:rPr>
                <w:rtl/>
              </w:rPr>
              <w:tab/>
              <w:t xml:space="preserve">את שיעור השתתפות המדינה בעלות צהרונים, ורשאי השר לקבוע בדרך האמורה שיעורי השתתפות שונים, בין היתר על בסיס </w:t>
            </w:r>
            <w:r w:rsidR="007232C4" w:rsidRPr="00666E2E">
              <w:rPr>
                <w:rFonts w:hint="cs"/>
                <w:rtl/>
              </w:rPr>
              <w:t xml:space="preserve">אמות המידה </w:t>
            </w:r>
            <w:r w:rsidRPr="00666E2E">
              <w:rPr>
                <w:rtl/>
              </w:rPr>
              <w:t>כאמור בפסקה (1).</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(ב)</w:t>
            </w:r>
            <w:r w:rsidRPr="00666E2E">
              <w:rPr>
                <w:rtl/>
              </w:rPr>
              <w:tab/>
              <w:t xml:space="preserve">מפעיל צהרון </w:t>
            </w:r>
            <w:r w:rsidR="007C5FCC" w:rsidRPr="00666E2E">
              <w:rPr>
                <w:rFonts w:hint="cs"/>
                <w:rtl/>
              </w:rPr>
              <w:t>לא ייתן</w:t>
            </w:r>
            <w:r w:rsidRPr="00666E2E">
              <w:rPr>
                <w:rtl/>
              </w:rPr>
              <w:t xml:space="preserve"> שירותי צהרון </w:t>
            </w:r>
            <w:r w:rsidRPr="00666E2E">
              <w:rPr>
                <w:rFonts w:hint="cs"/>
                <w:rtl/>
              </w:rPr>
              <w:t>במחיר</w:t>
            </w:r>
            <w:r w:rsidRPr="00666E2E">
              <w:rPr>
                <w:rtl/>
              </w:rPr>
              <w:t xml:space="preserve"> העולה על המחיר החודשי המרבי שנקבע לפי סעיף קטן (א).</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r w:rsidRPr="00666E2E">
              <w:rPr>
                <w:rtl/>
              </w:rPr>
              <w:t>חוב</w:t>
            </w:r>
            <w:r w:rsidR="00403C38" w:rsidRPr="00666E2E">
              <w:rPr>
                <w:rFonts w:hint="cs"/>
                <w:rtl/>
              </w:rPr>
              <w:t>ו</w:t>
            </w:r>
            <w:r w:rsidRPr="00666E2E">
              <w:rPr>
                <w:rtl/>
              </w:rPr>
              <w:t>ת רשות מקומית</w:t>
            </w: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r w:rsidRPr="00666E2E">
              <w:rPr>
                <w:rtl/>
              </w:rPr>
              <w:t>10.</w:t>
            </w: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(א)</w:t>
            </w:r>
            <w:r w:rsidRPr="00666E2E">
              <w:rPr>
                <w:rtl/>
              </w:rPr>
              <w:tab/>
              <w:t>התקשרה רשות מקומית עם מפעיל צהרון, תותנה ההתקשרות בקיום הוראות חוק זה.</w:t>
            </w:r>
          </w:p>
        </w:tc>
      </w:tr>
      <w:tr w:rsidR="00E87B1C" w:rsidRPr="00666E2E" w:rsidTr="007C5FCC">
        <w:trPr>
          <w:cantSplit/>
        </w:trPr>
        <w:tc>
          <w:tcPr>
            <w:tcW w:w="1870" w:type="dxa"/>
            <w:shd w:val="clear" w:color="auto" w:fill="auto"/>
          </w:tcPr>
          <w:p w:rsidR="00E87B1C" w:rsidRPr="00666E2E" w:rsidRDefault="00E87B1C" w:rsidP="00E87B1C">
            <w:pPr>
              <w:pStyle w:val="TableSideHeading"/>
              <w:ind w:right="0"/>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(ב)</w:t>
            </w:r>
            <w:r w:rsidRPr="00666E2E">
              <w:rPr>
                <w:rtl/>
              </w:rPr>
              <w:tab/>
              <w:t>רשות מקומית תגיש לממונה, בכל שנה, במועד שיקבע השר, רשימה של הצהרונים הפועלים בתחומה.</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Head"/>
              <w:rPr>
                <w:rtl/>
              </w:rPr>
            </w:pPr>
            <w:r w:rsidRPr="00666E2E">
              <w:rPr>
                <w:rtl/>
              </w:rPr>
              <w:t>פרק ד': פיקוח</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r w:rsidRPr="00666E2E">
              <w:rPr>
                <w:rtl/>
              </w:rPr>
              <w:t xml:space="preserve">הסמכת מפקחים </w:t>
            </w: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r w:rsidRPr="00666E2E">
              <w:rPr>
                <w:rtl/>
              </w:rPr>
              <w:t>11.</w:t>
            </w: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(א)</w:t>
            </w:r>
            <w:r w:rsidRPr="00666E2E">
              <w:rPr>
                <w:rtl/>
              </w:rPr>
              <w:tab/>
              <w:t>השר יסמיך, מבין עובדי משרדו, מפקחים שיהיו נתונות להם הסמכויות לפי פרק זה, כולן או חלקן, לשם פיקוח על ביצוע ההוראות לפי חוק זה.</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(ב)</w:t>
            </w:r>
            <w:r w:rsidRPr="00666E2E">
              <w:rPr>
                <w:rtl/>
              </w:rPr>
              <w:tab/>
              <w:t>לא יוסמך מפקח כאמור בסעיף קטן (א), אלא אם כן מתקיימים בו כל אלה:</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520" w:type="dxa"/>
            <w:gridSpan w:val="2"/>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(1)</w:t>
            </w:r>
            <w:r w:rsidRPr="00666E2E">
              <w:rPr>
                <w:rtl/>
              </w:rPr>
              <w:tab/>
              <w:t>הוא לא הורשע בעבירה אשר מפאת מהותה, חומרתה או נסיבותיה הוא אינו ראוי, לדעת השר, לשמש מפקח;</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520" w:type="dxa"/>
            <w:gridSpan w:val="2"/>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(2)</w:t>
            </w:r>
            <w:r w:rsidRPr="00666E2E">
              <w:rPr>
                <w:rtl/>
              </w:rPr>
              <w:tab/>
              <w:t>הוא קיבל הכשרה מתאימה בתחום הסמכויות שיהיו נתונות לו לפי חוק זה, כפי שהורה השר;</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6520" w:type="dxa"/>
            <w:gridSpan w:val="2"/>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(3)</w:t>
            </w:r>
            <w:r w:rsidRPr="00666E2E">
              <w:rPr>
                <w:rtl/>
              </w:rPr>
              <w:tab/>
              <w:t>הוא עומד בתנאי כשירות נוספים, כפי שהורה השר.</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r w:rsidRPr="00666E2E">
              <w:rPr>
                <w:rtl/>
              </w:rPr>
              <w:t xml:space="preserve">סמכויות מפקחים </w:t>
            </w: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r w:rsidRPr="00666E2E">
              <w:rPr>
                <w:rtl/>
              </w:rPr>
              <w:t>12.</w:t>
            </w: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לשם פיקוח על ביצוע ההוראות לפי חוק זה, רשאי מפקח, לאחר שהזדהה לפי הוראות סעיף 13 –</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(1)</w:t>
            </w:r>
            <w:r w:rsidRPr="00666E2E">
              <w:rPr>
                <w:rtl/>
              </w:rPr>
              <w:tab/>
              <w:t>לדרוש מכל אדם למסור לו את שמו ומענו ולהציג לפניו תעודת זהות או תעודה רשמית אחרת המזהה אותו;</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(2)</w:t>
            </w:r>
            <w:r w:rsidRPr="00666E2E">
              <w:rPr>
                <w:rtl/>
              </w:rPr>
              <w:tab/>
              <w:t>לדרוש מכל אדם הנוגע בדבר למסור לו כל ידיעה או מסמך שיש בהם כדי להבטיח או להקל את ביצוען של ההוראות לפי חוק זה; בפסקה זו, "מסמך" – לרבות פלט, כהגדרתו בחוק המחשבים, התשנ"ה–1995‏</w:t>
            </w:r>
            <w:r w:rsidRPr="00666E2E">
              <w:rPr>
                <w:rStyle w:val="a6"/>
                <w:rtl/>
              </w:rPr>
              <w:footnoteReference w:id="5"/>
            </w:r>
            <w:r w:rsidRPr="00666E2E">
              <w:rPr>
                <w:rtl/>
              </w:rPr>
              <w:t>;</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(3)</w:t>
            </w:r>
            <w:r w:rsidRPr="00666E2E">
              <w:rPr>
                <w:rtl/>
              </w:rPr>
              <w:tab/>
              <w:t>להיכנס בכל עת סבירה למקום שמופעל בו צהרון, ובלבד שלא ייכנס למקום המשמש למגורים אלא על פי צו של בית משפט.</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r w:rsidRPr="00666E2E">
              <w:rPr>
                <w:rtl/>
              </w:rPr>
              <w:t>זיהוי מפקחים</w:t>
            </w: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r w:rsidRPr="00666E2E">
              <w:rPr>
                <w:rtl/>
              </w:rPr>
              <w:t>13.</w:t>
            </w: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מפקח לא יעשה שימוש בסמכויות הנתונות לו לפי פרק זה אלא בעת מילוי תפקידו ובהתקיים שניים אלה:</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(1)</w:t>
            </w:r>
            <w:r w:rsidRPr="00666E2E">
              <w:rPr>
                <w:rtl/>
              </w:rPr>
              <w:tab/>
              <w:t>הוא עונד באופן גלוי תג המזהה אותו ואת תפקידו;</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szCs w:val="20"/>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Block"/>
              <w:rPr>
                <w:rtl/>
              </w:rPr>
            </w:pPr>
            <w:r w:rsidRPr="00666E2E">
              <w:rPr>
                <w:rtl/>
              </w:rPr>
              <w:t>(2)</w:t>
            </w:r>
            <w:r w:rsidRPr="00666E2E">
              <w:rPr>
                <w:rtl/>
              </w:rPr>
              <w:tab/>
              <w:t>יש בידו תעודה החתומה בידי השר, המעידה על תפקידו ועל סמכויותיו, שאותה יציג על פי דרישה.</w:t>
            </w:r>
          </w:p>
        </w:tc>
      </w:tr>
      <w:tr w:rsidR="00E87B1C" w:rsidRPr="00666E2E" w:rsidTr="007C5FCC">
        <w:tblPrEx>
          <w:tblLook w:val="01E0" w:firstRow="1" w:lastRow="1" w:firstColumn="1" w:lastColumn="1" w:noHBand="0" w:noVBand="0"/>
        </w:tblPrEx>
        <w:trPr>
          <w:cantSplit/>
        </w:trPr>
        <w:tc>
          <w:tcPr>
            <w:tcW w:w="1870" w:type="dxa"/>
          </w:tcPr>
          <w:p w:rsidR="00E87B1C" w:rsidRPr="00666E2E" w:rsidRDefault="00E87B1C" w:rsidP="00E87B1C">
            <w:pPr>
              <w:pStyle w:val="TableSideHeading"/>
              <w:keepLines w:val="0"/>
              <w:rPr>
                <w:szCs w:val="20"/>
                <w:rtl/>
              </w:rPr>
            </w:pPr>
            <w:r w:rsidRPr="00666E2E">
              <w:rPr>
                <w:rFonts w:hint="cs"/>
                <w:rtl/>
              </w:rPr>
              <w:t>הפרעה למפקח</w:t>
            </w:r>
            <w:r w:rsidRPr="00666E2E">
              <w:rPr>
                <w:szCs w:val="20"/>
                <w:rtl/>
              </w:rPr>
              <w:t xml:space="preserve"> </w:t>
            </w:r>
          </w:p>
        </w:tc>
        <w:tc>
          <w:tcPr>
            <w:tcW w:w="624" w:type="dxa"/>
          </w:tcPr>
          <w:p w:rsidR="00E87B1C" w:rsidRPr="00666E2E" w:rsidRDefault="00E877CE" w:rsidP="00E87B1C">
            <w:pPr>
              <w:pStyle w:val="TableText"/>
              <w:keepLines w:val="0"/>
              <w:rPr>
                <w:rtl/>
              </w:rPr>
            </w:pPr>
            <w:r w:rsidRPr="00666E2E">
              <w:rPr>
                <w:rFonts w:hint="cs"/>
                <w:rtl/>
              </w:rPr>
              <w:t>14.</w:t>
            </w:r>
          </w:p>
        </w:tc>
        <w:tc>
          <w:tcPr>
            <w:tcW w:w="7144" w:type="dxa"/>
            <w:gridSpan w:val="3"/>
          </w:tcPr>
          <w:p w:rsidR="00E87B1C" w:rsidRPr="00666E2E" w:rsidRDefault="00E87B1C" w:rsidP="00403C38">
            <w:pPr>
              <w:pStyle w:val="TableBlock"/>
              <w:rPr>
                <w:rtl/>
              </w:rPr>
            </w:pPr>
            <w:r w:rsidRPr="00666E2E">
              <w:rPr>
                <w:rFonts w:hint="cs"/>
                <w:rtl/>
              </w:rPr>
              <w:t xml:space="preserve">הפריע מפעיל צהרון או מי מטעמו למפקח להפעיל את סמכויותיו לפי סעיף 12, רשאי הממונה לשלוח לו התראה בכתב </w:t>
            </w:r>
            <w:r w:rsidR="00403C38" w:rsidRPr="00666E2E">
              <w:rPr>
                <w:rFonts w:hint="cs"/>
                <w:rtl/>
              </w:rPr>
              <w:t>ש</w:t>
            </w:r>
            <w:r w:rsidRPr="00666E2E">
              <w:rPr>
                <w:rFonts w:hint="cs"/>
                <w:rtl/>
              </w:rPr>
              <w:t>לפיה אם לא יחדל מלהפריע כאמור בתוך תקופה שנקבעה בהתראה</w:t>
            </w:r>
            <w:r w:rsidR="00403C38" w:rsidRPr="00666E2E">
              <w:rPr>
                <w:rFonts w:hint="cs"/>
                <w:rtl/>
              </w:rPr>
              <w:t>,</w:t>
            </w:r>
            <w:r w:rsidRPr="00666E2E">
              <w:rPr>
                <w:rFonts w:hint="cs"/>
                <w:rtl/>
              </w:rPr>
              <w:t xml:space="preserve"> יהיה רשאי הממונה להפעיל את סמכותו לפי פרק ה'. </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p>
        </w:tc>
        <w:tc>
          <w:tcPr>
            <w:tcW w:w="624" w:type="dxa"/>
            <w:shd w:val="clear" w:color="auto" w:fill="auto"/>
            <w:tcMar>
              <w:top w:w="91" w:type="dxa"/>
              <w:left w:w="0" w:type="dxa"/>
              <w:bottom w:w="91" w:type="dxa"/>
              <w:right w:w="0" w:type="dxa"/>
            </w:tcMar>
          </w:tcPr>
          <w:p w:rsidR="00E87B1C" w:rsidRPr="00666E2E" w:rsidRDefault="00E87B1C" w:rsidP="00E87B1C">
            <w:pPr>
              <w:pStyle w:val="TableText"/>
              <w:rPr>
                <w:rtl/>
              </w:rPr>
            </w:pPr>
          </w:p>
        </w:tc>
        <w:tc>
          <w:tcPr>
            <w:tcW w:w="7144" w:type="dxa"/>
            <w:gridSpan w:val="3"/>
            <w:shd w:val="clear" w:color="auto" w:fill="auto"/>
            <w:tcMar>
              <w:top w:w="91" w:type="dxa"/>
              <w:left w:w="0" w:type="dxa"/>
              <w:bottom w:w="91" w:type="dxa"/>
              <w:right w:w="0" w:type="dxa"/>
            </w:tcMar>
          </w:tcPr>
          <w:p w:rsidR="00E87B1C" w:rsidRPr="00666E2E" w:rsidRDefault="00E87B1C" w:rsidP="00E87B1C">
            <w:pPr>
              <w:pStyle w:val="TableHead"/>
              <w:rPr>
                <w:rtl/>
              </w:rPr>
            </w:pPr>
            <w:r w:rsidRPr="00666E2E">
              <w:rPr>
                <w:rtl/>
              </w:rPr>
              <w:t>פרק ה': צו הגבלה מינהלי</w:t>
            </w:r>
          </w:p>
        </w:tc>
      </w:tr>
      <w:tr w:rsidR="00E87B1C" w:rsidRPr="00666E2E" w:rsidTr="007C5FCC">
        <w:trPr>
          <w:cantSplit/>
        </w:trPr>
        <w:tc>
          <w:tcPr>
            <w:tcW w:w="1870" w:type="dxa"/>
            <w:shd w:val="clear" w:color="auto" w:fill="auto"/>
            <w:tcMar>
              <w:top w:w="91" w:type="dxa"/>
              <w:left w:w="0" w:type="dxa"/>
              <w:bottom w:w="91" w:type="dxa"/>
              <w:right w:w="0" w:type="dxa"/>
            </w:tcMar>
          </w:tcPr>
          <w:p w:rsidR="00E87B1C" w:rsidRPr="00666E2E" w:rsidRDefault="00E87B1C" w:rsidP="00E87B1C">
            <w:pPr>
              <w:pStyle w:val="TableSideHeading"/>
              <w:rPr>
                <w:rtl/>
              </w:rPr>
            </w:pPr>
            <w:r w:rsidRPr="00666E2E">
              <w:rPr>
                <w:rtl/>
              </w:rPr>
              <w:t>צו הגבלה מינהלי</w:t>
            </w:r>
          </w:p>
        </w:tc>
        <w:tc>
          <w:tcPr>
            <w:tcW w:w="624" w:type="dxa"/>
            <w:shd w:val="clear" w:color="auto" w:fill="auto"/>
            <w:tcMar>
              <w:top w:w="91" w:type="dxa"/>
              <w:left w:w="0" w:type="dxa"/>
              <w:bottom w:w="91" w:type="dxa"/>
              <w:right w:w="0" w:type="dxa"/>
            </w:tcMar>
          </w:tcPr>
          <w:p w:rsidR="00E87B1C" w:rsidRPr="00666E2E" w:rsidRDefault="00E877CE" w:rsidP="00E87B1C">
            <w:pPr>
              <w:pStyle w:val="TableText"/>
              <w:rPr>
                <w:rtl/>
              </w:rPr>
            </w:pPr>
            <w:r w:rsidRPr="00666E2E">
              <w:rPr>
                <w:rFonts w:hint="cs"/>
                <w:rtl/>
              </w:rPr>
              <w:t>15</w:t>
            </w:r>
            <w:r w:rsidR="00E87B1C" w:rsidRPr="00666E2E">
              <w:rPr>
                <w:rtl/>
              </w:rPr>
              <w:t>.</w:t>
            </w:r>
          </w:p>
        </w:tc>
        <w:tc>
          <w:tcPr>
            <w:tcW w:w="7144" w:type="dxa"/>
            <w:gridSpan w:val="3"/>
            <w:shd w:val="clear" w:color="auto" w:fill="auto"/>
            <w:tcMar>
              <w:top w:w="91" w:type="dxa"/>
              <w:left w:w="0" w:type="dxa"/>
              <w:bottom w:w="91" w:type="dxa"/>
              <w:right w:w="0" w:type="dxa"/>
            </w:tcMar>
          </w:tcPr>
          <w:p w:rsidR="00E87B1C" w:rsidRPr="00666E2E" w:rsidRDefault="00E87B1C" w:rsidP="007C5FCC">
            <w:pPr>
              <w:pStyle w:val="TableBlock"/>
              <w:rPr>
                <w:rtl/>
              </w:rPr>
            </w:pPr>
            <w:r w:rsidRPr="00666E2E">
              <w:rPr>
                <w:rtl/>
              </w:rPr>
              <w:t>(א)</w:t>
            </w:r>
            <w:r w:rsidRPr="00666E2E">
              <w:rPr>
                <w:rtl/>
              </w:rPr>
              <w:tab/>
              <w:t>היה לממונה יסוד סביר לחשד כי חדל להתקיים תנאי מהתנאים לפתיחת צהרון או להפעלתו לפי חוק זה</w:t>
            </w:r>
            <w:r w:rsidR="007C5FCC" w:rsidRPr="00666E2E">
              <w:rPr>
                <w:rFonts w:hint="cs"/>
                <w:rtl/>
              </w:rPr>
              <w:t xml:space="preserve"> (בסעיף זה </w:t>
            </w:r>
            <w:r w:rsidR="007C5FCC" w:rsidRPr="00666E2E">
              <w:rPr>
                <w:rtl/>
              </w:rPr>
              <w:t>–</w:t>
            </w:r>
            <w:r w:rsidR="007C5FCC" w:rsidRPr="00666E2E">
              <w:rPr>
                <w:rFonts w:hint="cs"/>
                <w:rtl/>
              </w:rPr>
              <w:t xml:space="preserve"> הפרת תנאי)</w:t>
            </w:r>
            <w:r w:rsidR="007C5FCC" w:rsidRPr="00666E2E">
              <w:rPr>
                <w:rtl/>
              </w:rPr>
              <w:t xml:space="preserve">, </w:t>
            </w:r>
            <w:r w:rsidRPr="00666E2E">
              <w:rPr>
                <w:rtl/>
              </w:rPr>
              <w:t>וכי נגרמת בשל כך פגיעה בשלומם או בבטיחותם של ילדים השוהים בו או שיש יסוד סביר לחשד שתיגרם בשל כך פגיעה כאמור, רשאי הוא לדרוש ממפעיל הצהרון לקיים את התנאי כאמור (בפרק זה – התראה) באופן ובתוך המועד שנקבעו בהתראה.</w:t>
            </w:r>
          </w:p>
        </w:tc>
      </w:tr>
      <w:tr w:rsidR="007C5FCC" w:rsidRPr="00666E2E" w:rsidTr="003A6110">
        <w:trPr>
          <w:cantSplit/>
        </w:trPr>
        <w:tc>
          <w:tcPr>
            <w:tcW w:w="1870" w:type="dxa"/>
            <w:shd w:val="clear" w:color="auto" w:fill="auto"/>
            <w:tcMar>
              <w:top w:w="91" w:type="dxa"/>
              <w:left w:w="0" w:type="dxa"/>
              <w:bottom w:w="91" w:type="dxa"/>
              <w:right w:w="0" w:type="dxa"/>
            </w:tcMar>
          </w:tcPr>
          <w:p w:rsidR="007C5FCC" w:rsidRPr="00666E2E" w:rsidRDefault="007C5FCC" w:rsidP="003A6110">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3A6110">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B06838">
            <w:pPr>
              <w:pStyle w:val="TableBlock"/>
              <w:rPr>
                <w:rtl/>
              </w:rPr>
            </w:pPr>
            <w:r w:rsidRPr="00666E2E">
              <w:rPr>
                <w:rFonts w:hint="cs"/>
                <w:rtl/>
              </w:rPr>
              <w:t>(ב)</w:t>
            </w:r>
            <w:r w:rsidRPr="00666E2E">
              <w:rPr>
                <w:rFonts w:hint="cs"/>
                <w:rtl/>
              </w:rPr>
              <w:tab/>
              <w:t xml:space="preserve">נמסרה התראה לפי הוראות סעיף קטן (א), רשאי מפעיל צהרון לפנות לממונה בכתב, בתוך </w:t>
            </w:r>
            <w:r w:rsidR="003A6110" w:rsidRPr="00666E2E">
              <w:rPr>
                <w:rFonts w:hint="cs"/>
                <w:rtl/>
              </w:rPr>
              <w:t>14</w:t>
            </w:r>
            <w:r w:rsidRPr="00666E2E">
              <w:rPr>
                <w:rFonts w:hint="cs"/>
                <w:rtl/>
              </w:rPr>
              <w:t xml:space="preserve"> ימים, בבקשה לבטל את ההתראה בשל אחד מטעמים אלה:</w:t>
            </w:r>
          </w:p>
        </w:tc>
      </w:tr>
      <w:tr w:rsidR="007C5FCC" w:rsidRPr="00666E2E" w:rsidTr="003A6110">
        <w:tblPrEx>
          <w:tblLook w:val="01E0" w:firstRow="1" w:lastRow="1" w:firstColumn="1" w:lastColumn="1" w:noHBand="0" w:noVBand="0"/>
        </w:tblPrEx>
        <w:trPr>
          <w:cantSplit/>
          <w:trHeight w:val="60"/>
        </w:trPr>
        <w:tc>
          <w:tcPr>
            <w:tcW w:w="1870" w:type="dxa"/>
          </w:tcPr>
          <w:p w:rsidR="007C5FCC" w:rsidRPr="00666E2E" w:rsidRDefault="007C5FCC" w:rsidP="003A6110">
            <w:pPr>
              <w:pStyle w:val="TableSideHeading"/>
            </w:pPr>
          </w:p>
        </w:tc>
        <w:tc>
          <w:tcPr>
            <w:tcW w:w="624" w:type="dxa"/>
          </w:tcPr>
          <w:p w:rsidR="007C5FCC" w:rsidRPr="00666E2E" w:rsidRDefault="007C5FCC" w:rsidP="003A6110">
            <w:pPr>
              <w:pStyle w:val="TableText"/>
            </w:pPr>
          </w:p>
        </w:tc>
        <w:tc>
          <w:tcPr>
            <w:tcW w:w="624" w:type="dxa"/>
          </w:tcPr>
          <w:p w:rsidR="007C5FCC" w:rsidRPr="00666E2E" w:rsidRDefault="007C5FCC" w:rsidP="003A6110">
            <w:pPr>
              <w:pStyle w:val="TableText"/>
            </w:pPr>
          </w:p>
        </w:tc>
        <w:tc>
          <w:tcPr>
            <w:tcW w:w="6520" w:type="dxa"/>
            <w:gridSpan w:val="2"/>
          </w:tcPr>
          <w:p w:rsidR="007C5FCC" w:rsidRPr="00666E2E" w:rsidRDefault="007C5FCC" w:rsidP="003A6110">
            <w:pPr>
              <w:pStyle w:val="TableBlock"/>
            </w:pPr>
            <w:r w:rsidRPr="00666E2E">
              <w:rPr>
                <w:rFonts w:hint="cs"/>
                <w:rtl/>
              </w:rPr>
              <w:t>(1)</w:t>
            </w:r>
            <w:r w:rsidRPr="00666E2E">
              <w:rPr>
                <w:rFonts w:hint="cs"/>
                <w:rtl/>
              </w:rPr>
              <w:tab/>
              <w:t>מפעיל הצהרון לא ביצע את הפרת התנאי;</w:t>
            </w:r>
          </w:p>
        </w:tc>
      </w:tr>
      <w:tr w:rsidR="007C5FCC" w:rsidRPr="00666E2E" w:rsidTr="003A6110">
        <w:tblPrEx>
          <w:tblLook w:val="01E0" w:firstRow="1" w:lastRow="1" w:firstColumn="1" w:lastColumn="1" w:noHBand="0" w:noVBand="0"/>
        </w:tblPrEx>
        <w:trPr>
          <w:cantSplit/>
          <w:trHeight w:val="60"/>
        </w:trPr>
        <w:tc>
          <w:tcPr>
            <w:tcW w:w="1870" w:type="dxa"/>
          </w:tcPr>
          <w:p w:rsidR="007C5FCC" w:rsidRPr="00666E2E" w:rsidRDefault="007C5FCC" w:rsidP="003A6110">
            <w:pPr>
              <w:pStyle w:val="TableSideHeading"/>
            </w:pPr>
          </w:p>
        </w:tc>
        <w:tc>
          <w:tcPr>
            <w:tcW w:w="624" w:type="dxa"/>
          </w:tcPr>
          <w:p w:rsidR="007C5FCC" w:rsidRPr="00666E2E" w:rsidRDefault="007C5FCC" w:rsidP="003A6110">
            <w:pPr>
              <w:pStyle w:val="TableText"/>
            </w:pPr>
          </w:p>
        </w:tc>
        <w:tc>
          <w:tcPr>
            <w:tcW w:w="624" w:type="dxa"/>
          </w:tcPr>
          <w:p w:rsidR="007C5FCC" w:rsidRPr="00666E2E" w:rsidRDefault="007C5FCC" w:rsidP="003A6110">
            <w:pPr>
              <w:pStyle w:val="TableText"/>
            </w:pPr>
          </w:p>
        </w:tc>
        <w:tc>
          <w:tcPr>
            <w:tcW w:w="6520" w:type="dxa"/>
            <w:gridSpan w:val="2"/>
          </w:tcPr>
          <w:p w:rsidR="007C5FCC" w:rsidRPr="00666E2E" w:rsidRDefault="007C5FCC" w:rsidP="00B06838">
            <w:pPr>
              <w:pStyle w:val="TableBlock"/>
            </w:pPr>
            <w:r w:rsidRPr="00666E2E">
              <w:rPr>
                <w:rFonts w:hint="cs"/>
                <w:rtl/>
              </w:rPr>
              <w:t>(2)</w:t>
            </w:r>
            <w:r w:rsidRPr="00666E2E">
              <w:rPr>
                <w:rFonts w:hint="cs"/>
                <w:rtl/>
              </w:rPr>
              <w:tab/>
              <w:t>המעשה שביצע מפעיל הצהרון, המפורט בהתראה, אינו מהווה הפרת תנאי.</w:t>
            </w:r>
          </w:p>
        </w:tc>
      </w:tr>
      <w:tr w:rsidR="007C5FCC" w:rsidRPr="00666E2E" w:rsidTr="003A6110">
        <w:trPr>
          <w:cantSplit/>
        </w:trPr>
        <w:tc>
          <w:tcPr>
            <w:tcW w:w="1870" w:type="dxa"/>
            <w:shd w:val="clear" w:color="auto" w:fill="auto"/>
            <w:tcMar>
              <w:top w:w="91" w:type="dxa"/>
              <w:left w:w="0" w:type="dxa"/>
              <w:bottom w:w="91" w:type="dxa"/>
              <w:right w:w="0" w:type="dxa"/>
            </w:tcMar>
          </w:tcPr>
          <w:p w:rsidR="007C5FCC" w:rsidRPr="00666E2E" w:rsidRDefault="007C5FCC" w:rsidP="003A6110">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3A6110">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B06838">
            <w:pPr>
              <w:pStyle w:val="TableBlock"/>
              <w:rPr>
                <w:rtl/>
              </w:rPr>
            </w:pPr>
            <w:r w:rsidRPr="00666E2E">
              <w:rPr>
                <w:rFonts w:hint="cs"/>
                <w:rtl/>
              </w:rPr>
              <w:t>(ג)</w:t>
            </w:r>
            <w:r w:rsidRPr="00666E2E">
              <w:rPr>
                <w:rFonts w:hint="cs"/>
                <w:rtl/>
              </w:rPr>
              <w:tab/>
              <w:t>קיבל הממונה בקשה לביטול התראה, לפי הוראות סעיף קטן (ב), רשאי הוא לבטל את ההתראה מהטעמים האמורים באותו סעיף קטן או לדחות את הבקשה ולהשאיר את ההתראה על כנה; החלטת הממונה תינתן בכתב, ותימסר למפעיל הצהרון, בצירוף נימוקים.</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B06838">
            <w:pPr>
              <w:pStyle w:val="TableBlock"/>
              <w:rPr>
                <w:rtl/>
              </w:rPr>
            </w:pPr>
            <w:r w:rsidRPr="00666E2E">
              <w:rPr>
                <w:rtl/>
              </w:rPr>
              <w:t>(</w:t>
            </w:r>
            <w:r w:rsidRPr="00666E2E">
              <w:rPr>
                <w:rFonts w:hint="cs"/>
                <w:rtl/>
              </w:rPr>
              <w:t>ד</w:t>
            </w:r>
            <w:r w:rsidRPr="00666E2E">
              <w:rPr>
                <w:rtl/>
              </w:rPr>
              <w:t>)</w:t>
            </w:r>
            <w:r w:rsidRPr="00666E2E">
              <w:rPr>
                <w:rtl/>
              </w:rPr>
              <w:tab/>
              <w:t>ניתנה התראה לפי הוראות סעיף קטן (א) ולא קוימו הוראותיה באופן ובמועד שנקבעו בה, רשאי הממונה להורות, בצו, כי המקום לא ישמש להפעלת צהרון או כי השימוש במקום ייעשה במגבלות ובתנאים שנקבעו בצו, והכול במידה שלא תעלה על הנדרש בנסיבות העניין (בפרק זה – צו הגבלה מינהלי)</w:t>
            </w:r>
            <w:r w:rsidRPr="00666E2E">
              <w:rPr>
                <w:rFonts w:hint="cs"/>
                <w:rtl/>
              </w:rPr>
              <w:t>; הממונה רשאי לקבוע בצו הגבלה מינהלי הוראות לעניין אחראים לביצועו ודרכי הבטחת מילויו.</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B06838">
            <w:pPr>
              <w:pStyle w:val="TableBlock"/>
              <w:rPr>
                <w:rtl/>
              </w:rPr>
            </w:pPr>
            <w:r w:rsidRPr="00666E2E">
              <w:rPr>
                <w:rtl/>
              </w:rPr>
              <w:t>(</w:t>
            </w:r>
            <w:r w:rsidRPr="00666E2E">
              <w:rPr>
                <w:rFonts w:hint="cs"/>
                <w:rtl/>
              </w:rPr>
              <w:t>ה</w:t>
            </w:r>
            <w:r w:rsidRPr="00666E2E">
              <w:rPr>
                <w:rtl/>
              </w:rPr>
              <w:t>)</w:t>
            </w:r>
            <w:r w:rsidRPr="00666E2E">
              <w:rPr>
                <w:rtl/>
              </w:rPr>
              <w:tab/>
              <w:t xml:space="preserve">על אף האמור בסעיף קטן (א), מצא הממונה כי כתוצאה מפעילות הצהרון יש אפשרות ממשית לפגיעה מיידית בשלומם של הילדים השוהים בו, רשאי הוא להוציא צו הגבלה מינהלי, בלי שנתן התראה קודם לכן. </w:t>
            </w:r>
          </w:p>
        </w:tc>
      </w:tr>
      <w:tr w:rsidR="007C5FCC" w:rsidRPr="00666E2E" w:rsidTr="007C5FCC">
        <w:tblPrEx>
          <w:tblLook w:val="01E0" w:firstRow="1" w:lastRow="1" w:firstColumn="1" w:lastColumn="1" w:noHBand="0" w:noVBand="0"/>
        </w:tblPrEx>
        <w:trPr>
          <w:cantSplit/>
          <w:trHeight w:val="60"/>
        </w:trPr>
        <w:tc>
          <w:tcPr>
            <w:tcW w:w="1870" w:type="dxa"/>
          </w:tcPr>
          <w:p w:rsidR="007C5FCC" w:rsidRPr="00666E2E" w:rsidRDefault="007C5FCC" w:rsidP="007C5FCC">
            <w:pPr>
              <w:pStyle w:val="TableSideHeading"/>
            </w:pPr>
          </w:p>
        </w:tc>
        <w:tc>
          <w:tcPr>
            <w:tcW w:w="624" w:type="dxa"/>
          </w:tcPr>
          <w:p w:rsidR="007C5FCC" w:rsidRPr="00666E2E" w:rsidRDefault="007C5FCC" w:rsidP="007C5FCC">
            <w:pPr>
              <w:pStyle w:val="TableText"/>
            </w:pPr>
          </w:p>
        </w:tc>
        <w:tc>
          <w:tcPr>
            <w:tcW w:w="7144" w:type="dxa"/>
            <w:gridSpan w:val="3"/>
          </w:tcPr>
          <w:p w:rsidR="007C5FCC" w:rsidRPr="00666E2E" w:rsidRDefault="007C5FCC" w:rsidP="00B06838">
            <w:pPr>
              <w:pStyle w:val="TableBlock"/>
            </w:pPr>
            <w:r w:rsidRPr="00666E2E">
              <w:rPr>
                <w:rFonts w:hint="cs"/>
                <w:rtl/>
              </w:rPr>
              <w:t>(ו)</w:t>
            </w:r>
            <w:r w:rsidRPr="00666E2E">
              <w:rPr>
                <w:rtl/>
              </w:rPr>
              <w:tab/>
              <w:t xml:space="preserve">לא יינתן צו הגבלה מינהלי אלא לאחר שניתנה למפעיל </w:t>
            </w:r>
            <w:r w:rsidRPr="00666E2E">
              <w:rPr>
                <w:rFonts w:hint="cs"/>
                <w:rtl/>
              </w:rPr>
              <w:t xml:space="preserve">צהרון </w:t>
            </w:r>
            <w:r w:rsidRPr="00666E2E">
              <w:rPr>
                <w:rtl/>
              </w:rPr>
              <w:t>שלגביו ניתן הצו הזדמנות סבירה לטעון את טענותיו</w:t>
            </w:r>
            <w:r w:rsidRPr="00666E2E">
              <w:rPr>
                <w:rFonts w:hint="cs"/>
                <w:rtl/>
              </w:rPr>
              <w:t xml:space="preserve">; ואולם, </w:t>
            </w:r>
            <w:r w:rsidRPr="00666E2E">
              <w:rPr>
                <w:rtl/>
              </w:rPr>
              <w:t xml:space="preserve">הממונה </w:t>
            </w:r>
            <w:r w:rsidRPr="00666E2E">
              <w:rPr>
                <w:rFonts w:hint="cs"/>
                <w:rtl/>
              </w:rPr>
              <w:t xml:space="preserve">רשאי </w:t>
            </w:r>
            <w:r w:rsidRPr="00666E2E">
              <w:rPr>
                <w:rtl/>
              </w:rPr>
              <w:t>להוציא צו הגבלה מינהלי גם בלא שניתנה הזדמנות לטעון טענות כאמור, אם סבר שיהיה במתן הזדמנות לטעון טענות כאמור כדי לסכל את מטרת הוצאת הצו, ובלבד שהזדמנות כאמור תינתן בהקדם האפשרי לאחר מכן.</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B06838">
            <w:pPr>
              <w:pStyle w:val="TableBlock"/>
              <w:rPr>
                <w:rtl/>
              </w:rPr>
            </w:pPr>
            <w:r w:rsidRPr="00666E2E">
              <w:rPr>
                <w:rtl/>
              </w:rPr>
              <w:t>(</w:t>
            </w:r>
            <w:r w:rsidRPr="00666E2E">
              <w:rPr>
                <w:rFonts w:hint="cs"/>
                <w:rtl/>
              </w:rPr>
              <w:t>ז</w:t>
            </w:r>
            <w:r w:rsidRPr="00666E2E">
              <w:rPr>
                <w:rtl/>
              </w:rPr>
              <w:t>)</w:t>
            </w:r>
            <w:r w:rsidRPr="00666E2E">
              <w:rPr>
                <w:rtl/>
              </w:rPr>
              <w:tab/>
              <w:t>הממונה יקבע בצו ההגבלה המינהלי הוראות לעניין ביצועו, ובכלל זה הוראות בדבר מסירת הודעה להורי הילדים השוהים בצהרון שלגביו ניתן הצו על מתן הצו ועל הטעמים לנתינתו.</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B06838">
            <w:pPr>
              <w:pStyle w:val="TableBlock"/>
              <w:rPr>
                <w:rtl/>
              </w:rPr>
            </w:pPr>
            <w:r w:rsidRPr="00666E2E">
              <w:rPr>
                <w:rtl/>
              </w:rPr>
              <w:t>(</w:t>
            </w:r>
            <w:r w:rsidRPr="00666E2E">
              <w:rPr>
                <w:rFonts w:hint="cs"/>
                <w:rtl/>
              </w:rPr>
              <w:t>ח</w:t>
            </w:r>
            <w:r w:rsidRPr="00666E2E">
              <w:rPr>
                <w:rtl/>
              </w:rPr>
              <w:t>)</w:t>
            </w:r>
            <w:r w:rsidRPr="00666E2E">
              <w:rPr>
                <w:rtl/>
              </w:rPr>
              <w:tab/>
              <w:t>עותק של צו הגבלה מינהלי יוצג בצהרון שלגביו ניתן, ויומצא למפעיל הצהרון ולמנהלו, אם ניתן לאתרם בשקידה סבירה.</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szCs w:val="20"/>
                <w:rtl/>
              </w:rPr>
            </w:pPr>
            <w:r w:rsidRPr="00666E2E">
              <w:rPr>
                <w:szCs w:val="20"/>
                <w:rtl/>
              </w:rPr>
              <w:t xml:space="preserve"> </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w:t>
            </w:r>
            <w:r w:rsidRPr="00666E2E">
              <w:rPr>
                <w:rFonts w:hint="cs"/>
                <w:rtl/>
              </w:rPr>
              <w:t>ט</w:t>
            </w:r>
            <w:r w:rsidRPr="00666E2E">
              <w:rPr>
                <w:rtl/>
              </w:rPr>
              <w:t>)</w:t>
            </w:r>
            <w:r w:rsidRPr="00666E2E">
              <w:rPr>
                <w:rtl/>
              </w:rPr>
              <w:tab/>
              <w:t>צו הגבלה מינהלי יעמוד בתוקפו לתקופה שתיקבע בו; הממונה רשאי להאריך את תוקפו לתקופות נוספות</w:t>
            </w:r>
            <w:r w:rsidRPr="00666E2E">
              <w:rPr>
                <w:rFonts w:hint="cs"/>
                <w:rtl/>
              </w:rPr>
              <w:t>.</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szCs w:val="20"/>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3A6110">
            <w:pPr>
              <w:pStyle w:val="TableBlock"/>
              <w:rPr>
                <w:rtl/>
              </w:rPr>
            </w:pPr>
            <w:r w:rsidRPr="00666E2E">
              <w:rPr>
                <w:rFonts w:hint="cs"/>
                <w:rtl/>
              </w:rPr>
              <w:t xml:space="preserve">(י) </w:t>
            </w:r>
            <w:r w:rsidRPr="00666E2E">
              <w:rPr>
                <w:rtl/>
              </w:rPr>
              <w:tab/>
            </w:r>
            <w:r w:rsidRPr="00666E2E">
              <w:rPr>
                <w:rFonts w:hint="cs"/>
                <w:rtl/>
              </w:rPr>
              <w:t xml:space="preserve">על החלטת הממונה לפי סעיף זה ניתן </w:t>
            </w:r>
            <w:r w:rsidR="003A6110" w:rsidRPr="00666E2E">
              <w:rPr>
                <w:rFonts w:hint="cs"/>
                <w:rtl/>
              </w:rPr>
              <w:t>לערער</w:t>
            </w:r>
            <w:r w:rsidRPr="00666E2E">
              <w:rPr>
                <w:rFonts w:hint="cs"/>
                <w:rtl/>
              </w:rPr>
              <w:t xml:space="preserve"> לבית משפט השלום שבו יושב נשיא בית משפט השלום שבאזור שיפוטו ניתנה ההחלטה, בתוך 30 ימים מיום שנמסרה ההחלטה,  ולעניין צו הגבלה מינהלי </w:t>
            </w:r>
            <w:r w:rsidRPr="00666E2E">
              <w:rPr>
                <w:rtl/>
              </w:rPr>
              <w:t>–</w:t>
            </w:r>
            <w:r w:rsidRPr="00666E2E">
              <w:rPr>
                <w:rFonts w:hint="cs"/>
                <w:rtl/>
              </w:rPr>
              <w:t xml:space="preserve"> בתוך תקופת הצו. </w:t>
            </w:r>
          </w:p>
        </w:tc>
      </w:tr>
      <w:tr w:rsidR="007C5FCC" w:rsidRPr="00666E2E" w:rsidTr="007C5FCC">
        <w:tblPrEx>
          <w:tblLook w:val="01E0" w:firstRow="1" w:lastRow="1" w:firstColumn="1" w:lastColumn="1" w:noHBand="0" w:noVBand="0"/>
        </w:tblPrEx>
        <w:trPr>
          <w:cantSplit/>
        </w:trPr>
        <w:tc>
          <w:tcPr>
            <w:tcW w:w="1870" w:type="dxa"/>
          </w:tcPr>
          <w:p w:rsidR="007C5FCC" w:rsidRPr="00666E2E" w:rsidRDefault="00024BD5" w:rsidP="00024BD5">
            <w:pPr>
              <w:pStyle w:val="TableSideHeading"/>
              <w:keepLines w:val="0"/>
              <w:rPr>
                <w:rtl/>
              </w:rPr>
            </w:pPr>
            <w:r>
              <w:rPr>
                <w:rFonts w:hint="cs"/>
                <w:rtl/>
              </w:rPr>
              <w:t>תוקף צו הגבלה מינהלי</w:t>
            </w:r>
          </w:p>
        </w:tc>
        <w:tc>
          <w:tcPr>
            <w:tcW w:w="624" w:type="dxa"/>
          </w:tcPr>
          <w:p w:rsidR="007C5FCC" w:rsidRPr="00666E2E" w:rsidRDefault="007C5FCC" w:rsidP="007C5FCC">
            <w:pPr>
              <w:pStyle w:val="TableText"/>
              <w:rPr>
                <w:rtl/>
              </w:rPr>
            </w:pPr>
            <w:r w:rsidRPr="00666E2E">
              <w:rPr>
                <w:rFonts w:hint="cs"/>
                <w:rtl/>
              </w:rPr>
              <w:t>16.</w:t>
            </w:r>
          </w:p>
        </w:tc>
        <w:tc>
          <w:tcPr>
            <w:tcW w:w="7144" w:type="dxa"/>
            <w:gridSpan w:val="3"/>
          </w:tcPr>
          <w:p w:rsidR="007C5FCC" w:rsidRPr="00666E2E" w:rsidRDefault="007C5FCC" w:rsidP="00B06838">
            <w:pPr>
              <w:pStyle w:val="TableBlock"/>
              <w:rPr>
                <w:rtl/>
              </w:rPr>
            </w:pPr>
            <w:r w:rsidRPr="00666E2E">
              <w:rPr>
                <w:rFonts w:hint="cs"/>
                <w:rtl/>
              </w:rPr>
              <w:t>הגשת ערעור</w:t>
            </w:r>
            <w:r w:rsidR="003A6110" w:rsidRPr="00666E2E">
              <w:rPr>
                <w:rFonts w:hint="cs"/>
                <w:rtl/>
              </w:rPr>
              <w:t xml:space="preserve"> </w:t>
            </w:r>
            <w:r w:rsidRPr="00666E2E">
              <w:rPr>
                <w:rFonts w:hint="cs"/>
                <w:rtl/>
              </w:rPr>
              <w:t>לפי סעיף 15(</w:t>
            </w:r>
            <w:r w:rsidR="003A6110" w:rsidRPr="00666E2E">
              <w:rPr>
                <w:rFonts w:hint="cs"/>
                <w:rtl/>
              </w:rPr>
              <w:t>י</w:t>
            </w:r>
            <w:r w:rsidRPr="00666E2E">
              <w:rPr>
                <w:rFonts w:hint="cs"/>
                <w:rtl/>
              </w:rPr>
              <w:t>) אינה מתלה את תוקפו של צו</w:t>
            </w:r>
            <w:r w:rsidR="00B06838" w:rsidRPr="00666E2E">
              <w:rPr>
                <w:rFonts w:hint="cs"/>
                <w:rtl/>
              </w:rPr>
              <w:t xml:space="preserve"> הגבלה מינהלי</w:t>
            </w:r>
            <w:r w:rsidRPr="00666E2E">
              <w:rPr>
                <w:rFonts w:hint="cs"/>
                <w:rtl/>
              </w:rPr>
              <w:t>, כל עוד לא החליט בית המשפט אחרת; החליט בית המשפט להתלות את תוקפו של הצו במעמד צד אחד, יידון הערעור במעמד הצדדים בהקדם האפשרי ולא יאוחר מתום שבעה ימים מיום ההחלטה.</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Head"/>
              <w:rPr>
                <w:rtl/>
              </w:rPr>
            </w:pPr>
            <w:r w:rsidRPr="00666E2E">
              <w:rPr>
                <w:rtl/>
              </w:rPr>
              <w:t>פרק ו': עיצומים כספיים</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szCs w:val="20"/>
                <w:rtl/>
              </w:rPr>
            </w:pPr>
            <w:r w:rsidRPr="00666E2E">
              <w:rPr>
                <w:rFonts w:hint="cs"/>
                <w:rtl/>
              </w:rPr>
              <w:t xml:space="preserve">הגדרות </w:t>
            </w:r>
            <w:r w:rsidRPr="00666E2E">
              <w:rPr>
                <w:rtl/>
              </w:rPr>
              <w:t>–</w:t>
            </w:r>
            <w:r w:rsidRPr="00666E2E">
              <w:rPr>
                <w:rFonts w:hint="cs"/>
                <w:rtl/>
              </w:rPr>
              <w:t xml:space="preserve"> פרק ו'</w:t>
            </w:r>
            <w:r w:rsidRPr="00666E2E">
              <w:rPr>
                <w:szCs w:val="20"/>
                <w:rtl/>
              </w:rPr>
              <w:t xml:space="preserve"> </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17</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Fonts w:hint="cs"/>
                <w:rtl/>
              </w:rPr>
              <w:t xml:space="preserve">בפרק זה </w:t>
            </w:r>
            <w:r w:rsidRPr="00666E2E">
              <w:rPr>
                <w:rtl/>
              </w:rPr>
              <w:t xml:space="preserve">– </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Del="00201A0B"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Outdent"/>
              <w:rPr>
                <w:rtl/>
              </w:rPr>
            </w:pPr>
            <w:r w:rsidRPr="00666E2E">
              <w:rPr>
                <w:rFonts w:hint="cs"/>
                <w:rtl/>
              </w:rPr>
              <w:t xml:space="preserve">"מפעיל צהרון" </w:t>
            </w:r>
            <w:r w:rsidRPr="00666E2E">
              <w:rPr>
                <w:rtl/>
              </w:rPr>
              <w:t>–</w:t>
            </w:r>
            <w:r w:rsidR="003A6110" w:rsidRPr="00666E2E">
              <w:rPr>
                <w:rFonts w:hint="cs"/>
                <w:rtl/>
              </w:rPr>
              <w:t xml:space="preserve"> </w:t>
            </w:r>
            <w:r w:rsidRPr="00666E2E">
              <w:rPr>
                <w:rFonts w:hint="cs"/>
                <w:rtl/>
              </w:rPr>
              <w:t>למעט מנהל צהרון ובעלים של צהרון;</w:t>
            </w:r>
            <w:r w:rsidRPr="00666E2E">
              <w:rPr>
                <w:rtl/>
              </w:rPr>
              <w:t xml:space="preserve"> </w:t>
            </w:r>
            <w:r w:rsidRPr="00666E2E">
              <w:rPr>
                <w:rFonts w:hint="cs"/>
                <w:rtl/>
              </w:rPr>
              <w:t xml:space="preserve"> </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Del="00201A0B"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Outdent"/>
              <w:rPr>
                <w:rtl/>
              </w:rPr>
            </w:pPr>
            <w:r w:rsidRPr="00666E2E">
              <w:rPr>
                <w:rFonts w:hint="cs"/>
                <w:rtl/>
              </w:rPr>
              <w:t xml:space="preserve">"הסכום הבסיסי" </w:t>
            </w:r>
            <w:r w:rsidRPr="00666E2E">
              <w:rPr>
                <w:rtl/>
              </w:rPr>
              <w:t>–</w:t>
            </w:r>
            <w:r w:rsidRPr="00666E2E">
              <w:rPr>
                <w:rFonts w:hint="cs"/>
                <w:rtl/>
              </w:rPr>
              <w:t xml:space="preserve"> 3000 שקלים חדשים, ולגבי מפעיל צהרון המפעיל יותר מחמישה צהרונים </w:t>
            </w:r>
            <w:r w:rsidRPr="00666E2E">
              <w:rPr>
                <w:rtl/>
              </w:rPr>
              <w:t>–</w:t>
            </w:r>
            <w:r w:rsidRPr="00666E2E">
              <w:rPr>
                <w:rFonts w:hint="cs"/>
                <w:rtl/>
              </w:rPr>
              <w:t xml:space="preserve"> 6000 שקלים חדשים.</w:t>
            </w:r>
          </w:p>
        </w:tc>
      </w:tr>
      <w:tr w:rsidR="007C5FCC" w:rsidRPr="00666E2E" w:rsidTr="007C5FCC">
        <w:tblPrEx>
          <w:tblLook w:val="01E0" w:firstRow="1" w:lastRow="1" w:firstColumn="1" w:lastColumn="1" w:noHBand="0" w:noVBand="0"/>
        </w:tblPrEx>
        <w:trPr>
          <w:cantSplit/>
        </w:trPr>
        <w:tc>
          <w:tcPr>
            <w:tcW w:w="1870" w:type="dxa"/>
          </w:tcPr>
          <w:p w:rsidR="007C5FCC" w:rsidRPr="00666E2E" w:rsidRDefault="007C5FCC" w:rsidP="007C5FCC">
            <w:pPr>
              <w:pStyle w:val="TableSideHeading"/>
              <w:keepLines w:val="0"/>
              <w:rPr>
                <w:rtl/>
              </w:rPr>
            </w:pPr>
            <w:r w:rsidRPr="00666E2E">
              <w:rPr>
                <w:rFonts w:hint="cs"/>
                <w:rtl/>
              </w:rPr>
              <w:t>עיצום כספי בגובה מחצית הסכום הבסיסי</w:t>
            </w:r>
          </w:p>
        </w:tc>
        <w:tc>
          <w:tcPr>
            <w:tcW w:w="624" w:type="dxa"/>
          </w:tcPr>
          <w:p w:rsidR="007C5FCC" w:rsidRPr="00666E2E" w:rsidRDefault="007C5FCC" w:rsidP="007C5FCC">
            <w:pPr>
              <w:pStyle w:val="TableText"/>
              <w:keepLines w:val="0"/>
              <w:rPr>
                <w:rtl/>
              </w:rPr>
            </w:pPr>
            <w:r w:rsidRPr="00666E2E">
              <w:rPr>
                <w:rFonts w:hint="cs"/>
                <w:rtl/>
              </w:rPr>
              <w:t>18.</w:t>
            </w:r>
          </w:p>
        </w:tc>
        <w:tc>
          <w:tcPr>
            <w:tcW w:w="7144" w:type="dxa"/>
            <w:gridSpan w:val="3"/>
          </w:tcPr>
          <w:p w:rsidR="007C5FCC" w:rsidRPr="00666E2E" w:rsidRDefault="007C5FCC" w:rsidP="007C5FCC">
            <w:pPr>
              <w:pStyle w:val="TableBlock"/>
              <w:rPr>
                <w:rtl/>
              </w:rPr>
            </w:pPr>
            <w:r w:rsidRPr="00666E2E">
              <w:rPr>
                <w:rtl/>
              </w:rPr>
              <w:t xml:space="preserve">הפר מפעיל צהרון </w:t>
            </w:r>
            <w:r w:rsidRPr="00666E2E">
              <w:rPr>
                <w:rFonts w:hint="cs"/>
                <w:rtl/>
              </w:rPr>
              <w:t xml:space="preserve">הוראה מהוראות חוק זה, כמפורט להלן, רשאי הממונה להטיל עליו עיצום כספי לפי הוראות פרק זה בגובה מחצית הסכום הבסיסי: </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Fonts w:hint="cs"/>
                <w:rtl/>
              </w:rPr>
              <w:t>1</w:t>
            </w:r>
            <w:r w:rsidRPr="00666E2E">
              <w:rPr>
                <w:rtl/>
              </w:rPr>
              <w:t>2)</w:t>
            </w:r>
            <w:r w:rsidRPr="00666E2E">
              <w:rPr>
                <w:rtl/>
              </w:rPr>
              <w:tab/>
            </w:r>
            <w:r w:rsidRPr="00666E2E">
              <w:rPr>
                <w:rFonts w:hint="cs"/>
                <w:rtl/>
              </w:rPr>
              <w:t>לא פרסם בצהרון פירוט תפריט יומי, באופן גלוי וזמין לכל, בתחילת כל חודש, בניגוד להוראות סעיף 8(ג);</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Fonts w:hint="cs"/>
                <w:rtl/>
              </w:rPr>
              <w:t xml:space="preserve">(2) </w:t>
            </w:r>
            <w:r w:rsidRPr="00666E2E">
              <w:rPr>
                <w:rtl/>
              </w:rPr>
              <w:tab/>
            </w:r>
            <w:r w:rsidRPr="00666E2E">
              <w:rPr>
                <w:rFonts w:hint="cs"/>
                <w:rtl/>
              </w:rPr>
              <w:t xml:space="preserve">לא הביא לידיעת הילדים והוריהם בתחילת כל שנת לימודים את הפרטים המפורטים בסעיף 8(ד), בניגוד להוראות אותו סעיף; </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Fonts w:hint="cs"/>
                <w:rtl/>
              </w:rPr>
              <w:t xml:space="preserve">(3) </w:t>
            </w:r>
            <w:r w:rsidRPr="00666E2E">
              <w:rPr>
                <w:rtl/>
              </w:rPr>
              <w:tab/>
            </w:r>
            <w:r w:rsidRPr="00666E2E">
              <w:rPr>
                <w:rFonts w:hint="eastAsia"/>
                <w:rtl/>
              </w:rPr>
              <w:t>לא</w:t>
            </w:r>
            <w:r w:rsidRPr="00666E2E">
              <w:rPr>
                <w:rtl/>
              </w:rPr>
              <w:t xml:space="preserve"> </w:t>
            </w:r>
            <w:r w:rsidRPr="00666E2E">
              <w:rPr>
                <w:rFonts w:hint="eastAsia"/>
                <w:rtl/>
              </w:rPr>
              <w:t>מסר</w:t>
            </w:r>
            <w:r w:rsidRPr="00666E2E">
              <w:rPr>
                <w:rFonts w:hint="cs"/>
                <w:rtl/>
              </w:rPr>
              <w:t xml:space="preserve"> </w:t>
            </w:r>
            <w:r w:rsidRPr="00666E2E">
              <w:rPr>
                <w:rFonts w:hint="eastAsia"/>
                <w:rtl/>
              </w:rPr>
              <w:t>מסמך</w:t>
            </w:r>
            <w:r w:rsidRPr="00666E2E">
              <w:rPr>
                <w:rtl/>
              </w:rPr>
              <w:t xml:space="preserve"> לפי דרישת מפקח, בניגוד להוראות סעי</w:t>
            </w:r>
            <w:r w:rsidRPr="00666E2E">
              <w:rPr>
                <w:rFonts w:hint="eastAsia"/>
                <w:rtl/>
              </w:rPr>
              <w:t>ף</w:t>
            </w:r>
            <w:r w:rsidRPr="00666E2E">
              <w:rPr>
                <w:rtl/>
              </w:rPr>
              <w:t xml:space="preserve"> </w:t>
            </w:r>
            <w:r w:rsidRPr="00666E2E">
              <w:rPr>
                <w:rFonts w:hint="cs"/>
                <w:rtl/>
              </w:rPr>
              <w:t>12</w:t>
            </w:r>
            <w:r w:rsidRPr="00666E2E">
              <w:rPr>
                <w:rtl/>
              </w:rPr>
              <w:t>(2)</w:t>
            </w:r>
            <w:r w:rsidRPr="00666E2E">
              <w:rPr>
                <w:rFonts w:hint="cs"/>
                <w:rtl/>
              </w:rPr>
              <w:t>;</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Fonts w:hint="cs"/>
                <w:rtl/>
              </w:rPr>
              <w:t xml:space="preserve">(4) </w:t>
            </w:r>
            <w:r w:rsidRPr="00666E2E">
              <w:rPr>
                <w:rtl/>
              </w:rPr>
              <w:tab/>
            </w:r>
            <w:r w:rsidRPr="00666E2E">
              <w:rPr>
                <w:rFonts w:hint="cs"/>
                <w:rtl/>
              </w:rPr>
              <w:t>הפר הוראה לפי חוק זה המנויה בחלק א' לתוספת.</w:t>
            </w:r>
          </w:p>
        </w:tc>
      </w:tr>
      <w:tr w:rsidR="007C5FCC" w:rsidRPr="00666E2E" w:rsidTr="007C5FCC">
        <w:tblPrEx>
          <w:tblLook w:val="01E0" w:firstRow="1" w:lastRow="1" w:firstColumn="1" w:lastColumn="1" w:noHBand="0" w:noVBand="0"/>
        </w:tblPrEx>
        <w:trPr>
          <w:cantSplit/>
        </w:trPr>
        <w:tc>
          <w:tcPr>
            <w:tcW w:w="1870" w:type="dxa"/>
          </w:tcPr>
          <w:p w:rsidR="007C5FCC" w:rsidRPr="00666E2E" w:rsidRDefault="007C5FCC" w:rsidP="007C5FCC">
            <w:pPr>
              <w:pStyle w:val="TableSideHeading"/>
              <w:keepLines w:val="0"/>
              <w:rPr>
                <w:rtl/>
              </w:rPr>
            </w:pPr>
            <w:r w:rsidRPr="00666E2E">
              <w:rPr>
                <w:rFonts w:hint="cs"/>
                <w:rtl/>
              </w:rPr>
              <w:t>עיצום כספי בגובה הסכום הבסיסי</w:t>
            </w:r>
          </w:p>
        </w:tc>
        <w:tc>
          <w:tcPr>
            <w:tcW w:w="624" w:type="dxa"/>
          </w:tcPr>
          <w:p w:rsidR="007C5FCC" w:rsidRPr="00666E2E" w:rsidRDefault="007C5FCC" w:rsidP="007C5FCC">
            <w:pPr>
              <w:pStyle w:val="TableText"/>
              <w:keepLines w:val="0"/>
              <w:rPr>
                <w:rtl/>
              </w:rPr>
            </w:pPr>
            <w:r w:rsidRPr="00666E2E">
              <w:rPr>
                <w:rFonts w:hint="cs"/>
                <w:rtl/>
              </w:rPr>
              <w:t>19.</w:t>
            </w:r>
          </w:p>
        </w:tc>
        <w:tc>
          <w:tcPr>
            <w:tcW w:w="7144" w:type="dxa"/>
            <w:gridSpan w:val="3"/>
          </w:tcPr>
          <w:p w:rsidR="007C5FCC" w:rsidRPr="00666E2E" w:rsidRDefault="007C5FCC" w:rsidP="007C5FCC">
            <w:pPr>
              <w:pStyle w:val="TableBlock"/>
              <w:rPr>
                <w:rtl/>
              </w:rPr>
            </w:pPr>
            <w:r w:rsidRPr="00666E2E">
              <w:rPr>
                <w:rtl/>
              </w:rPr>
              <w:t xml:space="preserve">הפר מפעיל צהרון </w:t>
            </w:r>
            <w:r w:rsidRPr="00666E2E">
              <w:rPr>
                <w:rFonts w:hint="cs"/>
                <w:rtl/>
              </w:rPr>
              <w:t>הוראה מהוראות חוק זה, כמפורט להלן, רשאי הממונה להטיל עליו עיצום כספי לפי הוראות פרק זה בגובה הסכום הבסיסי:</w:t>
            </w:r>
          </w:p>
        </w:tc>
      </w:tr>
      <w:tr w:rsidR="007C5FCC" w:rsidRPr="00666E2E" w:rsidTr="007C5FCC">
        <w:tblPrEx>
          <w:tblLook w:val="01E0" w:firstRow="1" w:lastRow="1" w:firstColumn="1" w:lastColumn="1" w:noHBand="0" w:noVBand="0"/>
        </w:tblPrEx>
        <w:trPr>
          <w:cantSplit/>
        </w:trPr>
        <w:tc>
          <w:tcPr>
            <w:tcW w:w="1870" w:type="dxa"/>
          </w:tcPr>
          <w:p w:rsidR="007C5FCC" w:rsidRPr="00666E2E" w:rsidRDefault="007C5FCC" w:rsidP="007C5FCC">
            <w:pPr>
              <w:pStyle w:val="TableSideHeading"/>
              <w:keepLines w:val="0"/>
              <w:rPr>
                <w:rtl/>
              </w:rPr>
            </w:pPr>
          </w:p>
        </w:tc>
        <w:tc>
          <w:tcPr>
            <w:tcW w:w="624" w:type="dxa"/>
          </w:tcPr>
          <w:p w:rsidR="007C5FCC" w:rsidRPr="00666E2E" w:rsidRDefault="007C5FCC" w:rsidP="007C5FCC">
            <w:pPr>
              <w:pStyle w:val="TableText"/>
              <w:rPr>
                <w:rtl/>
              </w:rPr>
            </w:pPr>
          </w:p>
        </w:tc>
        <w:tc>
          <w:tcPr>
            <w:tcW w:w="7144" w:type="dxa"/>
            <w:gridSpan w:val="3"/>
          </w:tcPr>
          <w:p w:rsidR="007C5FCC" w:rsidRPr="00666E2E" w:rsidRDefault="007C5FCC" w:rsidP="007C5FCC">
            <w:pPr>
              <w:pStyle w:val="TableBlock"/>
              <w:rPr>
                <w:rtl/>
              </w:rPr>
            </w:pPr>
            <w:r w:rsidRPr="00666E2E">
              <w:rPr>
                <w:rtl/>
              </w:rPr>
              <w:t>(1)</w:t>
            </w:r>
            <w:r w:rsidRPr="00666E2E">
              <w:rPr>
                <w:rtl/>
              </w:rPr>
              <w:tab/>
            </w:r>
            <w:r w:rsidRPr="00666E2E">
              <w:rPr>
                <w:rFonts w:hint="cs"/>
                <w:rtl/>
              </w:rPr>
              <w:t>לא הודיע מפעיל צהרון שאינו רשות מקומית או מי מטעמה לרשות המקומית שהוא פועל בתחומה על פתיחת הצהרון והפעלתו, בניגוד להוראת סעיף 5;</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szCs w:val="20"/>
                <w:rtl/>
              </w:rPr>
            </w:pPr>
            <w:r w:rsidRPr="00666E2E">
              <w:rPr>
                <w:rFonts w:hint="cs"/>
                <w:szCs w:val="20"/>
                <w:rtl/>
              </w:rPr>
              <w:lastRenderedPageBreak/>
              <w:t xml:space="preserve"> </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Fonts w:hint="cs"/>
                <w:rtl/>
              </w:rPr>
              <w:t>(2)</w:t>
            </w:r>
            <w:r w:rsidRPr="00666E2E">
              <w:rPr>
                <w:rtl/>
              </w:rPr>
              <w:tab/>
              <w:t xml:space="preserve">הפר </w:t>
            </w:r>
            <w:r w:rsidRPr="00666E2E">
              <w:rPr>
                <w:rFonts w:hint="cs"/>
                <w:rtl/>
              </w:rPr>
              <w:t>הוראה לפי חוק זה המנויה בחלק ב' לתוספת.</w:t>
            </w:r>
          </w:p>
        </w:tc>
      </w:tr>
      <w:tr w:rsidR="007C5FCC" w:rsidRPr="00666E2E" w:rsidTr="007C5FCC">
        <w:tblPrEx>
          <w:tblLook w:val="01E0" w:firstRow="1" w:lastRow="1" w:firstColumn="1" w:lastColumn="1" w:noHBand="0" w:noVBand="0"/>
        </w:tblPrEx>
        <w:trPr>
          <w:cantSplit/>
        </w:trPr>
        <w:tc>
          <w:tcPr>
            <w:tcW w:w="1870" w:type="dxa"/>
          </w:tcPr>
          <w:p w:rsidR="007C5FCC" w:rsidRPr="00666E2E" w:rsidRDefault="007C5FCC" w:rsidP="007C5FCC">
            <w:pPr>
              <w:pStyle w:val="TableSideHeading"/>
              <w:keepLines w:val="0"/>
              <w:rPr>
                <w:rtl/>
              </w:rPr>
            </w:pPr>
            <w:r w:rsidRPr="00666E2E">
              <w:rPr>
                <w:rFonts w:hint="cs"/>
                <w:rtl/>
              </w:rPr>
              <w:t>עיצום כספי בגובה כפל הסכום הבסיסי</w:t>
            </w:r>
          </w:p>
        </w:tc>
        <w:tc>
          <w:tcPr>
            <w:tcW w:w="624" w:type="dxa"/>
          </w:tcPr>
          <w:p w:rsidR="007C5FCC" w:rsidRPr="00666E2E" w:rsidRDefault="007C5FCC" w:rsidP="007C5FCC">
            <w:pPr>
              <w:pStyle w:val="TableText"/>
              <w:keepLines w:val="0"/>
              <w:rPr>
                <w:rtl/>
              </w:rPr>
            </w:pPr>
            <w:r w:rsidRPr="00666E2E">
              <w:rPr>
                <w:rFonts w:hint="cs"/>
                <w:rtl/>
              </w:rPr>
              <w:t>20.</w:t>
            </w:r>
          </w:p>
        </w:tc>
        <w:tc>
          <w:tcPr>
            <w:tcW w:w="7144" w:type="dxa"/>
            <w:gridSpan w:val="3"/>
          </w:tcPr>
          <w:p w:rsidR="007C5FCC" w:rsidRPr="00666E2E" w:rsidRDefault="007C5FCC" w:rsidP="007C5FCC">
            <w:pPr>
              <w:pStyle w:val="TableBlock"/>
              <w:rPr>
                <w:rtl/>
              </w:rPr>
            </w:pPr>
            <w:r w:rsidRPr="00666E2E">
              <w:rPr>
                <w:rtl/>
              </w:rPr>
              <w:t xml:space="preserve">הפר מפעיל צהרון </w:t>
            </w:r>
            <w:r w:rsidRPr="00666E2E">
              <w:rPr>
                <w:rFonts w:hint="cs"/>
                <w:rtl/>
              </w:rPr>
              <w:t>הוראה מהוראות חוק זה, כמפורט להלן, רשאי הממונה להטיל עליו עיצום כספי לפי הוראות פרק זה בגובה כפל הסכום הבסיסי:</w:t>
            </w:r>
          </w:p>
        </w:tc>
      </w:tr>
      <w:tr w:rsidR="007C5FCC" w:rsidRPr="00666E2E" w:rsidTr="007C5FCC">
        <w:tblPrEx>
          <w:tblLook w:val="01E0" w:firstRow="1" w:lastRow="1" w:firstColumn="1" w:lastColumn="1" w:noHBand="0" w:noVBand="0"/>
        </w:tblPrEx>
        <w:trPr>
          <w:cantSplit/>
        </w:trPr>
        <w:tc>
          <w:tcPr>
            <w:tcW w:w="1870" w:type="dxa"/>
          </w:tcPr>
          <w:p w:rsidR="007C5FCC" w:rsidRPr="00666E2E" w:rsidRDefault="007C5FCC" w:rsidP="007C5FCC">
            <w:pPr>
              <w:pStyle w:val="TableSideHeading"/>
              <w:rPr>
                <w:rtl/>
              </w:rPr>
            </w:pPr>
          </w:p>
        </w:tc>
        <w:tc>
          <w:tcPr>
            <w:tcW w:w="624" w:type="dxa"/>
          </w:tcPr>
          <w:p w:rsidR="007C5FCC" w:rsidRPr="00666E2E" w:rsidRDefault="007C5FCC" w:rsidP="007C5FCC">
            <w:pPr>
              <w:pStyle w:val="TableText"/>
              <w:rPr>
                <w:rtl/>
              </w:rPr>
            </w:pPr>
          </w:p>
        </w:tc>
        <w:tc>
          <w:tcPr>
            <w:tcW w:w="7144" w:type="dxa"/>
            <w:gridSpan w:val="3"/>
          </w:tcPr>
          <w:p w:rsidR="007C5FCC" w:rsidRPr="00666E2E" w:rsidRDefault="007C5FCC" w:rsidP="007C5FCC">
            <w:pPr>
              <w:pStyle w:val="TableBlock"/>
              <w:rPr>
                <w:rtl/>
              </w:rPr>
            </w:pPr>
            <w:r w:rsidRPr="00666E2E">
              <w:rPr>
                <w:rFonts w:hint="cs"/>
                <w:rtl/>
              </w:rPr>
              <w:t>(1)</w:t>
            </w:r>
            <w:r w:rsidRPr="00666E2E">
              <w:rPr>
                <w:rtl/>
              </w:rPr>
              <w:tab/>
            </w:r>
            <w:r w:rsidRPr="00666E2E">
              <w:rPr>
                <w:rFonts w:hint="cs"/>
                <w:rtl/>
              </w:rPr>
              <w:t>התקשר בקשר למכירה או להספקה של מזון לצהרון שהוא מפעיל עם ספק מזון שאינו ספק מורשה או בלי שהתקיימו בספק המזון התנאים בסעיף 8(ב)</w:t>
            </w:r>
            <w:r w:rsidR="007B12E4" w:rsidRPr="00666E2E">
              <w:rPr>
                <w:rFonts w:hint="cs"/>
                <w:rtl/>
              </w:rPr>
              <w:t>,</w:t>
            </w:r>
            <w:r w:rsidRPr="00666E2E">
              <w:rPr>
                <w:rFonts w:hint="cs"/>
                <w:rtl/>
              </w:rPr>
              <w:t xml:space="preserve"> בניגוד להוראות אותו סעיף;</w:t>
            </w:r>
          </w:p>
        </w:tc>
      </w:tr>
      <w:tr w:rsidR="007C5FCC" w:rsidRPr="00666E2E" w:rsidTr="007C5FCC">
        <w:tblPrEx>
          <w:tblLook w:val="01E0" w:firstRow="1" w:lastRow="1" w:firstColumn="1" w:lastColumn="1" w:noHBand="0" w:noVBand="0"/>
        </w:tblPrEx>
        <w:trPr>
          <w:cantSplit/>
        </w:trPr>
        <w:tc>
          <w:tcPr>
            <w:tcW w:w="1870" w:type="dxa"/>
          </w:tcPr>
          <w:p w:rsidR="007C5FCC" w:rsidRPr="00666E2E" w:rsidRDefault="007C5FCC" w:rsidP="007C5FCC">
            <w:pPr>
              <w:pStyle w:val="TableSideHeading"/>
              <w:rPr>
                <w:rtl/>
              </w:rPr>
            </w:pPr>
          </w:p>
        </w:tc>
        <w:tc>
          <w:tcPr>
            <w:tcW w:w="624" w:type="dxa"/>
          </w:tcPr>
          <w:p w:rsidR="007C5FCC" w:rsidRPr="00666E2E" w:rsidRDefault="007C5FCC" w:rsidP="007C5FCC">
            <w:pPr>
              <w:pStyle w:val="TableText"/>
              <w:rPr>
                <w:rtl/>
              </w:rPr>
            </w:pPr>
          </w:p>
        </w:tc>
        <w:tc>
          <w:tcPr>
            <w:tcW w:w="7144" w:type="dxa"/>
            <w:gridSpan w:val="3"/>
          </w:tcPr>
          <w:p w:rsidR="007C5FCC" w:rsidRPr="00666E2E" w:rsidRDefault="007C5FCC" w:rsidP="007C5FCC">
            <w:pPr>
              <w:pStyle w:val="TableText"/>
              <w:rPr>
                <w:rtl/>
              </w:rPr>
            </w:pPr>
            <w:r w:rsidRPr="00666E2E">
              <w:rPr>
                <w:rFonts w:hint="cs"/>
                <w:rtl/>
              </w:rPr>
              <w:t>(2)</w:t>
            </w:r>
            <w:r w:rsidRPr="00666E2E">
              <w:rPr>
                <w:rtl/>
              </w:rPr>
              <w:tab/>
            </w:r>
            <w:r w:rsidRPr="00666E2E">
              <w:rPr>
                <w:rFonts w:hint="cs"/>
                <w:rtl/>
              </w:rPr>
              <w:t>הפר הוראה לפי חוק זה המנויה בחלק ג' לתוספת.</w:t>
            </w:r>
          </w:p>
        </w:tc>
      </w:tr>
      <w:tr w:rsidR="007C5FCC" w:rsidRPr="00666E2E" w:rsidTr="007C5FCC">
        <w:tblPrEx>
          <w:tblLook w:val="01E0" w:firstRow="1" w:lastRow="1" w:firstColumn="1" w:lastColumn="1" w:noHBand="0" w:noVBand="0"/>
        </w:tblPrEx>
        <w:trPr>
          <w:cantSplit/>
        </w:trPr>
        <w:tc>
          <w:tcPr>
            <w:tcW w:w="1870" w:type="dxa"/>
          </w:tcPr>
          <w:p w:rsidR="007C5FCC" w:rsidRPr="00666E2E" w:rsidRDefault="007C5FCC" w:rsidP="007C5FCC">
            <w:pPr>
              <w:pStyle w:val="TableSideHeading"/>
              <w:keepLines w:val="0"/>
              <w:rPr>
                <w:rtl/>
              </w:rPr>
            </w:pPr>
            <w:r w:rsidRPr="00666E2E">
              <w:rPr>
                <w:rFonts w:hint="cs"/>
                <w:rtl/>
              </w:rPr>
              <w:t>עיצום כספי בגובה פי שלושה מהסכום הבסיסי</w:t>
            </w:r>
          </w:p>
        </w:tc>
        <w:tc>
          <w:tcPr>
            <w:tcW w:w="624" w:type="dxa"/>
          </w:tcPr>
          <w:p w:rsidR="007C5FCC" w:rsidRPr="00666E2E" w:rsidRDefault="007C5FCC" w:rsidP="007C5FCC">
            <w:pPr>
              <w:pStyle w:val="TableText"/>
              <w:keepLines w:val="0"/>
              <w:rPr>
                <w:rtl/>
              </w:rPr>
            </w:pPr>
            <w:r w:rsidRPr="00666E2E">
              <w:rPr>
                <w:rFonts w:hint="cs"/>
                <w:rtl/>
              </w:rPr>
              <w:t>21.</w:t>
            </w:r>
          </w:p>
        </w:tc>
        <w:tc>
          <w:tcPr>
            <w:tcW w:w="7144" w:type="dxa"/>
            <w:gridSpan w:val="3"/>
          </w:tcPr>
          <w:p w:rsidR="007C5FCC" w:rsidRPr="00666E2E" w:rsidRDefault="007C5FCC" w:rsidP="007C5FCC">
            <w:pPr>
              <w:pStyle w:val="TableBlock"/>
              <w:rPr>
                <w:rtl/>
              </w:rPr>
            </w:pPr>
            <w:r w:rsidRPr="00666E2E">
              <w:rPr>
                <w:rtl/>
              </w:rPr>
              <w:t xml:space="preserve">הפר מפעיל צהרון </w:t>
            </w:r>
            <w:r w:rsidRPr="00666E2E">
              <w:rPr>
                <w:rFonts w:hint="cs"/>
                <w:rtl/>
              </w:rPr>
              <w:t>הוראה מהוראות חוק זה, כמפורט להלן, רשאי הממונה להטיל עליו עיצום כספי לפי הוראות פרק זה בגובה פי שלושה מהסכום הבסיסי:</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(1)</w:t>
            </w:r>
            <w:r w:rsidRPr="00666E2E">
              <w:rPr>
                <w:rtl/>
              </w:rPr>
              <w:tab/>
            </w:r>
            <w:r w:rsidRPr="00666E2E">
              <w:rPr>
                <w:rFonts w:hint="eastAsia"/>
                <w:rtl/>
              </w:rPr>
              <w:t>לא</w:t>
            </w:r>
            <w:r w:rsidRPr="00666E2E">
              <w:rPr>
                <w:rtl/>
              </w:rPr>
              <w:t xml:space="preserve"> הגיש </w:t>
            </w:r>
            <w:r w:rsidRPr="00666E2E">
              <w:rPr>
                <w:rFonts w:hint="cs"/>
                <w:rtl/>
              </w:rPr>
              <w:t>תצהיר</w:t>
            </w:r>
            <w:r w:rsidRPr="00666E2E">
              <w:rPr>
                <w:rtl/>
              </w:rPr>
              <w:t xml:space="preserve"> על עמידתו </w:t>
            </w:r>
            <w:r w:rsidRPr="00666E2E">
              <w:rPr>
                <w:rFonts w:hint="eastAsia"/>
                <w:rtl/>
              </w:rPr>
              <w:t>בהוראות</w:t>
            </w:r>
            <w:r w:rsidRPr="00666E2E">
              <w:rPr>
                <w:rtl/>
              </w:rPr>
              <w:t xml:space="preserve"> לפי </w:t>
            </w:r>
            <w:r w:rsidRPr="00666E2E">
              <w:rPr>
                <w:rFonts w:hint="eastAsia"/>
                <w:rtl/>
              </w:rPr>
              <w:t>חוק</w:t>
            </w:r>
            <w:r w:rsidRPr="00666E2E">
              <w:rPr>
                <w:rtl/>
              </w:rPr>
              <w:t xml:space="preserve"> זה, </w:t>
            </w:r>
            <w:r w:rsidRPr="00666E2E">
              <w:rPr>
                <w:rFonts w:hint="eastAsia"/>
                <w:rtl/>
              </w:rPr>
              <w:t>בניגוד</w:t>
            </w:r>
            <w:r w:rsidRPr="00666E2E">
              <w:rPr>
                <w:rtl/>
              </w:rPr>
              <w:t xml:space="preserve"> להוראות סעיף </w:t>
            </w:r>
            <w:r w:rsidRPr="00666E2E">
              <w:rPr>
                <w:rFonts w:hint="cs"/>
                <w:rtl/>
              </w:rPr>
              <w:t>4;</w:t>
            </w:r>
            <w:r w:rsidRPr="00666E2E">
              <w:rPr>
                <w:rtl/>
              </w:rPr>
              <w:t xml:space="preserve"> </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B06838">
            <w:pPr>
              <w:pStyle w:val="TableBlock"/>
              <w:rPr>
                <w:rtl/>
              </w:rPr>
            </w:pPr>
            <w:r w:rsidRPr="00666E2E">
              <w:rPr>
                <w:rtl/>
              </w:rPr>
              <w:t>(</w:t>
            </w:r>
            <w:r w:rsidRPr="00666E2E">
              <w:rPr>
                <w:rFonts w:hint="cs"/>
                <w:rtl/>
              </w:rPr>
              <w:t>2</w:t>
            </w:r>
            <w:r w:rsidRPr="00666E2E">
              <w:rPr>
                <w:rtl/>
              </w:rPr>
              <w:t>)</w:t>
            </w:r>
            <w:r w:rsidRPr="00666E2E">
              <w:rPr>
                <w:rtl/>
              </w:rPr>
              <w:tab/>
            </w:r>
            <w:r w:rsidRPr="00666E2E">
              <w:rPr>
                <w:rFonts w:hint="cs"/>
                <w:rtl/>
              </w:rPr>
              <w:t xml:space="preserve"> </w:t>
            </w:r>
            <w:r w:rsidRPr="00666E2E">
              <w:rPr>
                <w:rFonts w:hint="eastAsia"/>
                <w:rtl/>
              </w:rPr>
              <w:t>לא</w:t>
            </w:r>
            <w:r w:rsidRPr="00666E2E">
              <w:rPr>
                <w:rtl/>
              </w:rPr>
              <w:t xml:space="preserve"> </w:t>
            </w:r>
            <w:r w:rsidRPr="00666E2E">
              <w:rPr>
                <w:rFonts w:hint="eastAsia"/>
                <w:rtl/>
              </w:rPr>
              <w:t>קיים</w:t>
            </w:r>
            <w:r w:rsidRPr="00666E2E">
              <w:rPr>
                <w:rtl/>
              </w:rPr>
              <w:t xml:space="preserve"> צו הגבלה </w:t>
            </w:r>
            <w:r w:rsidRPr="00666E2E">
              <w:rPr>
                <w:rFonts w:hint="eastAsia"/>
                <w:rtl/>
              </w:rPr>
              <w:t>מינהלי</w:t>
            </w:r>
            <w:r w:rsidRPr="00666E2E">
              <w:rPr>
                <w:rFonts w:hint="cs"/>
                <w:rtl/>
              </w:rPr>
              <w:t>,</w:t>
            </w:r>
            <w:r w:rsidRPr="00666E2E">
              <w:rPr>
                <w:rtl/>
              </w:rPr>
              <w:t xml:space="preserve"> </w:t>
            </w:r>
            <w:r w:rsidRPr="00666E2E">
              <w:rPr>
                <w:rFonts w:hint="cs"/>
                <w:rtl/>
              </w:rPr>
              <w:t xml:space="preserve">בניגוד להוראות סעיף </w:t>
            </w:r>
            <w:r w:rsidRPr="00666E2E">
              <w:rPr>
                <w:rtl/>
              </w:rPr>
              <w:t xml:space="preserve">15;  </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szCs w:val="20"/>
                <w:rtl/>
              </w:rPr>
            </w:pPr>
            <w:r w:rsidRPr="00666E2E">
              <w:rPr>
                <w:szCs w:val="20"/>
                <w:rtl/>
              </w:rPr>
              <w:t xml:space="preserve"> </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Fonts w:hint="cs"/>
                <w:rtl/>
              </w:rPr>
              <w:t>(3)</w:t>
            </w:r>
            <w:r w:rsidRPr="00666E2E">
              <w:rPr>
                <w:rtl/>
              </w:rPr>
              <w:tab/>
            </w:r>
            <w:r w:rsidRPr="00666E2E">
              <w:rPr>
                <w:rFonts w:hint="cs"/>
                <w:rtl/>
              </w:rPr>
              <w:t xml:space="preserve"> הפר הוראה לפי חוק זה המנויה בחלק ד' לתוספת.</w:t>
            </w:r>
          </w:p>
        </w:tc>
      </w:tr>
      <w:tr w:rsidR="007C5FCC" w:rsidRPr="00666E2E" w:rsidTr="007C5FCC">
        <w:tblPrEx>
          <w:tblLook w:val="01E0" w:firstRow="1" w:lastRow="1" w:firstColumn="1" w:lastColumn="1" w:noHBand="0" w:noVBand="0"/>
        </w:tblPrEx>
        <w:trPr>
          <w:cantSplit/>
        </w:trPr>
        <w:tc>
          <w:tcPr>
            <w:tcW w:w="1870" w:type="dxa"/>
          </w:tcPr>
          <w:p w:rsidR="007C5FCC" w:rsidRPr="00666E2E" w:rsidRDefault="007C5FCC" w:rsidP="007C5FCC">
            <w:pPr>
              <w:pStyle w:val="TableSideHeading"/>
              <w:keepLines w:val="0"/>
              <w:rPr>
                <w:rtl/>
              </w:rPr>
            </w:pPr>
            <w:r w:rsidRPr="00666E2E">
              <w:rPr>
                <w:rFonts w:hint="cs"/>
                <w:rtl/>
              </w:rPr>
              <w:t>עיצום כספי בגובה מחצית הסכום הבסיסי המוכפל במספר הילדים השוהים בצהרון</w:t>
            </w:r>
          </w:p>
        </w:tc>
        <w:tc>
          <w:tcPr>
            <w:tcW w:w="624" w:type="dxa"/>
          </w:tcPr>
          <w:p w:rsidR="007C5FCC" w:rsidRPr="00666E2E" w:rsidRDefault="007C5FCC" w:rsidP="007C5FCC">
            <w:pPr>
              <w:pStyle w:val="TableText"/>
              <w:keepLines w:val="0"/>
              <w:tabs>
                <w:tab w:val="left" w:pos="0"/>
              </w:tabs>
              <w:rPr>
                <w:rtl/>
              </w:rPr>
            </w:pPr>
            <w:r w:rsidRPr="00666E2E">
              <w:rPr>
                <w:rFonts w:hint="cs"/>
                <w:rtl/>
              </w:rPr>
              <w:t>22.</w:t>
            </w:r>
          </w:p>
        </w:tc>
        <w:tc>
          <w:tcPr>
            <w:tcW w:w="7144" w:type="dxa"/>
            <w:gridSpan w:val="3"/>
          </w:tcPr>
          <w:p w:rsidR="007C5FCC" w:rsidRPr="00666E2E" w:rsidRDefault="007C5FCC" w:rsidP="007C5FCC">
            <w:pPr>
              <w:pStyle w:val="TableBlock"/>
              <w:rPr>
                <w:rtl/>
              </w:rPr>
            </w:pPr>
            <w:r w:rsidRPr="00666E2E">
              <w:rPr>
                <w:rtl/>
              </w:rPr>
              <w:t xml:space="preserve">הפר מפעיל צהרון </w:t>
            </w:r>
            <w:r w:rsidRPr="00666E2E">
              <w:rPr>
                <w:rFonts w:hint="cs"/>
                <w:rtl/>
              </w:rPr>
              <w:t>הוראה מהוראות חוק זה, כמפורט להלן, רשאי הממונה להטיל עליו עיצום כספי לפי הוראות פרק זה בגובה מחצית הסכום הבסיסי המוכפל במספר הילדים השוהים בצהרון:</w:t>
            </w:r>
            <w:r w:rsidRPr="00666E2E">
              <w:rPr>
                <w:rtl/>
              </w:rPr>
              <w:tab/>
            </w:r>
          </w:p>
        </w:tc>
      </w:tr>
      <w:tr w:rsidR="007C5FCC" w:rsidRPr="00666E2E" w:rsidTr="007C5FCC">
        <w:tblPrEx>
          <w:tblLook w:val="01E0" w:firstRow="1" w:lastRow="1" w:firstColumn="1" w:lastColumn="1" w:noHBand="0" w:noVBand="0"/>
        </w:tblPrEx>
        <w:trPr>
          <w:cantSplit/>
        </w:trPr>
        <w:tc>
          <w:tcPr>
            <w:tcW w:w="1870" w:type="dxa"/>
          </w:tcPr>
          <w:p w:rsidR="007C5FCC" w:rsidRPr="00666E2E" w:rsidRDefault="007C5FCC" w:rsidP="007C5FCC">
            <w:pPr>
              <w:pStyle w:val="TableSideHeading"/>
              <w:keepLines w:val="0"/>
              <w:rPr>
                <w:rtl/>
              </w:rPr>
            </w:pPr>
          </w:p>
        </w:tc>
        <w:tc>
          <w:tcPr>
            <w:tcW w:w="624" w:type="dxa"/>
          </w:tcPr>
          <w:p w:rsidR="007C5FCC" w:rsidRPr="00666E2E" w:rsidRDefault="007C5FCC" w:rsidP="007C5FCC">
            <w:pPr>
              <w:pStyle w:val="TableText"/>
              <w:rPr>
                <w:rtl/>
              </w:rPr>
            </w:pPr>
          </w:p>
        </w:tc>
        <w:tc>
          <w:tcPr>
            <w:tcW w:w="7144" w:type="dxa"/>
            <w:gridSpan w:val="3"/>
          </w:tcPr>
          <w:p w:rsidR="007C5FCC" w:rsidRPr="00666E2E" w:rsidRDefault="007C5FCC" w:rsidP="007C5FCC">
            <w:pPr>
              <w:pStyle w:val="TableBlock"/>
              <w:rPr>
                <w:rtl/>
              </w:rPr>
            </w:pPr>
            <w:r w:rsidRPr="00666E2E">
              <w:rPr>
                <w:rtl/>
              </w:rPr>
              <w:t>(</w:t>
            </w:r>
            <w:r w:rsidRPr="00666E2E">
              <w:rPr>
                <w:rFonts w:hint="cs"/>
                <w:rtl/>
              </w:rPr>
              <w:t>1</w:t>
            </w:r>
            <w:r w:rsidRPr="00666E2E">
              <w:rPr>
                <w:rtl/>
              </w:rPr>
              <w:t>)</w:t>
            </w:r>
            <w:r w:rsidRPr="00666E2E">
              <w:rPr>
                <w:rtl/>
              </w:rPr>
              <w:tab/>
            </w:r>
            <w:r w:rsidRPr="00666E2E">
              <w:rPr>
                <w:rFonts w:hint="cs"/>
                <w:rtl/>
              </w:rPr>
              <w:t>נתן שירותי צהרון במחיר העולה על המחיר המרבי שנקבע לפי הוראות סעיף 9(א), בניגוד להוראות סעיף 9(ב);</w:t>
            </w:r>
          </w:p>
        </w:tc>
      </w:tr>
      <w:tr w:rsidR="007C5FCC" w:rsidRPr="00666E2E" w:rsidTr="007C5FCC">
        <w:tblPrEx>
          <w:tblLook w:val="01E0" w:firstRow="1" w:lastRow="1" w:firstColumn="1" w:lastColumn="1" w:noHBand="0" w:noVBand="0"/>
        </w:tblPrEx>
        <w:trPr>
          <w:cantSplit/>
        </w:trPr>
        <w:tc>
          <w:tcPr>
            <w:tcW w:w="1870" w:type="dxa"/>
          </w:tcPr>
          <w:p w:rsidR="007C5FCC" w:rsidRPr="00666E2E" w:rsidRDefault="007C5FCC" w:rsidP="007C5FCC">
            <w:pPr>
              <w:pStyle w:val="TableSideHeading"/>
              <w:keepLines w:val="0"/>
              <w:rPr>
                <w:rtl/>
              </w:rPr>
            </w:pPr>
          </w:p>
        </w:tc>
        <w:tc>
          <w:tcPr>
            <w:tcW w:w="624" w:type="dxa"/>
          </w:tcPr>
          <w:p w:rsidR="007C5FCC" w:rsidRPr="00666E2E" w:rsidRDefault="007C5FCC" w:rsidP="007C5FCC">
            <w:pPr>
              <w:pStyle w:val="TableText"/>
              <w:rPr>
                <w:rtl/>
              </w:rPr>
            </w:pPr>
          </w:p>
        </w:tc>
        <w:tc>
          <w:tcPr>
            <w:tcW w:w="7144" w:type="dxa"/>
            <w:gridSpan w:val="3"/>
          </w:tcPr>
          <w:p w:rsidR="007C5FCC" w:rsidRPr="00666E2E" w:rsidRDefault="007C5FCC" w:rsidP="007C5FCC">
            <w:pPr>
              <w:pStyle w:val="TableBlock"/>
              <w:rPr>
                <w:rtl/>
              </w:rPr>
            </w:pPr>
            <w:r w:rsidRPr="00666E2E">
              <w:rPr>
                <w:rtl/>
              </w:rPr>
              <w:t>(</w:t>
            </w:r>
            <w:r w:rsidRPr="00666E2E">
              <w:rPr>
                <w:rFonts w:hint="cs"/>
                <w:rtl/>
              </w:rPr>
              <w:t>2</w:t>
            </w:r>
            <w:r w:rsidRPr="00666E2E">
              <w:rPr>
                <w:rtl/>
              </w:rPr>
              <w:t>)</w:t>
            </w:r>
            <w:r w:rsidRPr="00666E2E">
              <w:rPr>
                <w:rtl/>
              </w:rPr>
              <w:tab/>
            </w:r>
            <w:r w:rsidRPr="00666E2E">
              <w:rPr>
                <w:rFonts w:hint="cs"/>
                <w:rtl/>
              </w:rPr>
              <w:t>הפר הוראה לפי חוק זה המנויה בחלק ה' לתוספת.</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הודעה על כוונת חיוב</w:t>
            </w:r>
          </w:p>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23</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(א)</w:t>
            </w:r>
            <w:r w:rsidRPr="00666E2E">
              <w:rPr>
                <w:rtl/>
              </w:rPr>
              <w:tab/>
              <w:t xml:space="preserve">היה לממונה יסוד סביר להניח כי מפעיל צהרון הפר הוראה מההוראות לפי חוק זה, כאמור </w:t>
            </w:r>
            <w:r w:rsidRPr="00666E2E">
              <w:rPr>
                <w:rFonts w:hint="cs"/>
                <w:rtl/>
              </w:rPr>
              <w:t xml:space="preserve">בסעיפים 18 עד 22 </w:t>
            </w:r>
            <w:r w:rsidRPr="00666E2E">
              <w:rPr>
                <w:rtl/>
              </w:rPr>
              <w:t>(בפרק זה – המפר), ובכוונתו להטיל עליו עיצום כספי לפי אות</w:t>
            </w:r>
            <w:r w:rsidRPr="00666E2E">
              <w:rPr>
                <w:rFonts w:hint="cs"/>
                <w:rtl/>
              </w:rPr>
              <w:t>ם</w:t>
            </w:r>
            <w:r w:rsidRPr="00666E2E">
              <w:rPr>
                <w:rtl/>
              </w:rPr>
              <w:t xml:space="preserve"> סעי</w:t>
            </w:r>
            <w:r w:rsidRPr="00666E2E">
              <w:rPr>
                <w:rFonts w:hint="cs"/>
                <w:rtl/>
              </w:rPr>
              <w:t>פים</w:t>
            </w:r>
            <w:r w:rsidRPr="00666E2E">
              <w:rPr>
                <w:rtl/>
              </w:rPr>
              <w:t>, ימסור למפר הודעה על הכוונה להטיל עליו עיצום כספי (בפרק זה – הודעה על כוונת חיוב).</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(ב)</w:t>
            </w:r>
            <w:r w:rsidRPr="00666E2E">
              <w:rPr>
                <w:rtl/>
              </w:rPr>
              <w:tab/>
              <w:t>בהודעה על כוונת חיוב יציין הממונה, בין השאר, את אלה:</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520" w:type="dxa"/>
            <w:gridSpan w:val="2"/>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(1)</w:t>
            </w:r>
            <w:r w:rsidRPr="00666E2E">
              <w:rPr>
                <w:rtl/>
              </w:rPr>
              <w:tab/>
              <w:t>המעשה או המחדל (בפרק זה – המעשה), המהווה את ההפרה;</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520" w:type="dxa"/>
            <w:gridSpan w:val="2"/>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(2)</w:t>
            </w:r>
            <w:r w:rsidRPr="00666E2E">
              <w:rPr>
                <w:rtl/>
              </w:rPr>
              <w:tab/>
              <w:t>סכום העיצום הכספי והתקופה לתשלומו;</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520" w:type="dxa"/>
            <w:gridSpan w:val="2"/>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(3)</w:t>
            </w:r>
            <w:r w:rsidRPr="00666E2E">
              <w:rPr>
                <w:rtl/>
              </w:rPr>
              <w:tab/>
              <w:t>זכותו של המפר לטעון את טענותיו לפני הממונה לפי הוראות סעיף</w:t>
            </w:r>
            <w:r w:rsidR="003A6110" w:rsidRPr="00666E2E">
              <w:rPr>
                <w:rFonts w:hint="cs"/>
                <w:rtl/>
              </w:rPr>
              <w:t xml:space="preserve"> </w:t>
            </w:r>
            <w:r w:rsidRPr="00666E2E">
              <w:rPr>
                <w:rFonts w:hint="cs"/>
                <w:rtl/>
              </w:rPr>
              <w:t>24</w:t>
            </w:r>
            <w:r w:rsidRPr="00666E2E">
              <w:rPr>
                <w:rtl/>
              </w:rPr>
              <w:t>;</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520" w:type="dxa"/>
            <w:gridSpan w:val="2"/>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(4)</w:t>
            </w:r>
            <w:r w:rsidRPr="00666E2E">
              <w:rPr>
                <w:rtl/>
              </w:rPr>
              <w:tab/>
              <w:t>הסמכות להוסיף על סכום העיצום הכספי בשל הפרה נמשכת או הפרה חוזרת לפי הוראות סעיף</w:t>
            </w:r>
            <w:r w:rsidR="003A6110" w:rsidRPr="00666E2E">
              <w:rPr>
                <w:rFonts w:hint="cs"/>
                <w:rtl/>
              </w:rPr>
              <w:t xml:space="preserve"> </w:t>
            </w:r>
            <w:r w:rsidRPr="00666E2E">
              <w:rPr>
                <w:rFonts w:hint="cs"/>
                <w:rtl/>
              </w:rPr>
              <w:t>26</w:t>
            </w:r>
            <w:r w:rsidRPr="00666E2E">
              <w:rPr>
                <w:rtl/>
              </w:rPr>
              <w:t>, והמועד שממנו יראו הפרה כהפרה נמשכת לעניין הסעיף האמור.</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 xml:space="preserve">זכות טיעון </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24</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 xml:space="preserve">מפר שנמסרה לו הודעה על כוונת חיוב לפי סעיף </w:t>
            </w:r>
            <w:r w:rsidRPr="00666E2E">
              <w:rPr>
                <w:rFonts w:hint="cs"/>
                <w:rtl/>
              </w:rPr>
              <w:t>23</w:t>
            </w:r>
            <w:r w:rsidRPr="00666E2E">
              <w:rPr>
                <w:rtl/>
              </w:rPr>
              <w:t xml:space="preserve"> רשאי לטעון טענותיו, בכתב, לפני הממונה, לעניין הכוונה להטיל עליו עיצום כספי ולעניין סכומו, בתוך 45 ימים ממועד מסירת ההודעה; הממונה רשאי, לבקשת המפר, להאריך את התקופה האמורה בתקופה שלא תעלה על 45 ימים.</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החלטת הממונה ודרישת תשלום</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25</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(א)</w:t>
            </w:r>
            <w:r w:rsidRPr="00666E2E">
              <w:rPr>
                <w:rtl/>
              </w:rPr>
              <w:tab/>
              <w:t>הממונה יחליט, לאחר ששקל את הטענות שנטענו לפי סעיף</w:t>
            </w:r>
            <w:r w:rsidR="003A6110" w:rsidRPr="00666E2E">
              <w:rPr>
                <w:rFonts w:hint="cs"/>
                <w:rtl/>
              </w:rPr>
              <w:t xml:space="preserve"> </w:t>
            </w:r>
            <w:r w:rsidRPr="00666E2E">
              <w:rPr>
                <w:rFonts w:hint="cs"/>
                <w:rtl/>
              </w:rPr>
              <w:t>24</w:t>
            </w:r>
            <w:r w:rsidRPr="00666E2E">
              <w:rPr>
                <w:rtl/>
              </w:rPr>
              <w:t>, אם להטיל על המפר עיצום כספי, והוא רשאי להפחית את סכום העיצום הכספי לפי הוראות סעיף</w:t>
            </w:r>
            <w:r w:rsidR="003A6110" w:rsidRPr="00666E2E">
              <w:rPr>
                <w:rFonts w:hint="cs"/>
                <w:rtl/>
              </w:rPr>
              <w:t xml:space="preserve"> </w:t>
            </w:r>
            <w:r w:rsidRPr="00666E2E">
              <w:rPr>
                <w:rFonts w:hint="cs"/>
                <w:rtl/>
              </w:rPr>
              <w:t>27</w:t>
            </w:r>
            <w:r w:rsidRPr="00666E2E">
              <w:rPr>
                <w:rtl/>
              </w:rPr>
              <w:t>.</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(ב)</w:t>
            </w:r>
            <w:r w:rsidRPr="00666E2E">
              <w:rPr>
                <w:rtl/>
              </w:rPr>
              <w:tab/>
              <w:t>החליט הממונה לפי הוראות סעיף קטן (א) –</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520" w:type="dxa"/>
            <w:gridSpan w:val="2"/>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(1)</w:t>
            </w:r>
            <w:r w:rsidRPr="00666E2E">
              <w:rPr>
                <w:rtl/>
              </w:rPr>
              <w:tab/>
              <w:t>להטיל על המפר עיצום כספי – ימסור לו דרישה, בכתב, לשלם את העיצום הכספי (בפרק זה – דרישת תשלום), שבה יציין, בין השאר, את סכום העיצום הכספי המעודכן ואת התקופה לתשלומו;</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520" w:type="dxa"/>
            <w:gridSpan w:val="2"/>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(2)</w:t>
            </w:r>
            <w:r w:rsidRPr="00666E2E">
              <w:rPr>
                <w:rtl/>
              </w:rPr>
              <w:tab/>
              <w:t>שלא להטיל על המפר עיצום כספי – ימסור לו הודעה על כך, בכתב.</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(ג)</w:t>
            </w:r>
            <w:r w:rsidRPr="00666E2E">
              <w:rPr>
                <w:rtl/>
              </w:rPr>
              <w:tab/>
              <w:t>בדרישת התשלום או בהודעה</w:t>
            </w:r>
            <w:r w:rsidRPr="00666E2E">
              <w:rPr>
                <w:rFonts w:hint="cs"/>
                <w:rtl/>
              </w:rPr>
              <w:t>,</w:t>
            </w:r>
            <w:r w:rsidRPr="00666E2E">
              <w:rPr>
                <w:rtl/>
              </w:rPr>
              <w:t xml:space="preserve"> לפי סעיף קטן (ב) יפרט הממונה את נימוקי החלטתו.</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(ד)</w:t>
            </w:r>
            <w:r w:rsidRPr="00666E2E">
              <w:rPr>
                <w:rtl/>
              </w:rPr>
              <w:tab/>
              <w:t>לא ביקש המפר לטעון את טענותיו לפי הוראות סעיף</w:t>
            </w:r>
            <w:r w:rsidR="003A6110" w:rsidRPr="00666E2E">
              <w:rPr>
                <w:rFonts w:hint="cs"/>
                <w:rtl/>
              </w:rPr>
              <w:t xml:space="preserve"> </w:t>
            </w:r>
            <w:r w:rsidRPr="00666E2E">
              <w:rPr>
                <w:rFonts w:hint="cs"/>
                <w:rtl/>
              </w:rPr>
              <w:t>24</w:t>
            </w:r>
            <w:r w:rsidRPr="00666E2E">
              <w:rPr>
                <w:rtl/>
              </w:rPr>
              <w:t>, בתוך התקופות האמורות באותו סעיף, יראו את ההודעה על כוונת החיוב, בתום אותה תקופה, כדרישת תשלום שנמסרה למפר במועד האמור.</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szCs w:val="20"/>
                <w:rtl/>
              </w:rPr>
            </w:pPr>
            <w:r w:rsidRPr="00666E2E">
              <w:rPr>
                <w:rtl/>
              </w:rPr>
              <w:t>הפרה נמשכת והפרה חוזרת</w:t>
            </w:r>
            <w:r w:rsidRPr="00666E2E">
              <w:rPr>
                <w:szCs w:val="20"/>
                <w:rtl/>
              </w:rPr>
              <w:t xml:space="preserve"> </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26</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(א)</w:t>
            </w:r>
            <w:r w:rsidRPr="00666E2E">
              <w:rPr>
                <w:rtl/>
              </w:rPr>
              <w:tab/>
              <w:t>בהפרה נמשכת ייווסף על העיצום הכספי הקבוע לאותה הפרה, החלק החמישים שלו לכל יום שבו נמשכת ההפרה.</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(ב)</w:t>
            </w:r>
            <w:r w:rsidRPr="00666E2E">
              <w:rPr>
                <w:rtl/>
              </w:rPr>
              <w:tab/>
              <w:t>בהפרה חוזרת ייווסף על העיצום הכספי הקבוע לאותה הפרה, סכום השווה לעיצום הכספי כאמור; לעניין זה, "הפרה חוזרת" – הפרת הוראה מההוראות לפי חוק זה כאמור בסעי</w:t>
            </w:r>
            <w:r w:rsidRPr="00666E2E">
              <w:rPr>
                <w:rFonts w:hint="cs"/>
                <w:rtl/>
              </w:rPr>
              <w:t>פים 18 עד 22</w:t>
            </w:r>
            <w:r w:rsidRPr="00666E2E">
              <w:rPr>
                <w:rtl/>
              </w:rPr>
              <w:t>, בתוך שנתיים מהפרה קודמת של אותה הוראה שבשלה הוטל על המפר עיצום כספי.</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סכומים מופחתים</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27</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(א)</w:t>
            </w:r>
            <w:r w:rsidRPr="00666E2E">
              <w:rPr>
                <w:rtl/>
              </w:rPr>
              <w:tab/>
              <w:t>הממונה אינו רשאי להטיל עיצום כספי בסכום הנמוך מהסכומים הקבועים לפי סעי</w:t>
            </w:r>
            <w:r w:rsidRPr="00666E2E">
              <w:rPr>
                <w:rFonts w:hint="cs"/>
                <w:rtl/>
              </w:rPr>
              <w:t>פים 18 עד 22</w:t>
            </w:r>
            <w:r w:rsidRPr="00666E2E">
              <w:rPr>
                <w:rtl/>
              </w:rPr>
              <w:t>, אלא לפי הוראות סעיף קטן (ב).</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(ב)</w:t>
            </w:r>
            <w:r w:rsidRPr="00666E2E">
              <w:rPr>
                <w:rtl/>
              </w:rPr>
              <w:tab/>
              <w:t>השר, בהסכמת שר המשפטים ובאישור ועדת החינוך, התרבות והספורט של הכנסת, רשאי לקבוע מקרים, נסיבות ושיקולים שבשלהם יהיה ניתן להטיל עיצום כספי בסכום הנמוך מהסכומים הקבועים לפי סעי</w:t>
            </w:r>
            <w:r w:rsidRPr="00666E2E">
              <w:rPr>
                <w:rFonts w:hint="cs"/>
                <w:rtl/>
              </w:rPr>
              <w:t>פים 18 עד 22</w:t>
            </w:r>
            <w:r w:rsidRPr="00666E2E">
              <w:rPr>
                <w:rtl/>
              </w:rPr>
              <w:t>, ובשיעורים שיקבע.</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סכום מעודכן של העיצום הכספי</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28</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(א)</w:t>
            </w:r>
            <w:r w:rsidRPr="00666E2E">
              <w:rPr>
                <w:rtl/>
              </w:rPr>
              <w:tab/>
              <w:t xml:space="preserve">העיצום הכספי יהיה לפי סכומו המעודכן ביום מסירת דרישת התשלום, ולגבי מפר שלא טען את טענותיו לפני הממונה כאמור בסעיף </w:t>
            </w:r>
            <w:r w:rsidRPr="00666E2E">
              <w:rPr>
                <w:rFonts w:hint="cs"/>
                <w:rtl/>
              </w:rPr>
              <w:t>24</w:t>
            </w:r>
            <w:r w:rsidRPr="00666E2E">
              <w:rPr>
                <w:rtl/>
              </w:rPr>
              <w:t xml:space="preserve"> – ביום מסירת ההודעה על כוונת החיוב; הוגש ערעור לבית משפט לפי סעיף </w:t>
            </w:r>
            <w:r w:rsidRPr="00666E2E">
              <w:rPr>
                <w:rFonts w:hint="cs"/>
                <w:rtl/>
              </w:rPr>
              <w:t>33</w:t>
            </w:r>
            <w:r w:rsidRPr="00666E2E">
              <w:rPr>
                <w:rtl/>
              </w:rPr>
              <w:t xml:space="preserve"> ועוכב תשלומו של העיצום הכספי בידי הממונה או בית המשפט, יהיה העיצום הכספי לפי סכומו המעודכן ביום ההחלטה בערעור.</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(ב)</w:t>
            </w:r>
            <w:r w:rsidRPr="00666E2E">
              <w:rPr>
                <w:rtl/>
              </w:rPr>
              <w:tab/>
              <w:t>סכומי העיצום הכספי הקבועים בסעיף 15 יתעדכנו ב</w:t>
            </w:r>
            <w:r w:rsidRPr="00666E2E">
              <w:rPr>
                <w:rFonts w:hint="cs"/>
                <w:rtl/>
              </w:rPr>
              <w:t>-1</w:t>
            </w:r>
            <w:r w:rsidRPr="00666E2E">
              <w:rPr>
                <w:rtl/>
              </w:rPr>
              <w:t xml:space="preserve"> בינואר בכל שנה (בסעיף קטן זה – יום העדכון), בהתאם לשיעור שינוי המדד הידוע ביום העדכון לעומת המדד שהיה ידוע ב</w:t>
            </w:r>
            <w:r w:rsidRPr="00666E2E">
              <w:rPr>
                <w:rFonts w:hint="cs"/>
                <w:rtl/>
              </w:rPr>
              <w:t>-</w:t>
            </w:r>
            <w:r w:rsidRPr="00666E2E">
              <w:rPr>
                <w:rtl/>
              </w:rPr>
              <w:t>1 בינואר של השנה הקודמת; הסכום האמור יעוגל לסכום הקרוב שהוא מכפלה של עשרה שקלים חדשים; לעניין זה, "מדד" – מדד המחירים לצרכן שמפרסמת הלשכה המרכזית לסטטיסטיקה.</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(ג)</w:t>
            </w:r>
            <w:r w:rsidRPr="00666E2E">
              <w:rPr>
                <w:rtl/>
              </w:rPr>
              <w:tab/>
              <w:t>הממונה יפרסם ברשומות הודעה על סכומי העיצום הכספי המעודכנים לפי סעיף קטן (ב).</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המועד לתשלום העיצום הכספי</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29</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המפר ישלם את העיצום הכספי בתוך 30 ימים מיום מסירת דרישת התשלום כאמור בסעיף</w:t>
            </w:r>
            <w:r w:rsidR="003A6110" w:rsidRPr="00666E2E">
              <w:rPr>
                <w:rFonts w:hint="cs"/>
                <w:rtl/>
              </w:rPr>
              <w:t xml:space="preserve"> </w:t>
            </w:r>
            <w:r w:rsidRPr="00666E2E">
              <w:rPr>
                <w:rFonts w:hint="cs"/>
                <w:rtl/>
              </w:rPr>
              <w:t>25</w:t>
            </w:r>
            <w:r w:rsidRPr="00666E2E">
              <w:rPr>
                <w:rtl/>
              </w:rPr>
              <w:t xml:space="preserve">. </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הפרשי הצמדה וריבית</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30</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לא שילם המפר עיצום כספי במועד, ייווספו על העיצום הכספי, לתקופת הפיגור, הפרשי הצמדה וריבית כהגדרתם בחוק פסיקת ריבית והצמדה, התשכ"א–1961‏</w:t>
            </w:r>
            <w:r w:rsidRPr="00666E2E">
              <w:rPr>
                <w:rStyle w:val="a6"/>
                <w:rtl/>
              </w:rPr>
              <w:footnoteReference w:id="6"/>
            </w:r>
            <w:r w:rsidRPr="00666E2E">
              <w:rPr>
                <w:rtl/>
              </w:rPr>
              <w:t xml:space="preserve"> (בפרק זה – הפרשי הצמדה וריבית), עד לתשלומו.</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גבייה</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31</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עיצום כספי ייגבה לאוצר המדינה, ועל גבייתו יחולו הוראות חוק המרכז לגביית קנסות, אגרות והוצאות, התשנ"ה–1995‏</w:t>
            </w:r>
            <w:r w:rsidRPr="00666E2E">
              <w:rPr>
                <w:rStyle w:val="a6"/>
                <w:rtl/>
              </w:rPr>
              <w:footnoteReference w:id="7"/>
            </w:r>
            <w:r w:rsidRPr="00666E2E">
              <w:rPr>
                <w:rtl/>
              </w:rPr>
              <w:t>.</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עיצום כספי בשל הפרה לפי חוק זה ולפי חוק אחר</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32</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על מעשה אחד המהווה הפרה של הוראה מההוראות לפי חוק זה המנויות בסעי</w:t>
            </w:r>
            <w:r w:rsidRPr="00666E2E">
              <w:rPr>
                <w:rFonts w:hint="cs"/>
                <w:rtl/>
              </w:rPr>
              <w:t>פים 18 עד 22</w:t>
            </w:r>
            <w:r w:rsidRPr="00666E2E">
              <w:rPr>
                <w:rtl/>
              </w:rPr>
              <w:t xml:space="preserve"> ושל הוראה מההוראות לפי חוק אחר, לא יוטל יותר מעיצום כספי אחד.</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szCs w:val="20"/>
                <w:rtl/>
              </w:rPr>
            </w:pPr>
            <w:r w:rsidRPr="00666E2E">
              <w:rPr>
                <w:rtl/>
              </w:rPr>
              <w:t>ערעור</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33</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(א)</w:t>
            </w:r>
            <w:r w:rsidRPr="00666E2E">
              <w:rPr>
                <w:rtl/>
              </w:rPr>
              <w:tab/>
              <w:t>על החלטה סופית של הממונה לפי פרק זה ניתן לערער לבית משפט השלום</w:t>
            </w:r>
            <w:r w:rsidRPr="00666E2E">
              <w:rPr>
                <w:rFonts w:ascii="Times New Roman" w:hAnsi="Times New Roman" w:cs="Times New Roman" w:hint="cs"/>
                <w:rtl/>
              </w:rPr>
              <w:t> </w:t>
            </w:r>
            <w:r w:rsidRPr="00666E2E">
              <w:rPr>
                <w:rFonts w:hint="cs"/>
                <w:rtl/>
              </w:rPr>
              <w:t>שבו</w:t>
            </w:r>
            <w:r w:rsidRPr="00666E2E">
              <w:rPr>
                <w:rtl/>
              </w:rPr>
              <w:t xml:space="preserve"> </w:t>
            </w:r>
            <w:r w:rsidRPr="00666E2E">
              <w:rPr>
                <w:rFonts w:hint="cs"/>
                <w:rtl/>
              </w:rPr>
              <w:t>יושב</w:t>
            </w:r>
            <w:r w:rsidRPr="00666E2E">
              <w:rPr>
                <w:rtl/>
              </w:rPr>
              <w:t xml:space="preserve"> </w:t>
            </w:r>
            <w:r w:rsidRPr="00666E2E">
              <w:rPr>
                <w:rFonts w:hint="cs"/>
                <w:rtl/>
              </w:rPr>
              <w:t>נשיא</w:t>
            </w:r>
            <w:r w:rsidRPr="00666E2E">
              <w:rPr>
                <w:rtl/>
              </w:rPr>
              <w:t xml:space="preserve"> </w:t>
            </w:r>
            <w:r w:rsidRPr="00666E2E">
              <w:rPr>
                <w:rFonts w:hint="cs"/>
                <w:rtl/>
              </w:rPr>
              <w:t>בית</w:t>
            </w:r>
            <w:r w:rsidRPr="00666E2E">
              <w:rPr>
                <w:rtl/>
              </w:rPr>
              <w:t xml:space="preserve"> </w:t>
            </w:r>
            <w:r w:rsidRPr="00666E2E">
              <w:rPr>
                <w:rFonts w:hint="cs"/>
                <w:rtl/>
              </w:rPr>
              <w:t>משפט</w:t>
            </w:r>
            <w:r w:rsidRPr="00666E2E">
              <w:rPr>
                <w:rtl/>
              </w:rPr>
              <w:t xml:space="preserve"> </w:t>
            </w:r>
            <w:r w:rsidRPr="00666E2E">
              <w:rPr>
                <w:rFonts w:hint="cs"/>
                <w:rtl/>
              </w:rPr>
              <w:t>השלום</w:t>
            </w:r>
            <w:r w:rsidRPr="00666E2E">
              <w:rPr>
                <w:rtl/>
              </w:rPr>
              <w:t xml:space="preserve">; </w:t>
            </w:r>
            <w:r w:rsidRPr="00666E2E">
              <w:rPr>
                <w:rFonts w:hint="cs"/>
                <w:rtl/>
              </w:rPr>
              <w:t>ערעור</w:t>
            </w:r>
            <w:r w:rsidRPr="00666E2E">
              <w:rPr>
                <w:rtl/>
              </w:rPr>
              <w:t xml:space="preserve"> </w:t>
            </w:r>
            <w:r w:rsidRPr="00666E2E">
              <w:rPr>
                <w:rFonts w:hint="cs"/>
                <w:rtl/>
              </w:rPr>
              <w:t>כאמור</w:t>
            </w:r>
            <w:r w:rsidRPr="00666E2E">
              <w:rPr>
                <w:rtl/>
              </w:rPr>
              <w:t xml:space="preserve"> </w:t>
            </w:r>
            <w:r w:rsidRPr="00666E2E">
              <w:rPr>
                <w:rFonts w:hint="cs"/>
                <w:rtl/>
              </w:rPr>
              <w:t>יוגש</w:t>
            </w:r>
            <w:r w:rsidRPr="00666E2E">
              <w:rPr>
                <w:rtl/>
              </w:rPr>
              <w:t xml:space="preserve"> </w:t>
            </w:r>
            <w:r w:rsidRPr="00666E2E">
              <w:rPr>
                <w:rFonts w:hint="cs"/>
                <w:rtl/>
              </w:rPr>
              <w:t>בתוך</w:t>
            </w:r>
            <w:r w:rsidRPr="00666E2E">
              <w:rPr>
                <w:rtl/>
              </w:rPr>
              <w:t xml:space="preserve"> 30 </w:t>
            </w:r>
            <w:r w:rsidRPr="00666E2E">
              <w:rPr>
                <w:rFonts w:hint="cs"/>
                <w:rtl/>
              </w:rPr>
              <w:t>ימים</w:t>
            </w:r>
            <w:r w:rsidRPr="00666E2E">
              <w:rPr>
                <w:rtl/>
              </w:rPr>
              <w:t xml:space="preserve"> </w:t>
            </w:r>
            <w:r w:rsidRPr="00666E2E">
              <w:rPr>
                <w:rFonts w:hint="cs"/>
                <w:rtl/>
              </w:rPr>
              <w:t>מיום</w:t>
            </w:r>
            <w:r w:rsidRPr="00666E2E">
              <w:rPr>
                <w:rtl/>
              </w:rPr>
              <w:t xml:space="preserve"> </w:t>
            </w:r>
            <w:r w:rsidRPr="00666E2E">
              <w:rPr>
                <w:rFonts w:hint="cs"/>
                <w:rtl/>
              </w:rPr>
              <w:t>שבו</w:t>
            </w:r>
            <w:r w:rsidRPr="00666E2E">
              <w:rPr>
                <w:rtl/>
              </w:rPr>
              <w:t xml:space="preserve"> </w:t>
            </w:r>
            <w:r w:rsidRPr="00666E2E">
              <w:rPr>
                <w:rFonts w:hint="cs"/>
                <w:rtl/>
              </w:rPr>
              <w:t>נמסרה</w:t>
            </w:r>
            <w:r w:rsidRPr="00666E2E">
              <w:rPr>
                <w:rtl/>
              </w:rPr>
              <w:t xml:space="preserve"> </w:t>
            </w:r>
            <w:r w:rsidRPr="00666E2E">
              <w:rPr>
                <w:rFonts w:hint="cs"/>
                <w:rtl/>
              </w:rPr>
              <w:t>למפר</w:t>
            </w:r>
            <w:r w:rsidRPr="00666E2E">
              <w:rPr>
                <w:rtl/>
              </w:rPr>
              <w:t xml:space="preserve"> </w:t>
            </w:r>
            <w:r w:rsidRPr="00666E2E">
              <w:rPr>
                <w:rFonts w:hint="cs"/>
                <w:rtl/>
              </w:rPr>
              <w:t>דרישת</w:t>
            </w:r>
            <w:r w:rsidRPr="00666E2E">
              <w:rPr>
                <w:rtl/>
              </w:rPr>
              <w:t xml:space="preserve"> </w:t>
            </w:r>
            <w:r w:rsidRPr="00666E2E">
              <w:rPr>
                <w:rFonts w:hint="cs"/>
                <w:rtl/>
              </w:rPr>
              <w:t>התש</w:t>
            </w:r>
            <w:r w:rsidRPr="00666E2E">
              <w:rPr>
                <w:rtl/>
              </w:rPr>
              <w:t>לום.</w:t>
            </w:r>
            <w:r w:rsidRPr="00666E2E">
              <w:rPr>
                <w:rFonts w:ascii="Times New Roman" w:hAnsi="Times New Roman" w:cs="Times New Roman" w:hint="cs"/>
                <w:rtl/>
              </w:rPr>
              <w:t> </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(ב)</w:t>
            </w:r>
            <w:r w:rsidRPr="00666E2E">
              <w:rPr>
                <w:rtl/>
              </w:rPr>
              <w:tab/>
              <w:t>אין בהגשת ערעור לפי סעיף קטן (א) כדי לעכב את תשלום העיצום הכספי, אלא אם כן הסכים לכך הממונה או שבית המשפט הורה על כך.</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(ג)</w:t>
            </w:r>
            <w:r w:rsidRPr="00666E2E">
              <w:rPr>
                <w:rtl/>
              </w:rPr>
              <w:tab/>
              <w:t xml:space="preserve">החליט בית המשפט לקבל ערעור שהוגש לפי סעיף קטן (א), לאחר ששולם העיצום הכספי לפי הוראות פרק זה, והורה על החזרת סכום העיצום הכספי ששולם או על הפחתת העיצום הכספי, יוחזר הסכום ששולם או כל חלק ממנו אשר הופחת, בתוספת הפרשי הצמדה וריבית מיום תשלומו עד יום החזרתו. </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פרסום</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34</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(א)</w:t>
            </w:r>
            <w:r w:rsidRPr="00666E2E">
              <w:rPr>
                <w:rtl/>
              </w:rPr>
              <w:tab/>
              <w:t>הטיל הממונה עיצום כספי לפי פרק זה, יפרסם באתר האינטרנט של משרד החינוך את הפרטים שלהלן, בדרך שתבטיח</w:t>
            </w:r>
            <w:r w:rsidRPr="00666E2E">
              <w:rPr>
                <w:rFonts w:ascii="Times New Roman" w:hAnsi="Times New Roman" w:cs="Times New Roman" w:hint="cs"/>
                <w:rtl/>
              </w:rPr>
              <w:t> </w:t>
            </w:r>
            <w:r w:rsidRPr="00666E2E">
              <w:rPr>
                <w:rFonts w:hint="cs"/>
                <w:rtl/>
              </w:rPr>
              <w:t>שקיפות</w:t>
            </w:r>
            <w:r w:rsidRPr="00666E2E">
              <w:rPr>
                <w:rtl/>
              </w:rPr>
              <w:t xml:space="preserve"> </w:t>
            </w:r>
            <w:r w:rsidRPr="00666E2E">
              <w:rPr>
                <w:rFonts w:hint="cs"/>
                <w:rtl/>
              </w:rPr>
              <w:t>לגבי</w:t>
            </w:r>
            <w:r w:rsidRPr="00666E2E">
              <w:rPr>
                <w:rtl/>
              </w:rPr>
              <w:t xml:space="preserve"> </w:t>
            </w:r>
            <w:r w:rsidRPr="00666E2E">
              <w:rPr>
                <w:rFonts w:hint="cs"/>
                <w:rtl/>
              </w:rPr>
              <w:t>הפעלת</w:t>
            </w:r>
            <w:r w:rsidRPr="00666E2E">
              <w:rPr>
                <w:rtl/>
              </w:rPr>
              <w:t xml:space="preserve"> </w:t>
            </w:r>
            <w:r w:rsidRPr="00666E2E">
              <w:rPr>
                <w:rFonts w:hint="cs"/>
                <w:rtl/>
              </w:rPr>
              <w:t>שיקול</w:t>
            </w:r>
            <w:r w:rsidRPr="00666E2E">
              <w:rPr>
                <w:rtl/>
              </w:rPr>
              <w:t xml:space="preserve"> </w:t>
            </w:r>
            <w:r w:rsidRPr="00666E2E">
              <w:rPr>
                <w:rFonts w:hint="cs"/>
                <w:rtl/>
              </w:rPr>
              <w:t>דעתו</w:t>
            </w:r>
            <w:r w:rsidRPr="00666E2E">
              <w:rPr>
                <w:rtl/>
              </w:rPr>
              <w:t xml:space="preserve"> </w:t>
            </w:r>
            <w:r w:rsidRPr="00666E2E">
              <w:rPr>
                <w:rFonts w:hint="cs"/>
                <w:rtl/>
              </w:rPr>
              <w:t>בקבלת</w:t>
            </w:r>
            <w:r w:rsidRPr="00666E2E">
              <w:rPr>
                <w:rtl/>
              </w:rPr>
              <w:t xml:space="preserve"> </w:t>
            </w:r>
            <w:r w:rsidRPr="00666E2E">
              <w:rPr>
                <w:rFonts w:hint="cs"/>
                <w:rtl/>
              </w:rPr>
              <w:t>ההחלטה</w:t>
            </w:r>
            <w:r w:rsidRPr="00666E2E">
              <w:rPr>
                <w:rtl/>
              </w:rPr>
              <w:t xml:space="preserve"> </w:t>
            </w:r>
            <w:r w:rsidRPr="00666E2E">
              <w:rPr>
                <w:rFonts w:hint="cs"/>
                <w:rtl/>
              </w:rPr>
              <w:t>להטיל</w:t>
            </w:r>
            <w:r w:rsidRPr="00666E2E">
              <w:rPr>
                <w:rtl/>
              </w:rPr>
              <w:t xml:space="preserve"> </w:t>
            </w:r>
            <w:r w:rsidRPr="00666E2E">
              <w:rPr>
                <w:rFonts w:hint="cs"/>
                <w:rtl/>
              </w:rPr>
              <w:t>עיצום</w:t>
            </w:r>
            <w:r w:rsidRPr="00666E2E">
              <w:rPr>
                <w:rtl/>
              </w:rPr>
              <w:t xml:space="preserve"> </w:t>
            </w:r>
            <w:r w:rsidRPr="00666E2E">
              <w:rPr>
                <w:rFonts w:hint="cs"/>
                <w:rtl/>
              </w:rPr>
              <w:t>כ</w:t>
            </w:r>
            <w:r w:rsidRPr="00666E2E">
              <w:rPr>
                <w:rtl/>
              </w:rPr>
              <w:t xml:space="preserve">ספי: </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520" w:type="dxa"/>
            <w:gridSpan w:val="2"/>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(1)</w:t>
            </w:r>
            <w:r w:rsidRPr="00666E2E">
              <w:rPr>
                <w:rtl/>
              </w:rPr>
              <w:tab/>
              <w:t>דבר הטלת העיצום הכספי;</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520" w:type="dxa"/>
            <w:gridSpan w:val="2"/>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(2)</w:t>
            </w:r>
            <w:r w:rsidRPr="00666E2E">
              <w:rPr>
                <w:rtl/>
              </w:rPr>
              <w:tab/>
              <w:t>מהות ההפרה</w:t>
            </w:r>
            <w:r w:rsidRPr="00666E2E">
              <w:rPr>
                <w:rFonts w:ascii="Times New Roman" w:hAnsi="Times New Roman" w:cs="Times New Roman" w:hint="cs"/>
                <w:rtl/>
              </w:rPr>
              <w:t> </w:t>
            </w:r>
            <w:r w:rsidRPr="00666E2E">
              <w:rPr>
                <w:rFonts w:hint="cs"/>
                <w:rtl/>
              </w:rPr>
              <w:t>שבשל</w:t>
            </w:r>
            <w:r w:rsidRPr="00666E2E">
              <w:rPr>
                <w:rtl/>
              </w:rPr>
              <w:t>ה הוטל העיצום הכספי ונסיבות ההפרה;</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520" w:type="dxa"/>
            <w:gridSpan w:val="2"/>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(3)</w:t>
            </w:r>
            <w:r w:rsidRPr="00666E2E">
              <w:rPr>
                <w:rtl/>
              </w:rPr>
              <w:tab/>
              <w:t>סכום העיצום הכספי שהוטל;</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520" w:type="dxa"/>
            <w:gridSpan w:val="2"/>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(4)</w:t>
            </w:r>
            <w:r w:rsidRPr="00666E2E">
              <w:rPr>
                <w:rtl/>
              </w:rPr>
              <w:tab/>
              <w:t>אם הופחת העיצום הכספי – הנסיבות שבשלהן הופחת</w:t>
            </w:r>
            <w:r w:rsidRPr="00666E2E">
              <w:rPr>
                <w:rFonts w:ascii="Times New Roman" w:hAnsi="Times New Roman" w:cs="Times New Roman" w:hint="cs"/>
                <w:rtl/>
              </w:rPr>
              <w:t> </w:t>
            </w:r>
            <w:r w:rsidRPr="00666E2E">
              <w:rPr>
                <w:rFonts w:hint="cs"/>
                <w:rtl/>
              </w:rPr>
              <w:t>סכום</w:t>
            </w:r>
            <w:r w:rsidRPr="00666E2E">
              <w:rPr>
                <w:rtl/>
              </w:rPr>
              <w:t xml:space="preserve"> </w:t>
            </w:r>
            <w:r w:rsidRPr="00666E2E">
              <w:rPr>
                <w:rFonts w:hint="cs"/>
                <w:rtl/>
              </w:rPr>
              <w:t>העיצום</w:t>
            </w:r>
            <w:r w:rsidRPr="00666E2E">
              <w:rPr>
                <w:rtl/>
              </w:rPr>
              <w:t xml:space="preserve"> </w:t>
            </w:r>
            <w:r w:rsidRPr="00666E2E">
              <w:rPr>
                <w:rFonts w:hint="cs"/>
                <w:rtl/>
              </w:rPr>
              <w:t>ושיעורי</w:t>
            </w:r>
            <w:r w:rsidRPr="00666E2E">
              <w:rPr>
                <w:rtl/>
              </w:rPr>
              <w:t xml:space="preserve"> </w:t>
            </w:r>
            <w:r w:rsidRPr="00666E2E">
              <w:rPr>
                <w:rFonts w:hint="cs"/>
                <w:rtl/>
              </w:rPr>
              <w:t>הה</w:t>
            </w:r>
            <w:r w:rsidRPr="00666E2E">
              <w:rPr>
                <w:rtl/>
              </w:rPr>
              <w:t>פחתה;</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520" w:type="dxa"/>
            <w:gridSpan w:val="2"/>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(5)</w:t>
            </w:r>
            <w:r w:rsidRPr="00666E2E">
              <w:rPr>
                <w:rtl/>
              </w:rPr>
              <w:tab/>
              <w:t>פרטים על המפר, הנוגעים לעניין;</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6520" w:type="dxa"/>
            <w:gridSpan w:val="2"/>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(6)</w:t>
            </w:r>
            <w:r w:rsidRPr="00666E2E">
              <w:rPr>
                <w:rtl/>
              </w:rPr>
              <w:tab/>
              <w:t>שמו של המפר – אם המפר הוא תאגיד.</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3A6110">
            <w:pPr>
              <w:pStyle w:val="TableBlock"/>
              <w:rPr>
                <w:rtl/>
              </w:rPr>
            </w:pPr>
            <w:r w:rsidRPr="00666E2E">
              <w:rPr>
                <w:rtl/>
              </w:rPr>
              <w:t>(ב)</w:t>
            </w:r>
            <w:r w:rsidRPr="00666E2E">
              <w:rPr>
                <w:rtl/>
              </w:rPr>
              <w:tab/>
              <w:t>הוגש ערעור לפי סעיף</w:t>
            </w:r>
            <w:r w:rsidR="003A6110" w:rsidRPr="00666E2E">
              <w:rPr>
                <w:rFonts w:hint="cs"/>
                <w:rtl/>
              </w:rPr>
              <w:t xml:space="preserve"> </w:t>
            </w:r>
            <w:r w:rsidRPr="00666E2E">
              <w:rPr>
                <w:rFonts w:hint="cs"/>
                <w:rtl/>
              </w:rPr>
              <w:t>33</w:t>
            </w:r>
            <w:r w:rsidRPr="00666E2E">
              <w:rPr>
                <w:rtl/>
              </w:rPr>
              <w:t>, יפרסם הממונה, בפרסום לפי סעיף קטן (א) גם את דבר הגשת הערעור ואת תוצאותיו.</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szCs w:val="20"/>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(ג)</w:t>
            </w:r>
            <w:r w:rsidRPr="00666E2E">
              <w:rPr>
                <w:rtl/>
              </w:rPr>
              <w:tab/>
              <w:t>על אף האמור בסעיף זה, לא יפרסם הממונה פרטים שהם</w:t>
            </w:r>
            <w:r w:rsidRPr="00666E2E">
              <w:rPr>
                <w:rFonts w:ascii="Times New Roman" w:hAnsi="Times New Roman" w:cs="Times New Roman" w:hint="cs"/>
                <w:rtl/>
              </w:rPr>
              <w:t> </w:t>
            </w:r>
            <w:r w:rsidRPr="00666E2E">
              <w:rPr>
                <w:rFonts w:hint="cs"/>
                <w:rtl/>
              </w:rPr>
              <w:t>בגדר</w:t>
            </w:r>
            <w:r w:rsidRPr="00666E2E">
              <w:rPr>
                <w:rtl/>
              </w:rPr>
              <w:t xml:space="preserve"> </w:t>
            </w:r>
            <w:r w:rsidRPr="00666E2E">
              <w:rPr>
                <w:rFonts w:hint="cs"/>
                <w:rtl/>
              </w:rPr>
              <w:t>מידע</w:t>
            </w:r>
            <w:r w:rsidRPr="00666E2E">
              <w:rPr>
                <w:rtl/>
              </w:rPr>
              <w:t xml:space="preserve"> </w:t>
            </w:r>
            <w:r w:rsidRPr="00666E2E">
              <w:rPr>
                <w:rFonts w:hint="cs"/>
                <w:rtl/>
              </w:rPr>
              <w:t>שרשות</w:t>
            </w:r>
            <w:r w:rsidRPr="00666E2E">
              <w:rPr>
                <w:rtl/>
              </w:rPr>
              <w:t xml:space="preserve"> </w:t>
            </w:r>
            <w:r w:rsidRPr="00666E2E">
              <w:rPr>
                <w:rFonts w:hint="cs"/>
                <w:rtl/>
              </w:rPr>
              <w:t>ציבורית</w:t>
            </w:r>
            <w:r w:rsidRPr="00666E2E">
              <w:rPr>
                <w:rtl/>
              </w:rPr>
              <w:t xml:space="preserve"> </w:t>
            </w:r>
            <w:r w:rsidRPr="00666E2E">
              <w:rPr>
                <w:rFonts w:hint="cs"/>
                <w:rtl/>
              </w:rPr>
              <w:t>מנועה</w:t>
            </w:r>
            <w:r w:rsidRPr="00666E2E">
              <w:rPr>
                <w:rtl/>
              </w:rPr>
              <w:t xml:space="preserve"> </w:t>
            </w:r>
            <w:r w:rsidRPr="00666E2E">
              <w:rPr>
                <w:rFonts w:hint="cs"/>
                <w:rtl/>
              </w:rPr>
              <w:t>מלמסור</w:t>
            </w:r>
            <w:r w:rsidRPr="00666E2E">
              <w:rPr>
                <w:rtl/>
              </w:rPr>
              <w:t xml:space="preserve"> </w:t>
            </w:r>
            <w:r w:rsidRPr="00666E2E">
              <w:rPr>
                <w:rFonts w:hint="cs"/>
                <w:rtl/>
              </w:rPr>
              <w:t>לפי</w:t>
            </w:r>
            <w:r w:rsidRPr="00666E2E">
              <w:rPr>
                <w:rtl/>
              </w:rPr>
              <w:t xml:space="preserve"> </w:t>
            </w:r>
            <w:r w:rsidRPr="00666E2E">
              <w:rPr>
                <w:rFonts w:hint="cs"/>
                <w:rtl/>
              </w:rPr>
              <w:t>סעיף</w:t>
            </w:r>
            <w:r w:rsidRPr="00666E2E">
              <w:rPr>
                <w:rtl/>
              </w:rPr>
              <w:t xml:space="preserve"> 9(</w:t>
            </w:r>
            <w:r w:rsidRPr="00666E2E">
              <w:rPr>
                <w:rFonts w:hint="cs"/>
                <w:rtl/>
              </w:rPr>
              <w:t>א</w:t>
            </w:r>
            <w:r w:rsidRPr="00666E2E">
              <w:rPr>
                <w:rtl/>
              </w:rPr>
              <w:t xml:space="preserve">) </w:t>
            </w:r>
            <w:r w:rsidRPr="00666E2E">
              <w:rPr>
                <w:rFonts w:hint="cs"/>
                <w:rtl/>
              </w:rPr>
              <w:t>לחוק</w:t>
            </w:r>
            <w:r w:rsidRPr="00666E2E">
              <w:rPr>
                <w:rtl/>
              </w:rPr>
              <w:t xml:space="preserve"> </w:t>
            </w:r>
            <w:r w:rsidRPr="00666E2E">
              <w:rPr>
                <w:rFonts w:hint="cs"/>
                <w:rtl/>
              </w:rPr>
              <w:t>חופש</w:t>
            </w:r>
            <w:r w:rsidRPr="00666E2E">
              <w:rPr>
                <w:rtl/>
              </w:rPr>
              <w:t xml:space="preserve"> </w:t>
            </w:r>
            <w:r w:rsidRPr="00666E2E">
              <w:rPr>
                <w:rFonts w:hint="cs"/>
                <w:rtl/>
              </w:rPr>
              <w:t>המידע</w:t>
            </w:r>
            <w:r w:rsidRPr="00666E2E">
              <w:rPr>
                <w:rtl/>
              </w:rPr>
              <w:t xml:space="preserve">, </w:t>
            </w:r>
            <w:r w:rsidRPr="00666E2E">
              <w:rPr>
                <w:rFonts w:hint="cs"/>
                <w:rtl/>
              </w:rPr>
              <w:t>התשנ</w:t>
            </w:r>
            <w:r w:rsidRPr="00666E2E">
              <w:rPr>
                <w:rtl/>
              </w:rPr>
              <w:t>"</w:t>
            </w:r>
            <w:r w:rsidRPr="00666E2E">
              <w:rPr>
                <w:rFonts w:hint="cs"/>
                <w:rtl/>
              </w:rPr>
              <w:t>ח–</w:t>
            </w:r>
            <w:r w:rsidRPr="00666E2E">
              <w:rPr>
                <w:rtl/>
              </w:rPr>
              <w:t>1998‏</w:t>
            </w:r>
            <w:r w:rsidRPr="00666E2E">
              <w:rPr>
                <w:rStyle w:val="a6"/>
                <w:rtl/>
              </w:rPr>
              <w:footnoteReference w:id="8"/>
            </w:r>
            <w:r w:rsidRPr="00666E2E">
              <w:rPr>
                <w:rtl/>
              </w:rPr>
              <w:t>, וכן רשאי הוא שלא לפרסם פרטים לפי סעיף זה שהם בגדר מידע שרשות ציבורית אינה חייבת למסור לפי סעיף 9(ב) לחוק האמור.</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szCs w:val="20"/>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(ד)</w:t>
            </w:r>
            <w:r w:rsidRPr="00666E2E">
              <w:rPr>
                <w:rtl/>
              </w:rPr>
              <w:tab/>
              <w:t>פרסום לפי סעיף זה בעניין עיצום כספי שהוטל על תאגיד יהיה לתקופה של ארבע שנים</w:t>
            </w:r>
            <w:r w:rsidRPr="00666E2E">
              <w:rPr>
                <w:rFonts w:hint="cs"/>
                <w:rtl/>
              </w:rPr>
              <w:t xml:space="preserve">, ובעניין עיצום כספי שהוטל על יחיד </w:t>
            </w:r>
            <w:r w:rsidRPr="00666E2E">
              <w:rPr>
                <w:rtl/>
              </w:rPr>
              <w:t>–</w:t>
            </w:r>
            <w:r w:rsidRPr="00666E2E">
              <w:rPr>
                <w:rFonts w:hint="cs"/>
                <w:rtl/>
              </w:rPr>
              <w:t xml:space="preserve"> לתקופה של שנתיים</w:t>
            </w:r>
            <w:r w:rsidRPr="00666E2E">
              <w:rPr>
                <w:rtl/>
              </w:rPr>
              <w:t>.</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(ה)</w:t>
            </w:r>
            <w:r w:rsidRPr="00666E2E">
              <w:rPr>
                <w:rtl/>
              </w:rPr>
              <w:tab/>
              <w:t>השר רשאי לקבוע דרכים נוספות לפרסום הפרטים האמורים בסעיף זה.</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lastRenderedPageBreak/>
              <w:t>שמירת אחריות פלילית</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35</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(א)</w:t>
            </w:r>
            <w:r w:rsidRPr="00666E2E">
              <w:rPr>
                <w:rtl/>
              </w:rPr>
              <w:tab/>
              <w:t>תשלום עיצום כספי לפי פרק זה לא יגרע מאחריותו הפלילית של אדם בשל הפרת הוראה מההוראות לפי חוק זה המנויות בסעי</w:t>
            </w:r>
            <w:r w:rsidRPr="00666E2E">
              <w:rPr>
                <w:rFonts w:hint="cs"/>
                <w:rtl/>
              </w:rPr>
              <w:t>פים 18 עד 22</w:t>
            </w:r>
            <w:r w:rsidRPr="00666E2E">
              <w:rPr>
                <w:rtl/>
              </w:rPr>
              <w:t>, המהווה עבירה.</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(ב)</w:t>
            </w:r>
            <w:r w:rsidRPr="00666E2E">
              <w:rPr>
                <w:rtl/>
              </w:rPr>
              <w:tab/>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(ג)</w:t>
            </w:r>
            <w:r w:rsidRPr="00666E2E">
              <w:rPr>
                <w:rtl/>
              </w:rPr>
              <w:tab/>
              <w:t>הוגש נגד אדם כתב אישום בשל הפרה המהווה עבירה כאמור בסעיף קטן (א), לא ינקוט נגדו הממונה הליכים לפי פרק זה בשל אותה הפרה, ואם הוגש כתב אישום בנסיבות האמורות בסעיף קטן (ב) לאחר שהמפר שילם עיצום כספי – יוחזר לו הסכום ששולם, בתוספת הפרשי הצמדה וריבית מיום תשלום הסכום עד יום החזרתו.</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Head"/>
              <w:rPr>
                <w:rtl/>
              </w:rPr>
            </w:pPr>
            <w:r w:rsidRPr="00666E2E">
              <w:rPr>
                <w:rtl/>
              </w:rPr>
              <w:t>פרק ז': הוראות שונות</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ייחוד סמכות הפיקוח על המחירים</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36</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הוראות חוק פיקוח על מחירי מצרכים ושירותים, התשנ"ו–1996‏</w:t>
            </w:r>
            <w:r w:rsidRPr="00666E2E">
              <w:rPr>
                <w:rStyle w:val="a6"/>
                <w:rtl/>
              </w:rPr>
              <w:footnoteReference w:id="9"/>
            </w:r>
            <w:r w:rsidRPr="00666E2E">
              <w:rPr>
                <w:rtl/>
              </w:rPr>
              <w:t>, לא יחולו על מחיר בעד שירות של צהרון.</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 xml:space="preserve">שמירת דינים </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37</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אין בהוראות חוק זה כדי לגרוע מהוראות כל דין, ובכלל זה מסמכויות פיקוח הנתונות לפי כל דין.</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B06838">
            <w:pPr>
              <w:pStyle w:val="TableSideHeading"/>
              <w:rPr>
                <w:rtl/>
              </w:rPr>
            </w:pPr>
            <w:r w:rsidRPr="00666E2E">
              <w:rPr>
                <w:rtl/>
              </w:rPr>
              <w:t>אי־תחולה</w:t>
            </w:r>
            <w:r w:rsidR="003A6110" w:rsidRPr="00666E2E">
              <w:rPr>
                <w:rFonts w:hint="cs"/>
                <w:rtl/>
              </w:rPr>
              <w:t xml:space="preserve"> </w:t>
            </w:r>
            <w:r w:rsidR="00461BBD" w:rsidRPr="00666E2E">
              <w:rPr>
                <w:rFonts w:hint="cs"/>
                <w:rtl/>
              </w:rPr>
              <w:t>ופטור</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38</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3A6110" w:rsidP="007C5FCC">
            <w:pPr>
              <w:pStyle w:val="TableBlock"/>
              <w:rPr>
                <w:rtl/>
              </w:rPr>
            </w:pPr>
            <w:r w:rsidRPr="00666E2E">
              <w:rPr>
                <w:rFonts w:hint="cs"/>
                <w:rtl/>
              </w:rPr>
              <w:t>(א)</w:t>
            </w:r>
            <w:r w:rsidRPr="00666E2E">
              <w:rPr>
                <w:rtl/>
              </w:rPr>
              <w:tab/>
            </w:r>
            <w:r w:rsidR="007C5FCC" w:rsidRPr="00666E2E">
              <w:rPr>
                <w:rtl/>
              </w:rPr>
              <w:t>הוראות חוק זה לא יחולו על מסגרות שמשרד העבודה, הרווחה והשירותים החברתיים משתתף בתקציבן ועל קייטנה כהגדרתה בחוק הקייטנות (רישוי ופיקוח), התש"ן–1990‏</w:t>
            </w:r>
            <w:r w:rsidR="007C5FCC" w:rsidRPr="00666E2E">
              <w:rPr>
                <w:rStyle w:val="a6"/>
                <w:rtl/>
              </w:rPr>
              <w:footnoteReference w:id="10"/>
            </w:r>
            <w:r w:rsidR="007C5FCC" w:rsidRPr="00666E2E">
              <w:rPr>
                <w:rtl/>
              </w:rPr>
              <w:t>.</w:t>
            </w:r>
          </w:p>
        </w:tc>
      </w:tr>
      <w:tr w:rsidR="003A6110" w:rsidRPr="00666E2E" w:rsidTr="007C5FCC">
        <w:trPr>
          <w:cantSplit/>
        </w:trPr>
        <w:tc>
          <w:tcPr>
            <w:tcW w:w="1870" w:type="dxa"/>
            <w:shd w:val="clear" w:color="auto" w:fill="auto"/>
            <w:tcMar>
              <w:top w:w="91" w:type="dxa"/>
              <w:left w:w="0" w:type="dxa"/>
              <w:bottom w:w="91" w:type="dxa"/>
              <w:right w:w="0" w:type="dxa"/>
            </w:tcMar>
          </w:tcPr>
          <w:p w:rsidR="003A6110" w:rsidRPr="00666E2E" w:rsidRDefault="003A6110" w:rsidP="007C5FCC">
            <w:pPr>
              <w:pStyle w:val="TableSideHeading"/>
              <w:rPr>
                <w:rtl/>
              </w:rPr>
            </w:pPr>
          </w:p>
        </w:tc>
        <w:tc>
          <w:tcPr>
            <w:tcW w:w="624" w:type="dxa"/>
            <w:shd w:val="clear" w:color="auto" w:fill="auto"/>
            <w:tcMar>
              <w:top w:w="91" w:type="dxa"/>
              <w:left w:w="0" w:type="dxa"/>
              <w:bottom w:w="91" w:type="dxa"/>
              <w:right w:w="0" w:type="dxa"/>
            </w:tcMar>
          </w:tcPr>
          <w:p w:rsidR="003A6110" w:rsidRPr="00666E2E" w:rsidRDefault="003A6110" w:rsidP="00B06838">
            <w:pPr>
              <w:pStyle w:val="TableText"/>
              <w:rPr>
                <w:rtl/>
              </w:rPr>
            </w:pPr>
          </w:p>
        </w:tc>
        <w:tc>
          <w:tcPr>
            <w:tcW w:w="7144" w:type="dxa"/>
            <w:gridSpan w:val="3"/>
            <w:shd w:val="clear" w:color="auto" w:fill="auto"/>
            <w:tcMar>
              <w:top w:w="91" w:type="dxa"/>
              <w:left w:w="0" w:type="dxa"/>
              <w:bottom w:w="91" w:type="dxa"/>
              <w:right w:w="0" w:type="dxa"/>
            </w:tcMar>
          </w:tcPr>
          <w:p w:rsidR="003A6110" w:rsidRPr="00666E2E" w:rsidRDefault="003A6110" w:rsidP="00B06838">
            <w:pPr>
              <w:pStyle w:val="TableBlock"/>
              <w:rPr>
                <w:rtl/>
              </w:rPr>
            </w:pPr>
            <w:r w:rsidRPr="00666E2E">
              <w:rPr>
                <w:rFonts w:hint="cs"/>
                <w:rtl/>
              </w:rPr>
              <w:t>(ב)</w:t>
            </w:r>
            <w:r w:rsidRPr="00666E2E">
              <w:rPr>
                <w:rtl/>
              </w:rPr>
              <w:tab/>
            </w:r>
            <w:r w:rsidRPr="00666E2E">
              <w:rPr>
                <w:rFonts w:hint="cs"/>
                <w:rtl/>
              </w:rPr>
              <w:t xml:space="preserve">השר רשאי לפטור </w:t>
            </w:r>
            <w:r w:rsidR="00BF06C3" w:rsidRPr="00666E2E">
              <w:rPr>
                <w:rFonts w:hint="cs"/>
                <w:rtl/>
              </w:rPr>
              <w:t xml:space="preserve">מתחולת חוק זה </w:t>
            </w:r>
            <w:r w:rsidRPr="00666E2E">
              <w:rPr>
                <w:rFonts w:hint="cs"/>
                <w:rtl/>
              </w:rPr>
              <w:t>צהרונים שפועלים במקרקעין בבעלות גוף פרטי או שנשכרו מגוף פרטי</w:t>
            </w:r>
            <w:r w:rsidR="006C3CB2" w:rsidRPr="00666E2E">
              <w:rPr>
                <w:rFonts w:hint="cs"/>
                <w:rtl/>
              </w:rPr>
              <w:t>, ובלבד שמפעיל הצהרון הוא גוף פרטי</w:t>
            </w:r>
            <w:r w:rsidRPr="00666E2E">
              <w:rPr>
                <w:rFonts w:hint="cs"/>
                <w:rtl/>
              </w:rPr>
              <w:t xml:space="preserve">; לעניין זה, "גוף פרטי" </w:t>
            </w:r>
            <w:r w:rsidRPr="00666E2E">
              <w:rPr>
                <w:rtl/>
              </w:rPr>
              <w:t>–</w:t>
            </w:r>
            <w:r w:rsidRPr="00666E2E">
              <w:rPr>
                <w:rFonts w:hint="cs"/>
                <w:rtl/>
              </w:rPr>
              <w:t xml:space="preserve"> מי שאינו משרד ממשלתי או יחידת סמך שלו או מוסד אחר ממוסדות המדינה או רשות מקומית, לרבות תאגיד שבידי רשות מקומית </w:t>
            </w:r>
            <w:r w:rsidR="006C3CB2" w:rsidRPr="00666E2E">
              <w:rPr>
                <w:rFonts w:hint="cs"/>
                <w:rtl/>
              </w:rPr>
              <w:t>לפחות מחצית מההון או מחצית מכוח הצבעה בו או הזכות למנות לפחות מחצית ממנהלי התאגיד.</w:t>
            </w:r>
          </w:p>
        </w:tc>
      </w:tr>
      <w:tr w:rsidR="007C5FCC" w:rsidRPr="00666E2E" w:rsidTr="007C5FCC">
        <w:tblPrEx>
          <w:tblLook w:val="01E0" w:firstRow="1" w:lastRow="1" w:firstColumn="1" w:lastColumn="1" w:noHBand="0" w:noVBand="0"/>
        </w:tblPrEx>
        <w:trPr>
          <w:cantSplit/>
        </w:trPr>
        <w:tc>
          <w:tcPr>
            <w:tcW w:w="1870" w:type="dxa"/>
          </w:tcPr>
          <w:p w:rsidR="007C5FCC" w:rsidRPr="00666E2E" w:rsidRDefault="007C5FCC" w:rsidP="007C5FCC">
            <w:pPr>
              <w:pStyle w:val="TableSideHeading"/>
              <w:keepLines w:val="0"/>
              <w:rPr>
                <w:rtl/>
              </w:rPr>
            </w:pPr>
            <w:r w:rsidRPr="00666E2E">
              <w:rPr>
                <w:rFonts w:hint="cs"/>
                <w:rtl/>
              </w:rPr>
              <w:t>תיקון התוספת</w:t>
            </w:r>
          </w:p>
        </w:tc>
        <w:tc>
          <w:tcPr>
            <w:tcW w:w="624" w:type="dxa"/>
          </w:tcPr>
          <w:p w:rsidR="007C5FCC" w:rsidRPr="00666E2E" w:rsidRDefault="007C5FCC" w:rsidP="007C5FCC">
            <w:pPr>
              <w:pStyle w:val="TableText"/>
              <w:keepLines w:val="0"/>
              <w:tabs>
                <w:tab w:val="left" w:pos="0"/>
              </w:tabs>
              <w:rPr>
                <w:rtl/>
              </w:rPr>
            </w:pPr>
            <w:r w:rsidRPr="00666E2E">
              <w:rPr>
                <w:rFonts w:hint="cs"/>
                <w:rtl/>
              </w:rPr>
              <w:t>39.</w:t>
            </w:r>
            <w:r w:rsidRPr="00666E2E">
              <w:rPr>
                <w:rtl/>
              </w:rPr>
              <w:tab/>
            </w:r>
          </w:p>
        </w:tc>
        <w:tc>
          <w:tcPr>
            <w:tcW w:w="7144" w:type="dxa"/>
            <w:gridSpan w:val="3"/>
          </w:tcPr>
          <w:p w:rsidR="007C5FCC" w:rsidRPr="00666E2E" w:rsidRDefault="007C5FCC" w:rsidP="007C5FCC">
            <w:pPr>
              <w:pStyle w:val="TableBlock"/>
              <w:rPr>
                <w:rtl/>
              </w:rPr>
            </w:pPr>
            <w:r w:rsidRPr="00666E2E">
              <w:rPr>
                <w:rFonts w:hint="cs"/>
                <w:rtl/>
              </w:rPr>
              <w:t>השר, בהסכמת שר המשפטים, ובאישור ועדת החינוך, התרבות והספורט של הכנסת, רשאי, בצו</w:t>
            </w:r>
            <w:r w:rsidR="0031246F">
              <w:rPr>
                <w:rFonts w:hint="cs"/>
                <w:rtl/>
              </w:rPr>
              <w:t>,</w:t>
            </w:r>
            <w:r w:rsidRPr="00666E2E">
              <w:rPr>
                <w:rFonts w:hint="cs"/>
                <w:rtl/>
              </w:rPr>
              <w:t xml:space="preserve"> לשנות את התוספת.</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r w:rsidRPr="00666E2E">
              <w:rPr>
                <w:rtl/>
              </w:rPr>
              <w:t>ביצוע ותקנות</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40</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Block"/>
              <w:rPr>
                <w:rtl/>
              </w:rPr>
            </w:pPr>
            <w:r w:rsidRPr="00666E2E">
              <w:rPr>
                <w:rtl/>
              </w:rPr>
              <w:t>השר ממונה על ביצועו של חוק זה, והוא רשאי להתקין תקנות בכל עניין הנוגע לביצועו.</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szCs w:val="20"/>
                <w:rtl/>
              </w:rPr>
            </w:pPr>
            <w:r w:rsidRPr="00666E2E">
              <w:rPr>
                <w:rtl/>
              </w:rPr>
              <w:lastRenderedPageBreak/>
              <w:t>תחילה</w:t>
            </w:r>
            <w:r w:rsidRPr="00666E2E">
              <w:rPr>
                <w:rFonts w:hint="cs"/>
                <w:rtl/>
              </w:rPr>
              <w:t xml:space="preserve"> ותחולה</w:t>
            </w: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r w:rsidRPr="00666E2E">
              <w:rPr>
                <w:rFonts w:hint="cs"/>
                <w:rtl/>
              </w:rPr>
              <w:t>41</w:t>
            </w:r>
            <w:r w:rsidRPr="00666E2E">
              <w:rPr>
                <w:rtl/>
              </w:rPr>
              <w:t>.</w:t>
            </w:r>
          </w:p>
        </w:tc>
        <w:tc>
          <w:tcPr>
            <w:tcW w:w="7144" w:type="dxa"/>
            <w:gridSpan w:val="3"/>
            <w:shd w:val="clear" w:color="auto" w:fill="auto"/>
            <w:tcMar>
              <w:top w:w="91" w:type="dxa"/>
              <w:left w:w="0" w:type="dxa"/>
              <w:bottom w:w="91" w:type="dxa"/>
              <w:right w:w="0" w:type="dxa"/>
            </w:tcMar>
          </w:tcPr>
          <w:p w:rsidR="007C5FCC" w:rsidRPr="00666E2E" w:rsidRDefault="007C5FCC" w:rsidP="00817167">
            <w:pPr>
              <w:pStyle w:val="TableBlock"/>
              <w:rPr>
                <w:rtl/>
              </w:rPr>
            </w:pPr>
            <w:r w:rsidRPr="00666E2E">
              <w:rPr>
                <w:rFonts w:hint="cs"/>
                <w:rtl/>
              </w:rPr>
              <w:t>(א)</w:t>
            </w:r>
            <w:r w:rsidRPr="00666E2E">
              <w:rPr>
                <w:rtl/>
              </w:rPr>
              <w:tab/>
              <w:t>תחילתו של חוק זה בתחילת שנת הלימודים התשע"ח</w:t>
            </w:r>
            <w:r w:rsidRPr="00666E2E">
              <w:rPr>
                <w:rFonts w:hint="cs"/>
                <w:rtl/>
              </w:rPr>
              <w:t xml:space="preserve">; ואולם, תחילתם של </w:t>
            </w:r>
            <w:r w:rsidRPr="00666E2E">
              <w:rPr>
                <w:rtl/>
              </w:rPr>
              <w:t>סעי</w:t>
            </w:r>
            <w:r w:rsidRPr="00666E2E">
              <w:rPr>
                <w:rFonts w:hint="cs"/>
                <w:rtl/>
              </w:rPr>
              <w:t>פים 4 ו-</w:t>
            </w:r>
            <w:r w:rsidRPr="00666E2E">
              <w:rPr>
                <w:rtl/>
              </w:rPr>
              <w:t xml:space="preserve">8 ושל פרק ו' בתחילת שנת הלימודים התשע"ט. </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B06838">
            <w:pPr>
              <w:pStyle w:val="TableBlock"/>
              <w:rPr>
                <w:sz w:val="26"/>
                <w:rtl/>
              </w:rPr>
            </w:pPr>
            <w:r w:rsidRPr="00666E2E">
              <w:rPr>
                <w:rFonts w:hint="cs"/>
                <w:rtl/>
              </w:rPr>
              <w:t>(</w:t>
            </w:r>
            <w:r w:rsidR="008D3C18" w:rsidRPr="00666E2E">
              <w:rPr>
                <w:rFonts w:hint="cs"/>
                <w:rtl/>
              </w:rPr>
              <w:t>ב</w:t>
            </w:r>
            <w:r w:rsidRPr="00666E2E">
              <w:rPr>
                <w:rFonts w:hint="cs"/>
                <w:rtl/>
              </w:rPr>
              <w:t>)</w:t>
            </w:r>
            <w:r w:rsidRPr="00666E2E">
              <w:rPr>
                <w:rtl/>
              </w:rPr>
              <w:tab/>
            </w:r>
            <w:r w:rsidRPr="00666E2E">
              <w:rPr>
                <w:rFonts w:hint="cs"/>
                <w:rtl/>
              </w:rPr>
              <w:t xml:space="preserve">הוראות חוק זה יחולו על צהרונים שאינם </w:t>
            </w:r>
            <w:r w:rsidR="004B7BFB" w:rsidRPr="00666E2E">
              <w:rPr>
                <w:rFonts w:hint="cs"/>
                <w:sz w:val="26"/>
                <w:rtl/>
              </w:rPr>
              <w:t>מופעלים על ידי רשות מקומית או מי מטעמה או על ידי חברה ממשלתית</w:t>
            </w:r>
            <w:r w:rsidR="004B7BFB" w:rsidRPr="00666E2E" w:rsidDel="004B7BFB">
              <w:rPr>
                <w:rFonts w:hint="cs"/>
                <w:rtl/>
              </w:rPr>
              <w:t xml:space="preserve"> </w:t>
            </w:r>
            <w:r w:rsidRPr="00666E2E">
              <w:rPr>
                <w:rFonts w:hint="cs"/>
                <w:rtl/>
              </w:rPr>
              <w:t>החל בשנת הלימודים התשע"ט.</w:t>
            </w:r>
          </w:p>
        </w:tc>
      </w:tr>
      <w:tr w:rsidR="007C5FCC" w:rsidRPr="00666E2E" w:rsidTr="007C5FCC">
        <w:trPr>
          <w:cantSplit/>
        </w:trPr>
        <w:tc>
          <w:tcPr>
            <w:tcW w:w="1870" w:type="dxa"/>
            <w:shd w:val="clear" w:color="auto" w:fill="auto"/>
            <w:tcMar>
              <w:top w:w="91" w:type="dxa"/>
              <w:left w:w="0" w:type="dxa"/>
              <w:bottom w:w="91" w:type="dxa"/>
              <w:right w:w="0" w:type="dxa"/>
            </w:tcMar>
          </w:tcPr>
          <w:p w:rsidR="007C5FCC" w:rsidRPr="00666E2E" w:rsidRDefault="007C5FCC" w:rsidP="007C5FCC">
            <w:pPr>
              <w:pStyle w:val="TableSideHeading"/>
              <w:rPr>
                <w:rtl/>
              </w:rPr>
            </w:pPr>
          </w:p>
        </w:tc>
        <w:tc>
          <w:tcPr>
            <w:tcW w:w="624" w:type="dxa"/>
            <w:shd w:val="clear" w:color="auto" w:fill="auto"/>
            <w:tcMar>
              <w:top w:w="91" w:type="dxa"/>
              <w:left w:w="0" w:type="dxa"/>
              <w:bottom w:w="91" w:type="dxa"/>
              <w:right w:w="0" w:type="dxa"/>
            </w:tcMar>
          </w:tcPr>
          <w:p w:rsidR="007C5FCC" w:rsidRPr="00666E2E" w:rsidRDefault="007C5FCC" w:rsidP="007C5FCC">
            <w:pPr>
              <w:pStyle w:val="TableText"/>
              <w:rPr>
                <w:rtl/>
              </w:rPr>
            </w:pPr>
          </w:p>
        </w:tc>
        <w:tc>
          <w:tcPr>
            <w:tcW w:w="7144" w:type="dxa"/>
            <w:gridSpan w:val="3"/>
            <w:shd w:val="clear" w:color="auto" w:fill="auto"/>
            <w:tcMar>
              <w:top w:w="91" w:type="dxa"/>
              <w:left w:w="0" w:type="dxa"/>
              <w:bottom w:w="91" w:type="dxa"/>
              <w:right w:w="0" w:type="dxa"/>
            </w:tcMar>
          </w:tcPr>
          <w:p w:rsidR="007C5FCC" w:rsidRPr="00666E2E" w:rsidRDefault="007C5FCC" w:rsidP="007C5FCC">
            <w:pPr>
              <w:pStyle w:val="TableHead"/>
              <w:rPr>
                <w:rtl/>
              </w:rPr>
            </w:pPr>
            <w:r w:rsidRPr="00666E2E">
              <w:rPr>
                <w:rtl/>
              </w:rPr>
              <w:t>תוספת</w:t>
            </w:r>
          </w:p>
        </w:tc>
      </w:tr>
      <w:tr w:rsidR="003A6110" w:rsidRPr="00666E2E" w:rsidTr="007C5FCC">
        <w:trPr>
          <w:cantSplit/>
        </w:trPr>
        <w:tc>
          <w:tcPr>
            <w:tcW w:w="1870" w:type="dxa"/>
            <w:shd w:val="clear" w:color="auto" w:fill="auto"/>
            <w:tcMar>
              <w:top w:w="91" w:type="dxa"/>
              <w:left w:w="0" w:type="dxa"/>
              <w:bottom w:w="91" w:type="dxa"/>
              <w:right w:w="0" w:type="dxa"/>
            </w:tcMar>
          </w:tcPr>
          <w:p w:rsidR="003A6110" w:rsidRPr="00666E2E" w:rsidRDefault="003A6110" w:rsidP="007C5FCC">
            <w:pPr>
              <w:pStyle w:val="TableSideHeading"/>
              <w:rPr>
                <w:rtl/>
              </w:rPr>
            </w:pPr>
          </w:p>
        </w:tc>
        <w:tc>
          <w:tcPr>
            <w:tcW w:w="624" w:type="dxa"/>
            <w:shd w:val="clear" w:color="auto" w:fill="auto"/>
            <w:tcMar>
              <w:top w:w="91" w:type="dxa"/>
              <w:left w:w="0" w:type="dxa"/>
              <w:bottom w:w="91" w:type="dxa"/>
              <w:right w:w="0" w:type="dxa"/>
            </w:tcMar>
          </w:tcPr>
          <w:p w:rsidR="003A6110" w:rsidRPr="00666E2E" w:rsidRDefault="003A6110" w:rsidP="007C5FCC">
            <w:pPr>
              <w:pStyle w:val="TableText"/>
              <w:rPr>
                <w:rtl/>
              </w:rPr>
            </w:pPr>
          </w:p>
        </w:tc>
        <w:tc>
          <w:tcPr>
            <w:tcW w:w="7144" w:type="dxa"/>
            <w:gridSpan w:val="3"/>
            <w:shd w:val="clear" w:color="auto" w:fill="auto"/>
            <w:tcMar>
              <w:top w:w="91" w:type="dxa"/>
              <w:left w:w="0" w:type="dxa"/>
              <w:bottom w:w="91" w:type="dxa"/>
              <w:right w:w="0" w:type="dxa"/>
            </w:tcMar>
          </w:tcPr>
          <w:p w:rsidR="003A6110" w:rsidRPr="00666E2E" w:rsidRDefault="003A6110" w:rsidP="007C5FCC">
            <w:pPr>
              <w:pStyle w:val="TableHead"/>
              <w:rPr>
                <w:b w:val="0"/>
                <w:bCs w:val="0"/>
                <w:rtl/>
              </w:rPr>
            </w:pPr>
            <w:r w:rsidRPr="00666E2E">
              <w:rPr>
                <w:rFonts w:hint="cs"/>
                <w:b w:val="0"/>
                <w:bCs w:val="0"/>
                <w:rtl/>
              </w:rPr>
              <w:t>(סעיפים 18 עד 22)</w:t>
            </w:r>
          </w:p>
        </w:tc>
      </w:tr>
    </w:tbl>
    <w:p w:rsidR="004439EE" w:rsidRPr="00666E2E" w:rsidRDefault="004439EE" w:rsidP="004439EE">
      <w:pPr>
        <w:ind w:right="-28"/>
        <w:jc w:val="center"/>
        <w:rPr>
          <w:sz w:val="26"/>
          <w:szCs w:val="26"/>
          <w:rtl/>
        </w:rPr>
      </w:pPr>
    </w:p>
    <w:p w:rsidR="005B25DB" w:rsidRPr="00666E2E" w:rsidRDefault="005B25DB" w:rsidP="005B25DB">
      <w:pPr>
        <w:spacing w:before="0" w:line="360" w:lineRule="auto"/>
        <w:ind w:right="-28" w:firstLine="0"/>
        <w:jc w:val="center"/>
        <w:rPr>
          <w:rFonts w:cs="David"/>
          <w:sz w:val="26"/>
          <w:szCs w:val="26"/>
          <w:rtl/>
        </w:rPr>
      </w:pPr>
      <w:r w:rsidRPr="00666E2E">
        <w:rPr>
          <w:rFonts w:cs="David" w:hint="cs"/>
          <w:sz w:val="26"/>
          <w:szCs w:val="26"/>
          <w:rtl/>
        </w:rPr>
        <w:t>***************************************************************************************</w:t>
      </w:r>
    </w:p>
    <w:p w:rsidR="00974243" w:rsidRPr="00914F78" w:rsidRDefault="00974243" w:rsidP="00914F78">
      <w:pPr>
        <w:spacing w:before="0" w:line="240" w:lineRule="auto"/>
        <w:ind w:firstLine="0"/>
        <w:rPr>
          <w:rFonts w:cs="David"/>
          <w:sz w:val="20"/>
          <w:szCs w:val="20"/>
        </w:rPr>
      </w:pPr>
    </w:p>
    <w:sectPr w:rsidR="00974243" w:rsidRPr="00914F78" w:rsidSect="006D751F">
      <w:footerReference w:type="even" r:id="rId11"/>
      <w:footerReference w:type="default" r:id="rId12"/>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65E" w:rsidRDefault="00A6065E">
      <w:r>
        <w:separator/>
      </w:r>
    </w:p>
  </w:endnote>
  <w:endnote w:type="continuationSeparator" w:id="0">
    <w:p w:rsidR="00A6065E" w:rsidRDefault="00A60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110" w:rsidRDefault="003A6110" w:rsidP="002213B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3A6110" w:rsidRDefault="003A611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110" w:rsidRPr="006D751F" w:rsidRDefault="003A6110" w:rsidP="002213BB">
    <w:pPr>
      <w:pStyle w:val="a9"/>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784277">
      <w:rPr>
        <w:rStyle w:val="aa"/>
        <w:rFonts w:cs="David"/>
        <w:noProof/>
        <w:sz w:val="26"/>
        <w:szCs w:val="26"/>
        <w:rtl/>
      </w:rPr>
      <w:t>1</w:t>
    </w:r>
    <w:r w:rsidRPr="006D751F">
      <w:rPr>
        <w:rStyle w:val="aa"/>
        <w:rFonts w:cs="David"/>
        <w:sz w:val="26"/>
        <w:szCs w:val="26"/>
        <w:rtl/>
      </w:rPr>
      <w:fldChar w:fldCharType="end"/>
    </w:r>
  </w:p>
  <w:p w:rsidR="003A6110" w:rsidRDefault="003A611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65E" w:rsidRDefault="00A6065E">
      <w:pPr>
        <w:ind w:firstLine="0"/>
      </w:pPr>
      <w:r>
        <w:separator/>
      </w:r>
    </w:p>
  </w:footnote>
  <w:footnote w:type="continuationSeparator" w:id="0">
    <w:p w:rsidR="00A6065E" w:rsidRDefault="00A6065E">
      <w:r>
        <w:continuationSeparator/>
      </w:r>
    </w:p>
  </w:footnote>
  <w:footnote w:type="continuationNotice" w:id="1">
    <w:p w:rsidR="00A6065E" w:rsidRDefault="00A6065E"/>
  </w:footnote>
  <w:footnote w:id="2">
    <w:p w:rsidR="003A6110" w:rsidRDefault="003A6110" w:rsidP="004439EE">
      <w:pPr>
        <w:pStyle w:val="a4"/>
        <w:rPr>
          <w:rtl/>
        </w:rPr>
      </w:pPr>
      <w:r>
        <w:rPr>
          <w:rStyle w:val="a6"/>
        </w:rPr>
        <w:footnoteRef/>
      </w:r>
      <w:r>
        <w:rPr>
          <w:rtl/>
        </w:rPr>
        <w:t xml:space="preserve"> </w:t>
      </w:r>
      <w:r>
        <w:rPr>
          <w:rFonts w:hint="eastAsia"/>
          <w:rtl/>
        </w:rPr>
        <w:t>ס</w:t>
      </w:r>
      <w:r>
        <w:rPr>
          <w:rtl/>
        </w:rPr>
        <w:t>"ח התש"ט, עמ' 287.</w:t>
      </w:r>
    </w:p>
  </w:footnote>
  <w:footnote w:id="3">
    <w:p w:rsidR="003A6110" w:rsidRDefault="003A6110" w:rsidP="004439EE">
      <w:pPr>
        <w:pStyle w:val="a4"/>
        <w:rPr>
          <w:rtl/>
        </w:rPr>
      </w:pPr>
      <w:r>
        <w:rPr>
          <w:rStyle w:val="a6"/>
        </w:rPr>
        <w:footnoteRef/>
      </w:r>
      <w:r>
        <w:rPr>
          <w:rtl/>
        </w:rPr>
        <w:t xml:space="preserve"> </w:t>
      </w:r>
      <w:r>
        <w:rPr>
          <w:rFonts w:hint="eastAsia"/>
          <w:rtl/>
        </w:rPr>
        <w:t>ס</w:t>
      </w:r>
      <w:r>
        <w:rPr>
          <w:rtl/>
        </w:rPr>
        <w:t>"ח התשע"ז, עמ' 20.</w:t>
      </w:r>
    </w:p>
  </w:footnote>
  <w:footnote w:id="4">
    <w:p w:rsidR="003A6110" w:rsidRDefault="003A6110" w:rsidP="004439EE">
      <w:pPr>
        <w:pStyle w:val="a4"/>
        <w:rPr>
          <w:rtl/>
        </w:rPr>
      </w:pPr>
      <w:r>
        <w:rPr>
          <w:rStyle w:val="a6"/>
        </w:rPr>
        <w:footnoteRef/>
      </w:r>
      <w:r>
        <w:rPr>
          <w:rtl/>
        </w:rPr>
        <w:t xml:space="preserve"> </w:t>
      </w:r>
      <w:r>
        <w:rPr>
          <w:rFonts w:hint="eastAsia"/>
          <w:rtl/>
        </w:rPr>
        <w:t>ס</w:t>
      </w:r>
      <w:r>
        <w:rPr>
          <w:rtl/>
        </w:rPr>
        <w:t>"ח התשס"א, עמ' 509.</w:t>
      </w:r>
    </w:p>
  </w:footnote>
  <w:footnote w:id="5">
    <w:p w:rsidR="003A6110" w:rsidRDefault="003A6110" w:rsidP="004439EE">
      <w:pPr>
        <w:pStyle w:val="a4"/>
        <w:rPr>
          <w:rtl/>
        </w:rPr>
      </w:pPr>
      <w:r>
        <w:rPr>
          <w:rStyle w:val="a6"/>
        </w:rPr>
        <w:footnoteRef/>
      </w:r>
      <w:r>
        <w:rPr>
          <w:rtl/>
        </w:rPr>
        <w:t xml:space="preserve"> </w:t>
      </w:r>
      <w:r>
        <w:rPr>
          <w:rFonts w:hint="eastAsia"/>
          <w:rtl/>
        </w:rPr>
        <w:t>ס</w:t>
      </w:r>
      <w:r>
        <w:rPr>
          <w:rtl/>
        </w:rPr>
        <w:t>"ח התשנ"ה, עמ' 366.</w:t>
      </w:r>
    </w:p>
  </w:footnote>
  <w:footnote w:id="6">
    <w:p w:rsidR="003A6110" w:rsidRDefault="003A6110" w:rsidP="004439EE">
      <w:pPr>
        <w:pStyle w:val="a4"/>
        <w:rPr>
          <w:rtl/>
        </w:rPr>
      </w:pPr>
      <w:r>
        <w:rPr>
          <w:rStyle w:val="a6"/>
        </w:rPr>
        <w:footnoteRef/>
      </w:r>
      <w:r>
        <w:rPr>
          <w:rtl/>
        </w:rPr>
        <w:t xml:space="preserve"> </w:t>
      </w:r>
      <w:r>
        <w:rPr>
          <w:rFonts w:hint="eastAsia"/>
          <w:rtl/>
        </w:rPr>
        <w:t>ס</w:t>
      </w:r>
      <w:r>
        <w:rPr>
          <w:rtl/>
        </w:rPr>
        <w:t>"ח התשכ"א, עמ' 192.</w:t>
      </w:r>
    </w:p>
  </w:footnote>
  <w:footnote w:id="7">
    <w:p w:rsidR="003A6110" w:rsidRDefault="003A6110" w:rsidP="004439EE">
      <w:pPr>
        <w:pStyle w:val="a4"/>
        <w:rPr>
          <w:rtl/>
        </w:rPr>
      </w:pPr>
      <w:r>
        <w:rPr>
          <w:rStyle w:val="a6"/>
        </w:rPr>
        <w:footnoteRef/>
      </w:r>
      <w:r>
        <w:rPr>
          <w:rtl/>
        </w:rPr>
        <w:t xml:space="preserve"> </w:t>
      </w:r>
      <w:r>
        <w:rPr>
          <w:rFonts w:hint="eastAsia"/>
          <w:rtl/>
        </w:rPr>
        <w:t>ס</w:t>
      </w:r>
      <w:r>
        <w:rPr>
          <w:rtl/>
        </w:rPr>
        <w:t>"ח התשנ"ה, עמ' 170.</w:t>
      </w:r>
    </w:p>
  </w:footnote>
  <w:footnote w:id="8">
    <w:p w:rsidR="003A6110" w:rsidRDefault="003A6110" w:rsidP="004439EE">
      <w:pPr>
        <w:pStyle w:val="a4"/>
        <w:rPr>
          <w:rtl/>
        </w:rPr>
      </w:pPr>
      <w:r>
        <w:rPr>
          <w:rStyle w:val="a6"/>
        </w:rPr>
        <w:footnoteRef/>
      </w:r>
      <w:r>
        <w:rPr>
          <w:rtl/>
        </w:rPr>
        <w:t xml:space="preserve"> </w:t>
      </w:r>
      <w:r>
        <w:rPr>
          <w:rFonts w:hint="eastAsia"/>
          <w:rtl/>
        </w:rPr>
        <w:t>ס</w:t>
      </w:r>
      <w:r>
        <w:rPr>
          <w:rtl/>
        </w:rPr>
        <w:t>"ח התשנ"ח, עמ' 226.</w:t>
      </w:r>
    </w:p>
  </w:footnote>
  <w:footnote w:id="9">
    <w:p w:rsidR="003A6110" w:rsidRDefault="003A6110" w:rsidP="004439EE">
      <w:pPr>
        <w:pStyle w:val="a4"/>
        <w:rPr>
          <w:rtl/>
        </w:rPr>
      </w:pPr>
      <w:r>
        <w:rPr>
          <w:rStyle w:val="a6"/>
        </w:rPr>
        <w:footnoteRef/>
      </w:r>
      <w:r>
        <w:rPr>
          <w:rtl/>
        </w:rPr>
        <w:t xml:space="preserve"> </w:t>
      </w:r>
      <w:r>
        <w:rPr>
          <w:rFonts w:hint="eastAsia"/>
          <w:rtl/>
        </w:rPr>
        <w:t>ס</w:t>
      </w:r>
      <w:r>
        <w:rPr>
          <w:rtl/>
        </w:rPr>
        <w:t>"ח התשנ"ו, עמ' 192.</w:t>
      </w:r>
    </w:p>
  </w:footnote>
  <w:footnote w:id="10">
    <w:p w:rsidR="003A6110" w:rsidRDefault="003A6110" w:rsidP="004439EE">
      <w:pPr>
        <w:pStyle w:val="a4"/>
        <w:rPr>
          <w:rtl/>
        </w:rPr>
      </w:pPr>
      <w:r>
        <w:rPr>
          <w:rStyle w:val="a6"/>
        </w:rPr>
        <w:footnoteRef/>
      </w:r>
      <w:r>
        <w:rPr>
          <w:rtl/>
        </w:rPr>
        <w:t xml:space="preserve"> </w:t>
      </w:r>
      <w:r>
        <w:rPr>
          <w:rFonts w:hint="eastAsia"/>
          <w:rtl/>
        </w:rPr>
        <w:t>ס</w:t>
      </w:r>
      <w:r>
        <w:rPr>
          <w:rtl/>
        </w:rPr>
        <w:t>"ח התש"ן, עמ' 155.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7EB0CC9"/>
    <w:multiLevelType w:val="hybridMultilevel"/>
    <w:tmpl w:val="781EB72A"/>
    <w:lvl w:ilvl="0" w:tplc="D4567EE4">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15:restartNumberingAfterBreak="0">
    <w:nsid w:val="4D0201BB"/>
    <w:multiLevelType w:val="hybridMultilevel"/>
    <w:tmpl w:val="224E5E44"/>
    <w:lvl w:ilvl="0" w:tplc="A99C74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DA03D9C"/>
    <w:multiLevelType w:val="hybridMultilevel"/>
    <w:tmpl w:val="A874D810"/>
    <w:lvl w:ilvl="0" w:tplc="888AAF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5E52F8"/>
    <w:multiLevelType w:val="hybridMultilevel"/>
    <w:tmpl w:val="224E5E44"/>
    <w:lvl w:ilvl="0" w:tplc="A99C74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1"/>
  </w:num>
  <w:num w:numId="4">
    <w:abstractNumId w:val="9"/>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5"/>
  </w:num>
  <w:num w:numId="8">
    <w:abstractNumId w:val="3"/>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9EE"/>
    <w:rsid w:val="00001778"/>
    <w:rsid w:val="000103BD"/>
    <w:rsid w:val="00010950"/>
    <w:rsid w:val="00011BA0"/>
    <w:rsid w:val="00011C4D"/>
    <w:rsid w:val="0001316D"/>
    <w:rsid w:val="00014599"/>
    <w:rsid w:val="00014D8E"/>
    <w:rsid w:val="00017BED"/>
    <w:rsid w:val="00024BD5"/>
    <w:rsid w:val="00027C50"/>
    <w:rsid w:val="0003252C"/>
    <w:rsid w:val="0003612C"/>
    <w:rsid w:val="000423FC"/>
    <w:rsid w:val="00043C68"/>
    <w:rsid w:val="00043CE4"/>
    <w:rsid w:val="000528ED"/>
    <w:rsid w:val="0005382C"/>
    <w:rsid w:val="00070BCE"/>
    <w:rsid w:val="0007207E"/>
    <w:rsid w:val="0007639B"/>
    <w:rsid w:val="00080B43"/>
    <w:rsid w:val="000814F7"/>
    <w:rsid w:val="00084A3D"/>
    <w:rsid w:val="00092990"/>
    <w:rsid w:val="00094D39"/>
    <w:rsid w:val="000A0DBD"/>
    <w:rsid w:val="000A240C"/>
    <w:rsid w:val="000A2810"/>
    <w:rsid w:val="000A44A7"/>
    <w:rsid w:val="000B118D"/>
    <w:rsid w:val="000B1250"/>
    <w:rsid w:val="000B22A3"/>
    <w:rsid w:val="000B4317"/>
    <w:rsid w:val="000C1EA4"/>
    <w:rsid w:val="000C20B6"/>
    <w:rsid w:val="000C2149"/>
    <w:rsid w:val="000C2C85"/>
    <w:rsid w:val="000C3F40"/>
    <w:rsid w:val="000C549E"/>
    <w:rsid w:val="000C6A6D"/>
    <w:rsid w:val="000C72C2"/>
    <w:rsid w:val="000C7865"/>
    <w:rsid w:val="000D283F"/>
    <w:rsid w:val="000D2C98"/>
    <w:rsid w:val="000D3CAA"/>
    <w:rsid w:val="000D3E44"/>
    <w:rsid w:val="000D3E90"/>
    <w:rsid w:val="000E0149"/>
    <w:rsid w:val="000E2AF8"/>
    <w:rsid w:val="000E304D"/>
    <w:rsid w:val="000E352C"/>
    <w:rsid w:val="000E3A35"/>
    <w:rsid w:val="000E459F"/>
    <w:rsid w:val="000E60DC"/>
    <w:rsid w:val="000F0029"/>
    <w:rsid w:val="000F0DEA"/>
    <w:rsid w:val="000F16C7"/>
    <w:rsid w:val="000F2779"/>
    <w:rsid w:val="000F543F"/>
    <w:rsid w:val="00102970"/>
    <w:rsid w:val="00103DA2"/>
    <w:rsid w:val="00107AD8"/>
    <w:rsid w:val="00112656"/>
    <w:rsid w:val="00113CC3"/>
    <w:rsid w:val="00121102"/>
    <w:rsid w:val="0013067B"/>
    <w:rsid w:val="0013526D"/>
    <w:rsid w:val="0013745B"/>
    <w:rsid w:val="00137CF2"/>
    <w:rsid w:val="00140391"/>
    <w:rsid w:val="001408B3"/>
    <w:rsid w:val="00142D93"/>
    <w:rsid w:val="001436D3"/>
    <w:rsid w:val="0014460F"/>
    <w:rsid w:val="00147CAE"/>
    <w:rsid w:val="0015290F"/>
    <w:rsid w:val="00154264"/>
    <w:rsid w:val="00157888"/>
    <w:rsid w:val="0016052C"/>
    <w:rsid w:val="00161837"/>
    <w:rsid w:val="00162B97"/>
    <w:rsid w:val="00171BEF"/>
    <w:rsid w:val="00171E15"/>
    <w:rsid w:val="00174C3D"/>
    <w:rsid w:val="001753B1"/>
    <w:rsid w:val="0017575F"/>
    <w:rsid w:val="00181256"/>
    <w:rsid w:val="00181A1B"/>
    <w:rsid w:val="00182A20"/>
    <w:rsid w:val="00182E30"/>
    <w:rsid w:val="00193217"/>
    <w:rsid w:val="00194CA3"/>
    <w:rsid w:val="00194F6C"/>
    <w:rsid w:val="00195F1F"/>
    <w:rsid w:val="001A28D6"/>
    <w:rsid w:val="001A7A53"/>
    <w:rsid w:val="001B0AF0"/>
    <w:rsid w:val="001B1478"/>
    <w:rsid w:val="001B2473"/>
    <w:rsid w:val="001B320D"/>
    <w:rsid w:val="001B6670"/>
    <w:rsid w:val="001B6735"/>
    <w:rsid w:val="001B7CE6"/>
    <w:rsid w:val="001C5094"/>
    <w:rsid w:val="001D2AA9"/>
    <w:rsid w:val="001D549B"/>
    <w:rsid w:val="001D5E31"/>
    <w:rsid w:val="001D7024"/>
    <w:rsid w:val="001D70F3"/>
    <w:rsid w:val="001D7EF3"/>
    <w:rsid w:val="001E1EF4"/>
    <w:rsid w:val="001E2DD0"/>
    <w:rsid w:val="001E390B"/>
    <w:rsid w:val="001E48BB"/>
    <w:rsid w:val="001E61B7"/>
    <w:rsid w:val="001E73F2"/>
    <w:rsid w:val="001E7C1D"/>
    <w:rsid w:val="001F2259"/>
    <w:rsid w:val="001F3F68"/>
    <w:rsid w:val="001F58D5"/>
    <w:rsid w:val="001F660A"/>
    <w:rsid w:val="001F7082"/>
    <w:rsid w:val="00200906"/>
    <w:rsid w:val="00201A0B"/>
    <w:rsid w:val="0020326A"/>
    <w:rsid w:val="0020494D"/>
    <w:rsid w:val="00204FFD"/>
    <w:rsid w:val="002213BB"/>
    <w:rsid w:val="002245FA"/>
    <w:rsid w:val="00224B34"/>
    <w:rsid w:val="00233DFB"/>
    <w:rsid w:val="002345C9"/>
    <w:rsid w:val="002361E2"/>
    <w:rsid w:val="00236CCE"/>
    <w:rsid w:val="00244997"/>
    <w:rsid w:val="00250D90"/>
    <w:rsid w:val="002521F3"/>
    <w:rsid w:val="002525DB"/>
    <w:rsid w:val="00252930"/>
    <w:rsid w:val="00255C43"/>
    <w:rsid w:val="00255CC5"/>
    <w:rsid w:val="00256C6A"/>
    <w:rsid w:val="002622D3"/>
    <w:rsid w:val="00263F03"/>
    <w:rsid w:val="002676E4"/>
    <w:rsid w:val="00267869"/>
    <w:rsid w:val="00271F33"/>
    <w:rsid w:val="002814D5"/>
    <w:rsid w:val="00283661"/>
    <w:rsid w:val="002862E7"/>
    <w:rsid w:val="0029060C"/>
    <w:rsid w:val="00294C8B"/>
    <w:rsid w:val="0029611C"/>
    <w:rsid w:val="00296EED"/>
    <w:rsid w:val="002A1526"/>
    <w:rsid w:val="002A6AD0"/>
    <w:rsid w:val="002A700F"/>
    <w:rsid w:val="002B51D1"/>
    <w:rsid w:val="002C04C2"/>
    <w:rsid w:val="002C16BF"/>
    <w:rsid w:val="002C18C4"/>
    <w:rsid w:val="002C1B87"/>
    <w:rsid w:val="002C3633"/>
    <w:rsid w:val="002C3915"/>
    <w:rsid w:val="002C5BFE"/>
    <w:rsid w:val="002C6D87"/>
    <w:rsid w:val="002D1C18"/>
    <w:rsid w:val="002D221A"/>
    <w:rsid w:val="002D4F53"/>
    <w:rsid w:val="002D5D2D"/>
    <w:rsid w:val="002D76EA"/>
    <w:rsid w:val="002E25E5"/>
    <w:rsid w:val="002E32F0"/>
    <w:rsid w:val="002E4542"/>
    <w:rsid w:val="002F109D"/>
    <w:rsid w:val="00300B11"/>
    <w:rsid w:val="00310118"/>
    <w:rsid w:val="0031246F"/>
    <w:rsid w:val="0031416A"/>
    <w:rsid w:val="00314957"/>
    <w:rsid w:val="00322336"/>
    <w:rsid w:val="00322E4F"/>
    <w:rsid w:val="003230D2"/>
    <w:rsid w:val="003237F8"/>
    <w:rsid w:val="003279AF"/>
    <w:rsid w:val="00334626"/>
    <w:rsid w:val="00335F4D"/>
    <w:rsid w:val="003367FE"/>
    <w:rsid w:val="00337DBF"/>
    <w:rsid w:val="003401C2"/>
    <w:rsid w:val="003420A9"/>
    <w:rsid w:val="00344F91"/>
    <w:rsid w:val="00346EBA"/>
    <w:rsid w:val="003503FC"/>
    <w:rsid w:val="00351082"/>
    <w:rsid w:val="00351CDC"/>
    <w:rsid w:val="00352C2C"/>
    <w:rsid w:val="00356BCC"/>
    <w:rsid w:val="003579F5"/>
    <w:rsid w:val="003628BF"/>
    <w:rsid w:val="003633C4"/>
    <w:rsid w:val="00371A0F"/>
    <w:rsid w:val="00372266"/>
    <w:rsid w:val="00372AB6"/>
    <w:rsid w:val="00372B59"/>
    <w:rsid w:val="00373BD5"/>
    <w:rsid w:val="00374C5B"/>
    <w:rsid w:val="00374ECC"/>
    <w:rsid w:val="00380958"/>
    <w:rsid w:val="003850F2"/>
    <w:rsid w:val="00385349"/>
    <w:rsid w:val="0039143F"/>
    <w:rsid w:val="00391847"/>
    <w:rsid w:val="00395D16"/>
    <w:rsid w:val="003976E9"/>
    <w:rsid w:val="003A574A"/>
    <w:rsid w:val="003A6110"/>
    <w:rsid w:val="003A663D"/>
    <w:rsid w:val="003A6706"/>
    <w:rsid w:val="003B0217"/>
    <w:rsid w:val="003B784A"/>
    <w:rsid w:val="003C5919"/>
    <w:rsid w:val="003C5AE8"/>
    <w:rsid w:val="003C6FAF"/>
    <w:rsid w:val="003C771B"/>
    <w:rsid w:val="003D2471"/>
    <w:rsid w:val="003D2A1B"/>
    <w:rsid w:val="003D49CD"/>
    <w:rsid w:val="003D5234"/>
    <w:rsid w:val="003E0266"/>
    <w:rsid w:val="003E188B"/>
    <w:rsid w:val="003E18FB"/>
    <w:rsid w:val="003E521A"/>
    <w:rsid w:val="003E7834"/>
    <w:rsid w:val="003F1942"/>
    <w:rsid w:val="003F2742"/>
    <w:rsid w:val="003F5FFA"/>
    <w:rsid w:val="003F6FC4"/>
    <w:rsid w:val="003F791C"/>
    <w:rsid w:val="004015B5"/>
    <w:rsid w:val="00403C38"/>
    <w:rsid w:val="00405752"/>
    <w:rsid w:val="004074F5"/>
    <w:rsid w:val="004155EC"/>
    <w:rsid w:val="00417379"/>
    <w:rsid w:val="004262E3"/>
    <w:rsid w:val="004278FF"/>
    <w:rsid w:val="00430768"/>
    <w:rsid w:val="00430799"/>
    <w:rsid w:val="00430EBB"/>
    <w:rsid w:val="00437053"/>
    <w:rsid w:val="0043778C"/>
    <w:rsid w:val="00440248"/>
    <w:rsid w:val="00440A73"/>
    <w:rsid w:val="004439EE"/>
    <w:rsid w:val="00443B89"/>
    <w:rsid w:val="00443C79"/>
    <w:rsid w:val="004461FF"/>
    <w:rsid w:val="004478AF"/>
    <w:rsid w:val="00447E7A"/>
    <w:rsid w:val="00450457"/>
    <w:rsid w:val="00457DAC"/>
    <w:rsid w:val="0046005C"/>
    <w:rsid w:val="00461BBD"/>
    <w:rsid w:val="00461E39"/>
    <w:rsid w:val="0046210B"/>
    <w:rsid w:val="00471252"/>
    <w:rsid w:val="00473196"/>
    <w:rsid w:val="00474A1A"/>
    <w:rsid w:val="004760C1"/>
    <w:rsid w:val="00476111"/>
    <w:rsid w:val="004761E1"/>
    <w:rsid w:val="004816B0"/>
    <w:rsid w:val="00484E8A"/>
    <w:rsid w:val="0048780E"/>
    <w:rsid w:val="00487CF7"/>
    <w:rsid w:val="004900A8"/>
    <w:rsid w:val="0049107E"/>
    <w:rsid w:val="004926A7"/>
    <w:rsid w:val="00496D63"/>
    <w:rsid w:val="004A01A6"/>
    <w:rsid w:val="004A4161"/>
    <w:rsid w:val="004A424F"/>
    <w:rsid w:val="004A430A"/>
    <w:rsid w:val="004A44A6"/>
    <w:rsid w:val="004A4B17"/>
    <w:rsid w:val="004A5B2F"/>
    <w:rsid w:val="004B0D40"/>
    <w:rsid w:val="004B7BFB"/>
    <w:rsid w:val="004C455F"/>
    <w:rsid w:val="004C6AE5"/>
    <w:rsid w:val="004D5291"/>
    <w:rsid w:val="004E2920"/>
    <w:rsid w:val="004E7E58"/>
    <w:rsid w:val="004F030D"/>
    <w:rsid w:val="004F08CD"/>
    <w:rsid w:val="004F1D75"/>
    <w:rsid w:val="004F31D4"/>
    <w:rsid w:val="0050052F"/>
    <w:rsid w:val="00503233"/>
    <w:rsid w:val="00503C22"/>
    <w:rsid w:val="00504784"/>
    <w:rsid w:val="00506BCA"/>
    <w:rsid w:val="00507BA4"/>
    <w:rsid w:val="005123B1"/>
    <w:rsid w:val="00514F69"/>
    <w:rsid w:val="005150DC"/>
    <w:rsid w:val="0051760B"/>
    <w:rsid w:val="005203E9"/>
    <w:rsid w:val="00520FC3"/>
    <w:rsid w:val="0052258A"/>
    <w:rsid w:val="00523CFA"/>
    <w:rsid w:val="00526361"/>
    <w:rsid w:val="005275E5"/>
    <w:rsid w:val="00531D84"/>
    <w:rsid w:val="00537F0B"/>
    <w:rsid w:val="00546437"/>
    <w:rsid w:val="00546A49"/>
    <w:rsid w:val="00550A56"/>
    <w:rsid w:val="005558C6"/>
    <w:rsid w:val="0055755D"/>
    <w:rsid w:val="005625F4"/>
    <w:rsid w:val="00567EE5"/>
    <w:rsid w:val="00567FB2"/>
    <w:rsid w:val="00573A40"/>
    <w:rsid w:val="005771C4"/>
    <w:rsid w:val="0059037C"/>
    <w:rsid w:val="0059152C"/>
    <w:rsid w:val="005A0475"/>
    <w:rsid w:val="005A0504"/>
    <w:rsid w:val="005A170C"/>
    <w:rsid w:val="005A3443"/>
    <w:rsid w:val="005A70DD"/>
    <w:rsid w:val="005A71A0"/>
    <w:rsid w:val="005B065E"/>
    <w:rsid w:val="005B25DB"/>
    <w:rsid w:val="005B541D"/>
    <w:rsid w:val="005C086A"/>
    <w:rsid w:val="005C0D7E"/>
    <w:rsid w:val="005C6009"/>
    <w:rsid w:val="005C731E"/>
    <w:rsid w:val="005C7BC5"/>
    <w:rsid w:val="005D022F"/>
    <w:rsid w:val="005D17D1"/>
    <w:rsid w:val="005D2FA0"/>
    <w:rsid w:val="005D51AE"/>
    <w:rsid w:val="005E1CA2"/>
    <w:rsid w:val="005E2B24"/>
    <w:rsid w:val="005E358C"/>
    <w:rsid w:val="005F181C"/>
    <w:rsid w:val="005F62D3"/>
    <w:rsid w:val="005F63FC"/>
    <w:rsid w:val="005F7381"/>
    <w:rsid w:val="00600873"/>
    <w:rsid w:val="006028CC"/>
    <w:rsid w:val="0060685C"/>
    <w:rsid w:val="00607770"/>
    <w:rsid w:val="00607881"/>
    <w:rsid w:val="00615391"/>
    <w:rsid w:val="00615CC5"/>
    <w:rsid w:val="006168DA"/>
    <w:rsid w:val="00616929"/>
    <w:rsid w:val="00616DBB"/>
    <w:rsid w:val="00621801"/>
    <w:rsid w:val="00622152"/>
    <w:rsid w:val="006245DD"/>
    <w:rsid w:val="006261CD"/>
    <w:rsid w:val="00626E1B"/>
    <w:rsid w:val="00637FF6"/>
    <w:rsid w:val="006416BB"/>
    <w:rsid w:val="006424D1"/>
    <w:rsid w:val="0064293D"/>
    <w:rsid w:val="00644940"/>
    <w:rsid w:val="00644E5A"/>
    <w:rsid w:val="00646B81"/>
    <w:rsid w:val="0065202C"/>
    <w:rsid w:val="0065338F"/>
    <w:rsid w:val="00654A60"/>
    <w:rsid w:val="00657743"/>
    <w:rsid w:val="00660C42"/>
    <w:rsid w:val="00662D9D"/>
    <w:rsid w:val="006634EB"/>
    <w:rsid w:val="00666E2E"/>
    <w:rsid w:val="0067106D"/>
    <w:rsid w:val="0067272A"/>
    <w:rsid w:val="00674761"/>
    <w:rsid w:val="00677190"/>
    <w:rsid w:val="00677938"/>
    <w:rsid w:val="00681067"/>
    <w:rsid w:val="00681911"/>
    <w:rsid w:val="0068600C"/>
    <w:rsid w:val="00692AA5"/>
    <w:rsid w:val="006963DA"/>
    <w:rsid w:val="006A1104"/>
    <w:rsid w:val="006A2323"/>
    <w:rsid w:val="006A311B"/>
    <w:rsid w:val="006A370E"/>
    <w:rsid w:val="006A3D0C"/>
    <w:rsid w:val="006A3DB5"/>
    <w:rsid w:val="006A73E4"/>
    <w:rsid w:val="006B0749"/>
    <w:rsid w:val="006B293F"/>
    <w:rsid w:val="006B4646"/>
    <w:rsid w:val="006B6F30"/>
    <w:rsid w:val="006B71AC"/>
    <w:rsid w:val="006B7AC2"/>
    <w:rsid w:val="006C366F"/>
    <w:rsid w:val="006C3749"/>
    <w:rsid w:val="006C3CB2"/>
    <w:rsid w:val="006C4E1A"/>
    <w:rsid w:val="006C5C0E"/>
    <w:rsid w:val="006C6B37"/>
    <w:rsid w:val="006C74B3"/>
    <w:rsid w:val="006D2D06"/>
    <w:rsid w:val="006D3631"/>
    <w:rsid w:val="006D371F"/>
    <w:rsid w:val="006D489B"/>
    <w:rsid w:val="006D5A11"/>
    <w:rsid w:val="006D7383"/>
    <w:rsid w:val="006D751F"/>
    <w:rsid w:val="006E24A7"/>
    <w:rsid w:val="006E2E9E"/>
    <w:rsid w:val="006E2EF7"/>
    <w:rsid w:val="006E3FFD"/>
    <w:rsid w:val="006E4C3F"/>
    <w:rsid w:val="006F3B1F"/>
    <w:rsid w:val="006F7ECE"/>
    <w:rsid w:val="00703110"/>
    <w:rsid w:val="00703F89"/>
    <w:rsid w:val="007053C1"/>
    <w:rsid w:val="00711AD2"/>
    <w:rsid w:val="00711B37"/>
    <w:rsid w:val="00712296"/>
    <w:rsid w:val="00713B9C"/>
    <w:rsid w:val="00714603"/>
    <w:rsid w:val="00714FCC"/>
    <w:rsid w:val="007166D4"/>
    <w:rsid w:val="00716701"/>
    <w:rsid w:val="00721F91"/>
    <w:rsid w:val="00722608"/>
    <w:rsid w:val="007232C4"/>
    <w:rsid w:val="00724B5A"/>
    <w:rsid w:val="00725641"/>
    <w:rsid w:val="00725D36"/>
    <w:rsid w:val="0073149F"/>
    <w:rsid w:val="00731521"/>
    <w:rsid w:val="007408DF"/>
    <w:rsid w:val="00746C7C"/>
    <w:rsid w:val="00750095"/>
    <w:rsid w:val="00752D39"/>
    <w:rsid w:val="00757CFC"/>
    <w:rsid w:val="007651DC"/>
    <w:rsid w:val="00765BF3"/>
    <w:rsid w:val="00766065"/>
    <w:rsid w:val="0076660E"/>
    <w:rsid w:val="007674F4"/>
    <w:rsid w:val="00771864"/>
    <w:rsid w:val="0077246A"/>
    <w:rsid w:val="0077292E"/>
    <w:rsid w:val="00781C4C"/>
    <w:rsid w:val="0078279D"/>
    <w:rsid w:val="00784166"/>
    <w:rsid w:val="00784277"/>
    <w:rsid w:val="00786188"/>
    <w:rsid w:val="00786C27"/>
    <w:rsid w:val="007906D4"/>
    <w:rsid w:val="007916DC"/>
    <w:rsid w:val="007927A3"/>
    <w:rsid w:val="007928D9"/>
    <w:rsid w:val="007A0A0D"/>
    <w:rsid w:val="007A1E65"/>
    <w:rsid w:val="007A220C"/>
    <w:rsid w:val="007A2CEE"/>
    <w:rsid w:val="007A2FB8"/>
    <w:rsid w:val="007A492B"/>
    <w:rsid w:val="007A5EA1"/>
    <w:rsid w:val="007A7870"/>
    <w:rsid w:val="007B08FE"/>
    <w:rsid w:val="007B1269"/>
    <w:rsid w:val="007B12E4"/>
    <w:rsid w:val="007B1C96"/>
    <w:rsid w:val="007B58F1"/>
    <w:rsid w:val="007C0140"/>
    <w:rsid w:val="007C19F5"/>
    <w:rsid w:val="007C4541"/>
    <w:rsid w:val="007C5FCC"/>
    <w:rsid w:val="007D2AC1"/>
    <w:rsid w:val="007D2F46"/>
    <w:rsid w:val="007D3766"/>
    <w:rsid w:val="007D3A1E"/>
    <w:rsid w:val="007D5923"/>
    <w:rsid w:val="007E0186"/>
    <w:rsid w:val="007E0BE1"/>
    <w:rsid w:val="007E5F40"/>
    <w:rsid w:val="007E660A"/>
    <w:rsid w:val="007F048B"/>
    <w:rsid w:val="007F0670"/>
    <w:rsid w:val="007F0C40"/>
    <w:rsid w:val="00800466"/>
    <w:rsid w:val="00803E68"/>
    <w:rsid w:val="008042F1"/>
    <w:rsid w:val="008060B0"/>
    <w:rsid w:val="00806333"/>
    <w:rsid w:val="00807D6B"/>
    <w:rsid w:val="00811DB1"/>
    <w:rsid w:val="00812C98"/>
    <w:rsid w:val="00813264"/>
    <w:rsid w:val="00816CB3"/>
    <w:rsid w:val="00816F35"/>
    <w:rsid w:val="00816F7B"/>
    <w:rsid w:val="00817167"/>
    <w:rsid w:val="00822DB3"/>
    <w:rsid w:val="00830F64"/>
    <w:rsid w:val="00831610"/>
    <w:rsid w:val="008335B6"/>
    <w:rsid w:val="00833AE4"/>
    <w:rsid w:val="0083549D"/>
    <w:rsid w:val="00837963"/>
    <w:rsid w:val="00837E3B"/>
    <w:rsid w:val="008411B1"/>
    <w:rsid w:val="008418BB"/>
    <w:rsid w:val="0084361E"/>
    <w:rsid w:val="008437B1"/>
    <w:rsid w:val="00844639"/>
    <w:rsid w:val="00845495"/>
    <w:rsid w:val="00850601"/>
    <w:rsid w:val="00851554"/>
    <w:rsid w:val="00852B96"/>
    <w:rsid w:val="008670F9"/>
    <w:rsid w:val="008674BA"/>
    <w:rsid w:val="00873202"/>
    <w:rsid w:val="008815D0"/>
    <w:rsid w:val="008869AB"/>
    <w:rsid w:val="0089070C"/>
    <w:rsid w:val="00892A7D"/>
    <w:rsid w:val="00893A21"/>
    <w:rsid w:val="00896165"/>
    <w:rsid w:val="008A0D4C"/>
    <w:rsid w:val="008A31F5"/>
    <w:rsid w:val="008A3FA8"/>
    <w:rsid w:val="008A49BE"/>
    <w:rsid w:val="008A6798"/>
    <w:rsid w:val="008A7EE5"/>
    <w:rsid w:val="008B2B37"/>
    <w:rsid w:val="008B4029"/>
    <w:rsid w:val="008B46D9"/>
    <w:rsid w:val="008B5616"/>
    <w:rsid w:val="008C0482"/>
    <w:rsid w:val="008C21CF"/>
    <w:rsid w:val="008C2DC7"/>
    <w:rsid w:val="008C5BB3"/>
    <w:rsid w:val="008C7B2C"/>
    <w:rsid w:val="008C7FCC"/>
    <w:rsid w:val="008D3C18"/>
    <w:rsid w:val="008D4643"/>
    <w:rsid w:val="008E4745"/>
    <w:rsid w:val="008E59A3"/>
    <w:rsid w:val="008F127C"/>
    <w:rsid w:val="008F21A4"/>
    <w:rsid w:val="008F5931"/>
    <w:rsid w:val="008F6026"/>
    <w:rsid w:val="008F730C"/>
    <w:rsid w:val="008F7E1F"/>
    <w:rsid w:val="00900EE6"/>
    <w:rsid w:val="00902BAE"/>
    <w:rsid w:val="00904950"/>
    <w:rsid w:val="00910315"/>
    <w:rsid w:val="00914F78"/>
    <w:rsid w:val="009168CC"/>
    <w:rsid w:val="00917F41"/>
    <w:rsid w:val="0092044B"/>
    <w:rsid w:val="00923474"/>
    <w:rsid w:val="00923801"/>
    <w:rsid w:val="009242EA"/>
    <w:rsid w:val="0093030A"/>
    <w:rsid w:val="009318A0"/>
    <w:rsid w:val="00937040"/>
    <w:rsid w:val="00940162"/>
    <w:rsid w:val="00953ADA"/>
    <w:rsid w:val="0095563E"/>
    <w:rsid w:val="00963ED1"/>
    <w:rsid w:val="00964B3D"/>
    <w:rsid w:val="0096682B"/>
    <w:rsid w:val="00966955"/>
    <w:rsid w:val="00967FD4"/>
    <w:rsid w:val="00972091"/>
    <w:rsid w:val="0097399B"/>
    <w:rsid w:val="00974123"/>
    <w:rsid w:val="00974243"/>
    <w:rsid w:val="0097544F"/>
    <w:rsid w:val="009776F5"/>
    <w:rsid w:val="0098034B"/>
    <w:rsid w:val="00993C06"/>
    <w:rsid w:val="009956E9"/>
    <w:rsid w:val="00995BFE"/>
    <w:rsid w:val="009963F6"/>
    <w:rsid w:val="00996573"/>
    <w:rsid w:val="009968F2"/>
    <w:rsid w:val="009A00FC"/>
    <w:rsid w:val="009A3587"/>
    <w:rsid w:val="009B30DF"/>
    <w:rsid w:val="009B3F9C"/>
    <w:rsid w:val="009C61CC"/>
    <w:rsid w:val="009D08FE"/>
    <w:rsid w:val="009D2E91"/>
    <w:rsid w:val="009D30EB"/>
    <w:rsid w:val="009D3280"/>
    <w:rsid w:val="009D7A05"/>
    <w:rsid w:val="009E732F"/>
    <w:rsid w:val="009F0E9D"/>
    <w:rsid w:val="009F123B"/>
    <w:rsid w:val="009F1C3B"/>
    <w:rsid w:val="009F28BE"/>
    <w:rsid w:val="00A003EC"/>
    <w:rsid w:val="00A00931"/>
    <w:rsid w:val="00A02C75"/>
    <w:rsid w:val="00A06974"/>
    <w:rsid w:val="00A145CD"/>
    <w:rsid w:val="00A15527"/>
    <w:rsid w:val="00A17D8F"/>
    <w:rsid w:val="00A17EE7"/>
    <w:rsid w:val="00A21C7F"/>
    <w:rsid w:val="00A224BF"/>
    <w:rsid w:val="00A2437E"/>
    <w:rsid w:val="00A24B06"/>
    <w:rsid w:val="00A32F8C"/>
    <w:rsid w:val="00A3374B"/>
    <w:rsid w:val="00A34AF3"/>
    <w:rsid w:val="00A37631"/>
    <w:rsid w:val="00A43101"/>
    <w:rsid w:val="00A51837"/>
    <w:rsid w:val="00A5206E"/>
    <w:rsid w:val="00A53D4E"/>
    <w:rsid w:val="00A5446D"/>
    <w:rsid w:val="00A5732B"/>
    <w:rsid w:val="00A6065E"/>
    <w:rsid w:val="00A626E3"/>
    <w:rsid w:val="00A66202"/>
    <w:rsid w:val="00A708F3"/>
    <w:rsid w:val="00A709D1"/>
    <w:rsid w:val="00A7265A"/>
    <w:rsid w:val="00A7603D"/>
    <w:rsid w:val="00A77BAD"/>
    <w:rsid w:val="00A77EBB"/>
    <w:rsid w:val="00A81242"/>
    <w:rsid w:val="00A8154C"/>
    <w:rsid w:val="00A82E35"/>
    <w:rsid w:val="00A86FAA"/>
    <w:rsid w:val="00A87A7A"/>
    <w:rsid w:val="00A87BAD"/>
    <w:rsid w:val="00A909BD"/>
    <w:rsid w:val="00A918F4"/>
    <w:rsid w:val="00A940F1"/>
    <w:rsid w:val="00A9749B"/>
    <w:rsid w:val="00A97A1E"/>
    <w:rsid w:val="00AA0250"/>
    <w:rsid w:val="00AA04B2"/>
    <w:rsid w:val="00AA0E2A"/>
    <w:rsid w:val="00AA1376"/>
    <w:rsid w:val="00AA1CC0"/>
    <w:rsid w:val="00AB12EC"/>
    <w:rsid w:val="00AB1FD3"/>
    <w:rsid w:val="00AB4D3E"/>
    <w:rsid w:val="00AB507D"/>
    <w:rsid w:val="00AB550F"/>
    <w:rsid w:val="00AB7CF4"/>
    <w:rsid w:val="00AC58CF"/>
    <w:rsid w:val="00AC6D94"/>
    <w:rsid w:val="00AD443D"/>
    <w:rsid w:val="00AD444B"/>
    <w:rsid w:val="00AD7387"/>
    <w:rsid w:val="00AE40B0"/>
    <w:rsid w:val="00AE4ECC"/>
    <w:rsid w:val="00AF3531"/>
    <w:rsid w:val="00AF6C74"/>
    <w:rsid w:val="00AF7134"/>
    <w:rsid w:val="00B0490F"/>
    <w:rsid w:val="00B06838"/>
    <w:rsid w:val="00B11FD2"/>
    <w:rsid w:val="00B131BD"/>
    <w:rsid w:val="00B13215"/>
    <w:rsid w:val="00B13DF8"/>
    <w:rsid w:val="00B2218C"/>
    <w:rsid w:val="00B22D00"/>
    <w:rsid w:val="00B2426A"/>
    <w:rsid w:val="00B24577"/>
    <w:rsid w:val="00B2687E"/>
    <w:rsid w:val="00B31636"/>
    <w:rsid w:val="00B33F36"/>
    <w:rsid w:val="00B350EA"/>
    <w:rsid w:val="00B46D15"/>
    <w:rsid w:val="00B473BA"/>
    <w:rsid w:val="00B50517"/>
    <w:rsid w:val="00B5366F"/>
    <w:rsid w:val="00B5370A"/>
    <w:rsid w:val="00B54879"/>
    <w:rsid w:val="00B579CD"/>
    <w:rsid w:val="00B71161"/>
    <w:rsid w:val="00B7157A"/>
    <w:rsid w:val="00B7645F"/>
    <w:rsid w:val="00B80180"/>
    <w:rsid w:val="00B83C83"/>
    <w:rsid w:val="00B8455D"/>
    <w:rsid w:val="00B859E4"/>
    <w:rsid w:val="00B90EB3"/>
    <w:rsid w:val="00B93E66"/>
    <w:rsid w:val="00B969EC"/>
    <w:rsid w:val="00B97B60"/>
    <w:rsid w:val="00B97DFA"/>
    <w:rsid w:val="00BA167E"/>
    <w:rsid w:val="00BA64BF"/>
    <w:rsid w:val="00BB11BB"/>
    <w:rsid w:val="00BB1D40"/>
    <w:rsid w:val="00BB3C85"/>
    <w:rsid w:val="00BC112A"/>
    <w:rsid w:val="00BC1AC5"/>
    <w:rsid w:val="00BC471B"/>
    <w:rsid w:val="00BC4C6D"/>
    <w:rsid w:val="00BC6486"/>
    <w:rsid w:val="00BC6677"/>
    <w:rsid w:val="00BC67DD"/>
    <w:rsid w:val="00BD12FF"/>
    <w:rsid w:val="00BD14DD"/>
    <w:rsid w:val="00BD3AE0"/>
    <w:rsid w:val="00BD5EC2"/>
    <w:rsid w:val="00BD6A9A"/>
    <w:rsid w:val="00BE0731"/>
    <w:rsid w:val="00BE5292"/>
    <w:rsid w:val="00BE5920"/>
    <w:rsid w:val="00BE669B"/>
    <w:rsid w:val="00BE68E1"/>
    <w:rsid w:val="00BE7A70"/>
    <w:rsid w:val="00BE7EE3"/>
    <w:rsid w:val="00BF06C3"/>
    <w:rsid w:val="00BF1091"/>
    <w:rsid w:val="00BF5A8A"/>
    <w:rsid w:val="00C0166C"/>
    <w:rsid w:val="00C02E9F"/>
    <w:rsid w:val="00C03D89"/>
    <w:rsid w:val="00C06993"/>
    <w:rsid w:val="00C107FA"/>
    <w:rsid w:val="00C11CAC"/>
    <w:rsid w:val="00C12A9C"/>
    <w:rsid w:val="00C12BB7"/>
    <w:rsid w:val="00C134B8"/>
    <w:rsid w:val="00C13CAE"/>
    <w:rsid w:val="00C164D9"/>
    <w:rsid w:val="00C24BAE"/>
    <w:rsid w:val="00C252BF"/>
    <w:rsid w:val="00C265A5"/>
    <w:rsid w:val="00C33EF8"/>
    <w:rsid w:val="00C348A6"/>
    <w:rsid w:val="00C3490B"/>
    <w:rsid w:val="00C34DE2"/>
    <w:rsid w:val="00C358A1"/>
    <w:rsid w:val="00C3704E"/>
    <w:rsid w:val="00C40682"/>
    <w:rsid w:val="00C42F6B"/>
    <w:rsid w:val="00C43D15"/>
    <w:rsid w:val="00C514F7"/>
    <w:rsid w:val="00C51AD3"/>
    <w:rsid w:val="00C5295C"/>
    <w:rsid w:val="00C551FC"/>
    <w:rsid w:val="00C6174E"/>
    <w:rsid w:val="00C638EA"/>
    <w:rsid w:val="00C645D5"/>
    <w:rsid w:val="00C664C9"/>
    <w:rsid w:val="00C66A55"/>
    <w:rsid w:val="00C7308B"/>
    <w:rsid w:val="00C734E7"/>
    <w:rsid w:val="00C75F52"/>
    <w:rsid w:val="00C763D8"/>
    <w:rsid w:val="00C81692"/>
    <w:rsid w:val="00C81A41"/>
    <w:rsid w:val="00C867E6"/>
    <w:rsid w:val="00C91D72"/>
    <w:rsid w:val="00C9215F"/>
    <w:rsid w:val="00C96831"/>
    <w:rsid w:val="00CA1CC7"/>
    <w:rsid w:val="00CA1CDF"/>
    <w:rsid w:val="00CA203B"/>
    <w:rsid w:val="00CA32BB"/>
    <w:rsid w:val="00CA4C33"/>
    <w:rsid w:val="00CA533A"/>
    <w:rsid w:val="00CB1AFF"/>
    <w:rsid w:val="00CB3743"/>
    <w:rsid w:val="00CB4C0A"/>
    <w:rsid w:val="00CC2FCD"/>
    <w:rsid w:val="00CC35D0"/>
    <w:rsid w:val="00CC6BEB"/>
    <w:rsid w:val="00CD0662"/>
    <w:rsid w:val="00CD14E5"/>
    <w:rsid w:val="00CE24F8"/>
    <w:rsid w:val="00CE2900"/>
    <w:rsid w:val="00CE2E4B"/>
    <w:rsid w:val="00CE2FB0"/>
    <w:rsid w:val="00CE77C9"/>
    <w:rsid w:val="00CF0688"/>
    <w:rsid w:val="00CF15FC"/>
    <w:rsid w:val="00CF3E94"/>
    <w:rsid w:val="00CF5BDF"/>
    <w:rsid w:val="00CF7619"/>
    <w:rsid w:val="00D03AE9"/>
    <w:rsid w:val="00D045E7"/>
    <w:rsid w:val="00D04853"/>
    <w:rsid w:val="00D102F9"/>
    <w:rsid w:val="00D131CF"/>
    <w:rsid w:val="00D136C0"/>
    <w:rsid w:val="00D15EAC"/>
    <w:rsid w:val="00D16B7E"/>
    <w:rsid w:val="00D2043B"/>
    <w:rsid w:val="00D21354"/>
    <w:rsid w:val="00D21B12"/>
    <w:rsid w:val="00D22F1D"/>
    <w:rsid w:val="00D27112"/>
    <w:rsid w:val="00D34163"/>
    <w:rsid w:val="00D35FF0"/>
    <w:rsid w:val="00D37E0E"/>
    <w:rsid w:val="00D402A9"/>
    <w:rsid w:val="00D42245"/>
    <w:rsid w:val="00D43BEF"/>
    <w:rsid w:val="00D4478C"/>
    <w:rsid w:val="00D463A9"/>
    <w:rsid w:val="00D47516"/>
    <w:rsid w:val="00D477CD"/>
    <w:rsid w:val="00D52873"/>
    <w:rsid w:val="00D537EC"/>
    <w:rsid w:val="00D552EB"/>
    <w:rsid w:val="00D55F8F"/>
    <w:rsid w:val="00D62568"/>
    <w:rsid w:val="00D70C27"/>
    <w:rsid w:val="00D715E3"/>
    <w:rsid w:val="00D71C8D"/>
    <w:rsid w:val="00D768D4"/>
    <w:rsid w:val="00D77C18"/>
    <w:rsid w:val="00D839AC"/>
    <w:rsid w:val="00D85A6E"/>
    <w:rsid w:val="00D86187"/>
    <w:rsid w:val="00D87C17"/>
    <w:rsid w:val="00D93613"/>
    <w:rsid w:val="00D95D8D"/>
    <w:rsid w:val="00DA4ED9"/>
    <w:rsid w:val="00DA5809"/>
    <w:rsid w:val="00DA6FB0"/>
    <w:rsid w:val="00DB018F"/>
    <w:rsid w:val="00DB0FD3"/>
    <w:rsid w:val="00DB35DD"/>
    <w:rsid w:val="00DB4F68"/>
    <w:rsid w:val="00DC07D5"/>
    <w:rsid w:val="00DC6322"/>
    <w:rsid w:val="00DC7BB0"/>
    <w:rsid w:val="00DD3C1F"/>
    <w:rsid w:val="00DD5761"/>
    <w:rsid w:val="00DE2CFD"/>
    <w:rsid w:val="00DE3760"/>
    <w:rsid w:val="00DE4361"/>
    <w:rsid w:val="00DE7427"/>
    <w:rsid w:val="00DF1F85"/>
    <w:rsid w:val="00DF3A60"/>
    <w:rsid w:val="00DF4ED6"/>
    <w:rsid w:val="00DF56C7"/>
    <w:rsid w:val="00DF5DAA"/>
    <w:rsid w:val="00DF6AF7"/>
    <w:rsid w:val="00E035F7"/>
    <w:rsid w:val="00E0623E"/>
    <w:rsid w:val="00E06346"/>
    <w:rsid w:val="00E11B03"/>
    <w:rsid w:val="00E128BC"/>
    <w:rsid w:val="00E12FD8"/>
    <w:rsid w:val="00E133D6"/>
    <w:rsid w:val="00E15ADB"/>
    <w:rsid w:val="00E1690D"/>
    <w:rsid w:val="00E171B7"/>
    <w:rsid w:val="00E17715"/>
    <w:rsid w:val="00E20956"/>
    <w:rsid w:val="00E23AE2"/>
    <w:rsid w:val="00E276AB"/>
    <w:rsid w:val="00E315C3"/>
    <w:rsid w:val="00E319B8"/>
    <w:rsid w:val="00E321EE"/>
    <w:rsid w:val="00E33D9F"/>
    <w:rsid w:val="00E3570A"/>
    <w:rsid w:val="00E36413"/>
    <w:rsid w:val="00E410EF"/>
    <w:rsid w:val="00E44D71"/>
    <w:rsid w:val="00E479A7"/>
    <w:rsid w:val="00E57743"/>
    <w:rsid w:val="00E6384C"/>
    <w:rsid w:val="00E659C5"/>
    <w:rsid w:val="00E65FC5"/>
    <w:rsid w:val="00E7024C"/>
    <w:rsid w:val="00E83006"/>
    <w:rsid w:val="00E876E5"/>
    <w:rsid w:val="00E877CE"/>
    <w:rsid w:val="00E87B1C"/>
    <w:rsid w:val="00E90CD2"/>
    <w:rsid w:val="00EA0833"/>
    <w:rsid w:val="00EA3765"/>
    <w:rsid w:val="00EA3BB9"/>
    <w:rsid w:val="00EA575D"/>
    <w:rsid w:val="00EA7CAC"/>
    <w:rsid w:val="00EB108D"/>
    <w:rsid w:val="00EB1D6E"/>
    <w:rsid w:val="00EB522B"/>
    <w:rsid w:val="00EB765D"/>
    <w:rsid w:val="00ED3771"/>
    <w:rsid w:val="00ED7345"/>
    <w:rsid w:val="00EE45C8"/>
    <w:rsid w:val="00EE76C3"/>
    <w:rsid w:val="00EF5F65"/>
    <w:rsid w:val="00F00DF4"/>
    <w:rsid w:val="00F02AA4"/>
    <w:rsid w:val="00F05C2B"/>
    <w:rsid w:val="00F05C5E"/>
    <w:rsid w:val="00F10FBB"/>
    <w:rsid w:val="00F121C1"/>
    <w:rsid w:val="00F1295F"/>
    <w:rsid w:val="00F12F13"/>
    <w:rsid w:val="00F15F41"/>
    <w:rsid w:val="00F16F84"/>
    <w:rsid w:val="00F23771"/>
    <w:rsid w:val="00F2400A"/>
    <w:rsid w:val="00F27D1E"/>
    <w:rsid w:val="00F362F1"/>
    <w:rsid w:val="00F405F5"/>
    <w:rsid w:val="00F4415A"/>
    <w:rsid w:val="00F444E6"/>
    <w:rsid w:val="00F4660F"/>
    <w:rsid w:val="00F474A2"/>
    <w:rsid w:val="00F50BB3"/>
    <w:rsid w:val="00F51E46"/>
    <w:rsid w:val="00F53C76"/>
    <w:rsid w:val="00F53D92"/>
    <w:rsid w:val="00F62E7A"/>
    <w:rsid w:val="00F63AB0"/>
    <w:rsid w:val="00F63DD9"/>
    <w:rsid w:val="00F66533"/>
    <w:rsid w:val="00F6741B"/>
    <w:rsid w:val="00F67EA1"/>
    <w:rsid w:val="00F71A0B"/>
    <w:rsid w:val="00F71CC1"/>
    <w:rsid w:val="00F74F31"/>
    <w:rsid w:val="00F75A4A"/>
    <w:rsid w:val="00F80161"/>
    <w:rsid w:val="00F8027C"/>
    <w:rsid w:val="00F80638"/>
    <w:rsid w:val="00F85275"/>
    <w:rsid w:val="00F861B6"/>
    <w:rsid w:val="00F86B9A"/>
    <w:rsid w:val="00F87C8F"/>
    <w:rsid w:val="00F87CE4"/>
    <w:rsid w:val="00F90229"/>
    <w:rsid w:val="00F90363"/>
    <w:rsid w:val="00F9596F"/>
    <w:rsid w:val="00FA0C19"/>
    <w:rsid w:val="00FA0CA1"/>
    <w:rsid w:val="00FA1CBB"/>
    <w:rsid w:val="00FA2E09"/>
    <w:rsid w:val="00FA63FC"/>
    <w:rsid w:val="00FA7508"/>
    <w:rsid w:val="00FB5BD8"/>
    <w:rsid w:val="00FB76CD"/>
    <w:rsid w:val="00FC0222"/>
    <w:rsid w:val="00FC1D1B"/>
    <w:rsid w:val="00FD6A6B"/>
    <w:rsid w:val="00FD7248"/>
    <w:rsid w:val="00FD760F"/>
    <w:rsid w:val="00FE0B4B"/>
    <w:rsid w:val="00FE1B11"/>
    <w:rsid w:val="00FE23C1"/>
    <w:rsid w:val="00FE518E"/>
    <w:rsid w:val="00FE57A6"/>
    <w:rsid w:val="00FF0955"/>
    <w:rsid w:val="00FF114A"/>
    <w:rsid w:val="00FF2914"/>
    <w:rsid w:val="00FF3810"/>
    <w:rsid w:val="00FF5265"/>
    <w:rsid w:val="00FF723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44655BD9-F41B-47C0-A2C8-9CC93BFFE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543F"/>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0F543F"/>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F543F"/>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0F543F"/>
    <w:pPr>
      <w:spacing w:before="120" w:after="120"/>
    </w:pPr>
    <w:rPr>
      <w:color w:val="FF0000"/>
      <w:w w:val="80"/>
    </w:rPr>
  </w:style>
  <w:style w:type="paragraph" w:styleId="a3">
    <w:name w:val="endnote text"/>
    <w:basedOn w:val="a"/>
    <w:semiHidden/>
    <w:rsid w:val="000F543F"/>
    <w:pPr>
      <w:ind w:left="227" w:hanging="227"/>
    </w:pPr>
    <w:rPr>
      <w:sz w:val="14"/>
      <w:szCs w:val="22"/>
    </w:rPr>
  </w:style>
  <w:style w:type="paragraph" w:customStyle="1" w:styleId="TableText">
    <w:name w:val="Table Text"/>
    <w:basedOn w:val="a"/>
    <w:rsid w:val="000F543F"/>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F543F"/>
  </w:style>
  <w:style w:type="paragraph" w:customStyle="1" w:styleId="TableBlock">
    <w:name w:val="Table Block"/>
    <w:basedOn w:val="TableText"/>
    <w:rsid w:val="000F543F"/>
    <w:pPr>
      <w:ind w:right="0"/>
      <w:jc w:val="both"/>
    </w:pPr>
  </w:style>
  <w:style w:type="paragraph" w:customStyle="1" w:styleId="TableHead">
    <w:name w:val="Table Head"/>
    <w:basedOn w:val="TableText"/>
    <w:rsid w:val="000F543F"/>
    <w:pPr>
      <w:ind w:right="0"/>
      <w:jc w:val="center"/>
    </w:pPr>
    <w:rPr>
      <w:b/>
      <w:bCs/>
    </w:rPr>
  </w:style>
  <w:style w:type="paragraph" w:customStyle="1" w:styleId="TableInnerSideHeading">
    <w:name w:val="Table InnerSideHeading"/>
    <w:basedOn w:val="TableSideHeading"/>
    <w:rsid w:val="000F543F"/>
  </w:style>
  <w:style w:type="paragraph" w:customStyle="1" w:styleId="Hesber">
    <w:name w:val="Hesber"/>
    <w:basedOn w:val="a"/>
    <w:rsid w:val="000F543F"/>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0F543F"/>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0F543F"/>
    <w:rPr>
      <w:vertAlign w:val="superscript"/>
    </w:rPr>
  </w:style>
  <w:style w:type="paragraph" w:customStyle="1" w:styleId="HesberHeading">
    <w:name w:val="Hesber Heading"/>
    <w:basedOn w:val="Hesber"/>
    <w:rsid w:val="000F543F"/>
    <w:pPr>
      <w:tabs>
        <w:tab w:val="left" w:pos="624"/>
        <w:tab w:val="left" w:pos="1247"/>
      </w:tabs>
      <w:ind w:firstLine="0"/>
    </w:pPr>
    <w:rPr>
      <w:b/>
      <w:bCs/>
    </w:rPr>
  </w:style>
  <w:style w:type="paragraph" w:customStyle="1" w:styleId="HesberWriters">
    <w:name w:val="Hesber Writers"/>
    <w:basedOn w:val="Hesber"/>
    <w:rsid w:val="000F543F"/>
    <w:pPr>
      <w:spacing w:before="120" w:after="6000"/>
      <w:ind w:left="1418" w:firstLine="0"/>
      <w:jc w:val="right"/>
    </w:pPr>
    <w:rPr>
      <w:b/>
      <w:bCs/>
    </w:rPr>
  </w:style>
  <w:style w:type="paragraph" w:customStyle="1" w:styleId="Hesber1st">
    <w:name w:val="Hesber 1st"/>
    <w:basedOn w:val="Hesber"/>
    <w:rsid w:val="000F543F"/>
    <w:pPr>
      <w:tabs>
        <w:tab w:val="left" w:pos="680"/>
        <w:tab w:val="left" w:pos="1020"/>
      </w:tabs>
      <w:ind w:firstLine="0"/>
    </w:pPr>
  </w:style>
  <w:style w:type="character" w:styleId="a7">
    <w:name w:val="endnote reference"/>
    <w:basedOn w:val="a0"/>
    <w:semiHidden/>
    <w:rsid w:val="000F543F"/>
    <w:rPr>
      <w:vertAlign w:val="superscript"/>
    </w:rPr>
  </w:style>
  <w:style w:type="paragraph" w:customStyle="1" w:styleId="TableBlockOutdent">
    <w:name w:val="Table BlockOutdent"/>
    <w:basedOn w:val="TableBlock"/>
    <w:rsid w:val="000F543F"/>
    <w:pPr>
      <w:ind w:left="624" w:hanging="624"/>
    </w:pPr>
  </w:style>
  <w:style w:type="paragraph" w:styleId="a8">
    <w:name w:val="header"/>
    <w:basedOn w:val="a"/>
    <w:rsid w:val="000F543F"/>
    <w:pPr>
      <w:tabs>
        <w:tab w:val="center" w:pos="4153"/>
        <w:tab w:val="right" w:pos="8306"/>
      </w:tabs>
    </w:pPr>
  </w:style>
  <w:style w:type="paragraph" w:styleId="a9">
    <w:name w:val="footer"/>
    <w:basedOn w:val="a"/>
    <w:rsid w:val="000F543F"/>
    <w:pPr>
      <w:tabs>
        <w:tab w:val="center" w:pos="4153"/>
        <w:tab w:val="right" w:pos="8306"/>
      </w:tabs>
    </w:pPr>
  </w:style>
  <w:style w:type="paragraph" w:customStyle="1" w:styleId="HeadDivreiHesber">
    <w:name w:val="Head DivreiHesber"/>
    <w:basedOn w:val="a"/>
    <w:rsid w:val="000F543F"/>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0F543F"/>
  </w:style>
  <w:style w:type="paragraph" w:customStyle="1" w:styleId="Cover1-Reshumot">
    <w:name w:val="Cover 1-Reshumot"/>
    <w:basedOn w:val="a"/>
    <w:rsid w:val="000F543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F543F"/>
    <w:rPr>
      <w:sz w:val="36"/>
      <w:szCs w:val="52"/>
    </w:rPr>
  </w:style>
  <w:style w:type="paragraph" w:customStyle="1" w:styleId="Cover3-Haknesset">
    <w:name w:val="Cover 3-Haknesset"/>
    <w:basedOn w:val="Cover1-Reshumot"/>
    <w:rsid w:val="000F543F"/>
    <w:rPr>
      <w:b/>
      <w:bCs/>
      <w:spacing w:val="60"/>
    </w:rPr>
  </w:style>
  <w:style w:type="paragraph" w:customStyle="1" w:styleId="Cover4-Date">
    <w:name w:val="Cover 4-Date"/>
    <w:basedOn w:val="a"/>
    <w:rsid w:val="000F543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0F543F"/>
    <w:pPr>
      <w:snapToGrid w:val="0"/>
      <w:spacing w:before="0" w:line="360" w:lineRule="auto"/>
      <w:jc w:val="left"/>
    </w:pPr>
    <w:rPr>
      <w:rFonts w:ascii="Arial" w:eastAsia="Arial Unicode MS" w:hAnsi="Arial" w:cs="David"/>
      <w:snapToGrid w:val="0"/>
      <w:spacing w:val="0"/>
      <w:sz w:val="20"/>
      <w:szCs w:val="26"/>
    </w:rPr>
  </w:style>
  <w:style w:type="paragraph" w:customStyle="1" w:styleId="Noparagraphstyle">
    <w:name w:val="[No paragraph style]"/>
    <w:rsid w:val="004439E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styleId="Hyperlink">
    <w:name w:val="Hyperlink"/>
    <w:unhideWhenUsed/>
    <w:rsid w:val="004439EE"/>
    <w:rPr>
      <w:color w:val="0563C1"/>
      <w:u w:val="single"/>
    </w:rPr>
  </w:style>
  <w:style w:type="character" w:customStyle="1" w:styleId="a5">
    <w:name w:val="טקסט הערת שוליים תו"/>
    <w:link w:val="a4"/>
    <w:semiHidden/>
    <w:rsid w:val="004439EE"/>
    <w:rPr>
      <w:rFonts w:ascii="Arial" w:eastAsia="Arial Unicode MS" w:hAnsi="Arial" w:cs="David"/>
      <w:snapToGrid w:val="0"/>
      <w:color w:val="000000"/>
      <w:sz w:val="14"/>
      <w:lang w:eastAsia="ja-JP"/>
    </w:rPr>
  </w:style>
  <w:style w:type="paragraph" w:styleId="ab">
    <w:name w:val="Balloon Text"/>
    <w:basedOn w:val="a"/>
    <w:link w:val="ac"/>
    <w:rsid w:val="004439EE"/>
    <w:pPr>
      <w:spacing w:before="0" w:line="240" w:lineRule="auto"/>
    </w:pPr>
    <w:rPr>
      <w:rFonts w:ascii="Tahoma" w:hAnsi="Tahoma" w:cs="Tahoma"/>
      <w:sz w:val="16"/>
      <w:szCs w:val="16"/>
    </w:rPr>
  </w:style>
  <w:style w:type="character" w:customStyle="1" w:styleId="ac">
    <w:name w:val="טקסט בלונים תו"/>
    <w:basedOn w:val="a0"/>
    <w:link w:val="ab"/>
    <w:rsid w:val="004439EE"/>
    <w:rPr>
      <w:rFonts w:ascii="Tahoma" w:hAnsi="Tahoma" w:cs="Tahoma"/>
      <w:color w:val="000000"/>
      <w:spacing w:val="1"/>
      <w:sz w:val="16"/>
      <w:szCs w:val="16"/>
      <w:lang w:eastAsia="ja-JP"/>
    </w:rPr>
  </w:style>
  <w:style w:type="character" w:styleId="ad">
    <w:name w:val="annotation reference"/>
    <w:rsid w:val="00816F35"/>
    <w:rPr>
      <w:sz w:val="16"/>
      <w:szCs w:val="16"/>
    </w:rPr>
  </w:style>
  <w:style w:type="paragraph" w:styleId="ae">
    <w:name w:val="annotation text"/>
    <w:basedOn w:val="a"/>
    <w:link w:val="af"/>
    <w:rsid w:val="00816F35"/>
    <w:pPr>
      <w:widowControl/>
      <w:autoSpaceDE/>
      <w:autoSpaceDN/>
      <w:adjustRightInd/>
      <w:spacing w:before="0" w:line="240" w:lineRule="auto"/>
      <w:ind w:firstLine="0"/>
      <w:jc w:val="left"/>
      <w:textAlignment w:val="auto"/>
    </w:pPr>
    <w:rPr>
      <w:rFonts w:ascii="Times New Roman" w:eastAsia="Times New Roman" w:hAnsi="Times New Roman" w:cs="Times New Roman"/>
      <w:color w:val="auto"/>
      <w:spacing w:val="0"/>
      <w:sz w:val="20"/>
      <w:szCs w:val="20"/>
      <w:lang w:eastAsia="he-IL"/>
    </w:rPr>
  </w:style>
  <w:style w:type="character" w:customStyle="1" w:styleId="af">
    <w:name w:val="טקסט הערה תו"/>
    <w:basedOn w:val="a0"/>
    <w:link w:val="ae"/>
    <w:rsid w:val="00816F35"/>
    <w:rPr>
      <w:rFonts w:eastAsia="Times New Roman"/>
      <w:lang w:eastAsia="he-IL"/>
    </w:rPr>
  </w:style>
  <w:style w:type="paragraph" w:customStyle="1" w:styleId="Textpetek">
    <w:name w:val="סגנון Text petek"/>
    <w:basedOn w:val="a"/>
    <w:rsid w:val="00A15527"/>
    <w:pPr>
      <w:spacing w:line="360" w:lineRule="auto"/>
      <w:ind w:left="567" w:right="567" w:firstLine="567"/>
    </w:pPr>
    <w:rPr>
      <w:rFonts w:eastAsia="Times New Roman" w:cs="David"/>
      <w:sz w:val="26"/>
      <w:szCs w:val="26"/>
    </w:rPr>
  </w:style>
  <w:style w:type="character" w:styleId="af0">
    <w:name w:val="Placeholder Text"/>
    <w:basedOn w:val="a0"/>
    <w:uiPriority w:val="99"/>
    <w:semiHidden/>
    <w:rsid w:val="00A15527"/>
    <w:rPr>
      <w:color w:val="808080"/>
    </w:rPr>
  </w:style>
  <w:style w:type="character" w:customStyle="1" w:styleId="1">
    <w:name w:val="סגנון1"/>
    <w:basedOn w:val="a0"/>
    <w:rsid w:val="00A15527"/>
    <w:rPr>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586794">
      <w:bodyDiv w:val="1"/>
      <w:marLeft w:val="0"/>
      <w:marRight w:val="0"/>
      <w:marTop w:val="0"/>
      <w:marBottom w:val="0"/>
      <w:divBdr>
        <w:top w:val="none" w:sz="0" w:space="0" w:color="auto"/>
        <w:left w:val="none" w:sz="0" w:space="0" w:color="auto"/>
        <w:bottom w:val="none" w:sz="0" w:space="0" w:color="auto"/>
        <w:right w:val="none" w:sz="0" w:space="0" w:color="auto"/>
      </w:divBdr>
    </w:div>
    <w:div w:id="933366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4" Type="http://schemas.openxmlformats.org/officeDocument/2006/relationships/theme" Target="theme/theme1.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nu5129\Desktop\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6D6D8B-71EF-4933-A7A8-1938FDD09352}">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2.xml><?xml version="1.0" encoding="utf-8"?>
<ds:datastoreItem xmlns:ds="http://schemas.openxmlformats.org/officeDocument/2006/customXml" ds:itemID="{8B83B39F-180A-4ACF-9672-F5D6AF3BB129}">
  <ds:schemaRefs>
    <ds:schemaRef ds:uri="http://schemas.microsoft.com/sharepoint/v3/contenttype/forms"/>
  </ds:schemaRefs>
</ds:datastoreItem>
</file>

<file path=customXml/itemProps3.xml><?xml version="1.0" encoding="utf-8"?>
<ds:datastoreItem xmlns:ds="http://schemas.openxmlformats.org/officeDocument/2006/customXml" ds:itemID="{401B1107-8D86-4853-86BA-3E9C41DB1B91}"/>
</file>

<file path=customXml/itemProps4.xml><?xml version="1.0" encoding="utf-8"?>
<ds:datastoreItem xmlns:ds="http://schemas.openxmlformats.org/officeDocument/2006/customXml" ds:itemID="{327382D7-DF5C-4FA4-A62B-110DA6ED2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hakikaV5</Template>
  <TotalTime>0</TotalTime>
  <Pages>13</Pages>
  <Words>3222</Words>
  <Characters>16110</Characters>
  <Application>Microsoft Office Word</Application>
  <DocSecurity>0</DocSecurity>
  <Lines>134</Lines>
  <Paragraphs>38</Paragraphs>
  <ScaleCrop>false</ScaleCrop>
  <HeadingPairs>
    <vt:vector size="2" baseType="variant">
      <vt:variant>
        <vt:lpstr>שם</vt:lpstr>
      </vt:variant>
      <vt:variant>
        <vt:i4>1</vt:i4>
      </vt:variant>
    </vt:vector>
  </HeadingPairs>
  <TitlesOfParts>
    <vt:vector size="1" baseType="lpstr">
      <vt:lpstr>רשומות</vt:lpstr>
    </vt:vector>
  </TitlesOfParts>
  <Company>Ministry of Education</Company>
  <LinksUpToDate>false</LinksUpToDate>
  <CharactersWithSpaces>19294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מיכל חורין</dc:creator>
  <cp:keywords/>
  <dc:description/>
  <cp:lastModifiedBy>רבקה וידר</cp:lastModifiedBy>
  <cp:revision>2</cp:revision>
  <cp:lastPrinted>2017-07-25T14:02:00Z</cp:lastPrinted>
  <dcterms:created xsi:type="dcterms:W3CDTF">2017-07-30T11:00:00Z</dcterms:created>
  <dcterms:modified xsi:type="dcterms:W3CDTF">2017-07-30T11:00:00Z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3d6b3638-95d3-4912-a163-2719022c9f62</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2020584</vt:r8>
  </property>
</Properties>
</file>