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2018303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רועי פולקמן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יפעת שאשא ביטון</w:t>
      </w:r>
      <w:bookmarkEnd w:id="4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5" w:name="LGS_Join_List"/>
      <w:r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פ/4320/20</w:t>
      </w:r>
      <w:bookmarkEnd w:id="7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Default="00EE373E" w:rsidP="00044BCB">
      <w:pPr>
        <w:pStyle w:val="HeadHatzaotHok"/>
        <w:spacing w:after="120"/>
        <w:rPr>
          <w:rtl/>
        </w:rPr>
      </w:pPr>
      <w:bookmarkStart w:id="8" w:name="LGS_Subject"/>
      <w:r>
        <w:rPr>
          <w:rFonts w:hint="cs"/>
          <w:rtl/>
        </w:rPr>
        <w:t>הצעת חוק פתיחת קבר של קטין יוצא תימן, המזרח או הבלקן לצורך ביצוע בדיקה גנטית לקשרי משפחה, התשע"ז</w:t>
      </w:r>
      <w:r w:rsidR="00044BCB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8"/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624"/>
        <w:gridCol w:w="624"/>
        <w:gridCol w:w="6520"/>
      </w:tblGrid>
      <w:tr w:rsidR="00C26C28" w14:paraId="24D0A181" w14:textId="77777777" w:rsidTr="00721481">
        <w:trPr>
          <w:cantSplit/>
          <w:trHeight w:val="60"/>
        </w:trPr>
        <w:tc>
          <w:tcPr>
            <w:tcW w:w="1870" w:type="dxa"/>
            <w:hideMark/>
          </w:tcPr>
          <w:p w14:paraId="675F49D5" w14:textId="378E9622" w:rsidR="00C26C28" w:rsidRPr="00310CBA" w:rsidRDefault="00B45212" w:rsidP="00310CBA">
            <w:pPr>
              <w:pStyle w:val="TableBlock"/>
            </w:pPr>
            <w:r w:rsidRPr="00310CBA">
              <w:rPr>
                <w:rFonts w:hint="cs"/>
                <w:rtl/>
              </w:rPr>
              <w:t>מטרה</w:t>
            </w:r>
          </w:p>
        </w:tc>
        <w:tc>
          <w:tcPr>
            <w:tcW w:w="624" w:type="dxa"/>
            <w:hideMark/>
          </w:tcPr>
          <w:p w14:paraId="4DA0535C" w14:textId="77777777" w:rsidR="00C26C28" w:rsidRPr="00310CBA" w:rsidRDefault="00C26C28" w:rsidP="00310CBA">
            <w:pPr>
              <w:pStyle w:val="TableBlock"/>
            </w:pPr>
            <w:r w:rsidRPr="00310CBA">
              <w:rPr>
                <w:rFonts w:hint="cs"/>
                <w:rtl/>
              </w:rPr>
              <w:t>1.</w:t>
            </w:r>
          </w:p>
        </w:tc>
        <w:tc>
          <w:tcPr>
            <w:tcW w:w="7144" w:type="dxa"/>
            <w:gridSpan w:val="2"/>
            <w:hideMark/>
          </w:tcPr>
          <w:p w14:paraId="1AAAC83E" w14:textId="59B36592" w:rsidR="00C26C28" w:rsidRPr="00310CBA" w:rsidRDefault="00B45212" w:rsidP="00310CBA">
            <w:pPr>
              <w:pStyle w:val="TableBlock"/>
            </w:pPr>
            <w:r w:rsidRPr="00310CBA">
              <w:rPr>
                <w:rFonts w:hint="cs"/>
                <w:rtl/>
              </w:rPr>
              <w:t>מטרתו של חוק זה לאפשר את חקר האמת לגבי מותם ומקום קבורתם של קטינים יוצ</w:t>
            </w:r>
            <w:r w:rsidR="001677F1" w:rsidRPr="00310CBA">
              <w:rPr>
                <w:rFonts w:hint="cs"/>
                <w:rtl/>
              </w:rPr>
              <w:t>אי תימן, המזרח והבלקן אשר הודעה על מותם נמסרה</w:t>
            </w:r>
            <w:r w:rsidR="00FF48ED" w:rsidRPr="00310CBA">
              <w:rPr>
                <w:rFonts w:hint="cs"/>
                <w:rtl/>
              </w:rPr>
              <w:t xml:space="preserve"> בשנים 1948</w:t>
            </w:r>
            <w:r w:rsidR="00044BCB" w:rsidRPr="00310CBA">
              <w:rPr>
                <w:rFonts w:hint="cs"/>
                <w:rtl/>
              </w:rPr>
              <w:t xml:space="preserve"> עד 1970</w:t>
            </w:r>
            <w:r w:rsidR="001677F1" w:rsidRPr="00310CBA">
              <w:rPr>
                <w:rFonts w:hint="cs"/>
                <w:rtl/>
              </w:rPr>
              <w:t xml:space="preserve"> לבני משפחותיהם מבלי שהתאפשר להם לזהות</w:t>
            </w:r>
            <w:r w:rsidR="00044BCB" w:rsidRPr="00310CBA">
              <w:rPr>
                <w:rFonts w:hint="cs"/>
                <w:rtl/>
              </w:rPr>
              <w:t>ם</w:t>
            </w:r>
            <w:r w:rsidR="001677F1" w:rsidRPr="00310CBA">
              <w:rPr>
                <w:rFonts w:hint="cs"/>
                <w:rtl/>
              </w:rPr>
              <w:t xml:space="preserve"> ולהביא אותם לקבורה</w:t>
            </w:r>
            <w:r w:rsidR="00FF48ED" w:rsidRPr="00310CBA">
              <w:rPr>
                <w:rFonts w:hint="cs"/>
                <w:rtl/>
              </w:rPr>
              <w:t>.</w:t>
            </w:r>
          </w:p>
        </w:tc>
      </w:tr>
      <w:tr w:rsidR="00B45212" w14:paraId="2B00C935" w14:textId="77777777" w:rsidTr="00721481">
        <w:trPr>
          <w:cantSplit/>
          <w:trHeight w:val="60"/>
        </w:trPr>
        <w:tc>
          <w:tcPr>
            <w:tcW w:w="1870" w:type="dxa"/>
          </w:tcPr>
          <w:p w14:paraId="76B38078" w14:textId="667A08AC" w:rsidR="00B45212" w:rsidRDefault="00B45212">
            <w:pPr>
              <w:pStyle w:val="TableSideHeading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הגדרות</w:t>
            </w:r>
          </w:p>
        </w:tc>
        <w:tc>
          <w:tcPr>
            <w:tcW w:w="624" w:type="dxa"/>
          </w:tcPr>
          <w:p w14:paraId="5F54713B" w14:textId="1477BDDC" w:rsidR="00B45212" w:rsidRDefault="00B45212" w:rsidP="00B45212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2. </w:t>
            </w:r>
          </w:p>
        </w:tc>
        <w:tc>
          <w:tcPr>
            <w:tcW w:w="7144" w:type="dxa"/>
            <w:gridSpan w:val="2"/>
          </w:tcPr>
          <w:p w14:paraId="4588C52A" w14:textId="2DEBAFA7" w:rsidR="00B45212" w:rsidRDefault="00B45212" w:rsidP="00310CBA">
            <w:pPr>
              <w:pStyle w:val="TableText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בחוק זה</w:t>
            </w:r>
            <w:r w:rsidR="00310CBA">
              <w:rPr>
                <w:rFonts w:hint="cs"/>
                <w:sz w:val="26"/>
                <w:rtl/>
              </w:rPr>
              <w:t xml:space="preserve"> </w:t>
            </w:r>
            <w:r w:rsidR="00310CBA">
              <w:rPr>
                <w:rFonts w:hint="eastAsia"/>
                <w:sz w:val="26"/>
                <w:rtl/>
              </w:rPr>
              <w:t>–</w:t>
            </w:r>
          </w:p>
        </w:tc>
      </w:tr>
      <w:tr w:rsidR="00CB3E6B" w14:paraId="76BC5E81" w14:textId="77777777" w:rsidTr="005E2499">
        <w:trPr>
          <w:cantSplit/>
          <w:trHeight w:val="60"/>
        </w:trPr>
        <w:tc>
          <w:tcPr>
            <w:tcW w:w="1870" w:type="dxa"/>
          </w:tcPr>
          <w:p w14:paraId="72D0A76E" w14:textId="759A2196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9B4116F" w14:textId="7DD6C1E3" w:rsidR="00CB3E6B" w:rsidRDefault="00CB3E6B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53C63A6E" w14:textId="19DDFAFA" w:rsidR="00CB3E6B" w:rsidRPr="00310CBA" w:rsidRDefault="00CB3E6B" w:rsidP="0047323B">
            <w:pPr>
              <w:pStyle w:val="TableBlockOutdent"/>
            </w:pPr>
            <w:r w:rsidRPr="00310CBA">
              <w:rPr>
                <w:rFonts w:hint="cs"/>
                <w:rtl/>
              </w:rPr>
              <w:t xml:space="preserve">"בדיקה גנטית לקשרי משפחה" </w:t>
            </w:r>
            <w:r w:rsidRPr="00310CBA">
              <w:rPr>
                <w:rFonts w:hint="eastAsia"/>
                <w:rtl/>
              </w:rPr>
              <w:t>–</w:t>
            </w:r>
            <w:r w:rsidRPr="00310CBA">
              <w:rPr>
                <w:rFonts w:hint="cs"/>
                <w:rtl/>
              </w:rPr>
              <w:t xml:space="preserve"> בדיקה גנטית </w:t>
            </w:r>
            <w:r w:rsidR="005F012F">
              <w:rPr>
                <w:rFonts w:hint="cs"/>
                <w:rtl/>
              </w:rPr>
              <w:t>לקשרי משפחה</w:t>
            </w:r>
            <w:r w:rsidRPr="00310CBA">
              <w:rPr>
                <w:rFonts w:hint="cs"/>
                <w:rtl/>
              </w:rPr>
              <w:t xml:space="preserve"> כמשמעותה בחוק מידע גנטי, </w:t>
            </w:r>
            <w:r>
              <w:rPr>
                <w:rFonts w:hint="cs"/>
                <w:rtl/>
              </w:rPr>
              <w:t xml:space="preserve">שנועדה </w:t>
            </w:r>
            <w:r w:rsidRPr="00310CBA">
              <w:rPr>
                <w:rFonts w:hint="cs"/>
                <w:rtl/>
              </w:rPr>
              <w:t xml:space="preserve">לקביעת ממצאים בדבר קשרי משפחה בין מנוח </w:t>
            </w:r>
            <w:r w:rsidR="0047323B">
              <w:rPr>
                <w:rFonts w:hint="cs"/>
                <w:rtl/>
              </w:rPr>
              <w:t>ו</w:t>
            </w:r>
            <w:r w:rsidRPr="00310CBA">
              <w:rPr>
                <w:rFonts w:hint="cs"/>
                <w:rtl/>
              </w:rPr>
              <w:t>בין קרובו;</w:t>
            </w:r>
          </w:p>
        </w:tc>
      </w:tr>
      <w:tr w:rsidR="00CB3E6B" w14:paraId="3568D1CC" w14:textId="77777777" w:rsidTr="00562AB2">
        <w:trPr>
          <w:cantSplit/>
          <w:trHeight w:val="60"/>
        </w:trPr>
        <w:tc>
          <w:tcPr>
            <w:tcW w:w="1870" w:type="dxa"/>
          </w:tcPr>
          <w:p w14:paraId="3382852F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13C1B8A" w14:textId="77777777" w:rsidR="00CB3E6B" w:rsidRDefault="00CB3E6B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1CAD0A17" w14:textId="47DC5016" w:rsidR="00CB3E6B" w:rsidRDefault="00CB3E6B" w:rsidP="00310CBA">
            <w:pPr>
              <w:pStyle w:val="TableBlock"/>
            </w:pPr>
            <w:r>
              <w:rPr>
                <w:rFonts w:hint="cs"/>
                <w:rtl/>
              </w:rPr>
              <w:t xml:space="preserve">"בית המשפט"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בית המשפט לענייני משפחה;</w:t>
            </w:r>
          </w:p>
        </w:tc>
      </w:tr>
      <w:tr w:rsidR="00CB3E6B" w14:paraId="605EA65B" w14:textId="77777777" w:rsidTr="00144FEC">
        <w:trPr>
          <w:cantSplit/>
          <w:trHeight w:val="60"/>
        </w:trPr>
        <w:tc>
          <w:tcPr>
            <w:tcW w:w="1870" w:type="dxa"/>
          </w:tcPr>
          <w:p w14:paraId="5E700C23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B8E87BD" w14:textId="77777777" w:rsidR="00CB3E6B" w:rsidRDefault="00CB3E6B" w:rsidP="00830235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1716CA61" w14:textId="6E84CC1D" w:rsidR="00CB3E6B" w:rsidRPr="006D0BA4" w:rsidRDefault="00CB3E6B" w:rsidP="00310CBA">
            <w:pPr>
              <w:pStyle w:val="TableBlock"/>
              <w:rPr>
                <w:rtl/>
              </w:rPr>
            </w:pPr>
            <w:r w:rsidRPr="006D0BA4">
              <w:rPr>
                <w:rFonts w:hint="cs"/>
                <w:rtl/>
              </w:rPr>
              <w:t xml:space="preserve">"ועדה ציבורית שפעלה בעניין היעלמות ילדי תימן, המזרח והבלקן" </w:t>
            </w:r>
            <w:r>
              <w:rPr>
                <w:rFonts w:hint="eastAsia"/>
                <w:rtl/>
              </w:rPr>
              <w:t>–</w:t>
            </w:r>
            <w:r w:rsidR="0047323B">
              <w:rPr>
                <w:rFonts w:hint="cs"/>
                <w:rtl/>
              </w:rPr>
              <w:t xml:space="preserve"> </w:t>
            </w:r>
            <w:r w:rsidRPr="006D0BA4">
              <w:rPr>
                <w:rFonts w:hint="cs"/>
                <w:rtl/>
              </w:rPr>
              <w:t>אחת מאלה</w:t>
            </w:r>
            <w:r>
              <w:rPr>
                <w:rFonts w:hint="cs"/>
                <w:rtl/>
              </w:rPr>
              <w:t>:</w:t>
            </w:r>
          </w:p>
        </w:tc>
      </w:tr>
      <w:tr w:rsidR="00CB3E6B" w14:paraId="4148C9F4" w14:textId="77777777" w:rsidTr="00CE4832">
        <w:trPr>
          <w:cantSplit/>
          <w:trHeight w:val="60"/>
        </w:trPr>
        <w:tc>
          <w:tcPr>
            <w:tcW w:w="1870" w:type="dxa"/>
          </w:tcPr>
          <w:p w14:paraId="23E0D662" w14:textId="77777777" w:rsidR="00CB3E6B" w:rsidRDefault="00CB3E6B">
            <w:pPr>
              <w:pStyle w:val="TableSideHeading"/>
            </w:pPr>
          </w:p>
        </w:tc>
        <w:tc>
          <w:tcPr>
            <w:tcW w:w="624" w:type="dxa"/>
          </w:tcPr>
          <w:p w14:paraId="038D2521" w14:textId="77777777" w:rsidR="00CB3E6B" w:rsidRDefault="00CB3E6B">
            <w:pPr>
              <w:pStyle w:val="TableText"/>
            </w:pPr>
          </w:p>
        </w:tc>
        <w:tc>
          <w:tcPr>
            <w:tcW w:w="624" w:type="dxa"/>
          </w:tcPr>
          <w:p w14:paraId="58D606F4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0F5B6BF2" w14:textId="2370066E" w:rsidR="00CB3E6B" w:rsidRDefault="00CB3E6B" w:rsidP="001A035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6D0BA4">
              <w:rPr>
                <w:rFonts w:hint="cs"/>
                <w:rtl/>
              </w:rPr>
              <w:t>ועדת בהלול</w:t>
            </w:r>
            <w:r>
              <w:rPr>
                <w:rFonts w:hint="cs"/>
                <w:rtl/>
              </w:rPr>
              <w:t>-</w:t>
            </w:r>
            <w:r w:rsidRPr="006D0BA4">
              <w:rPr>
                <w:rFonts w:hint="cs"/>
                <w:rtl/>
              </w:rPr>
              <w:t>מינקובסקי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Pr="006D0BA4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הו</w:t>
            </w:r>
            <w:r w:rsidRPr="006D0BA4">
              <w:rPr>
                <w:rFonts w:hint="cs"/>
                <w:rtl/>
              </w:rPr>
              <w:t xml:space="preserve">ועדה </w:t>
            </w:r>
            <w:r>
              <w:rPr>
                <w:rFonts w:hint="cs"/>
                <w:rtl/>
              </w:rPr>
              <w:t>ה</w:t>
            </w:r>
            <w:r w:rsidRPr="006D0BA4">
              <w:rPr>
                <w:rFonts w:hint="cs"/>
                <w:rtl/>
              </w:rPr>
              <w:t>בין-משרדית</w:t>
            </w:r>
            <w:r>
              <w:rPr>
                <w:rFonts w:hint="cs"/>
                <w:rtl/>
              </w:rPr>
              <w:t xml:space="preserve"> </w:t>
            </w:r>
            <w:r w:rsidRPr="006D0BA4">
              <w:rPr>
                <w:rFonts w:hint="cs"/>
                <w:rtl/>
              </w:rPr>
              <w:t>שהוקמה בשנת 1</w:t>
            </w:r>
            <w:r>
              <w:rPr>
                <w:rFonts w:hint="cs"/>
                <w:rtl/>
              </w:rPr>
              <w:t>967;</w:t>
            </w:r>
          </w:p>
        </w:tc>
      </w:tr>
      <w:tr w:rsidR="00CB3E6B" w14:paraId="6131C3FD" w14:textId="77777777" w:rsidTr="000415E6">
        <w:trPr>
          <w:cantSplit/>
          <w:trHeight w:val="60"/>
        </w:trPr>
        <w:tc>
          <w:tcPr>
            <w:tcW w:w="1870" w:type="dxa"/>
          </w:tcPr>
          <w:p w14:paraId="73F269D8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5D38193" w14:textId="77777777" w:rsidR="00CB3E6B" w:rsidRDefault="00CB3E6B" w:rsidP="006D0BA4">
            <w:pPr>
              <w:pStyle w:val="TableText"/>
            </w:pPr>
          </w:p>
        </w:tc>
        <w:tc>
          <w:tcPr>
            <w:tcW w:w="624" w:type="dxa"/>
          </w:tcPr>
          <w:p w14:paraId="0E1EB2DB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4ADED22C" w14:textId="2EADFB9D" w:rsidR="00CB3E6B" w:rsidRDefault="00CB3E6B" w:rsidP="001A03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6D0BA4">
              <w:rPr>
                <w:rFonts w:hint="cs"/>
                <w:rtl/>
              </w:rPr>
              <w:t>ועדת שלגי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Pr="006D0BA4">
              <w:rPr>
                <w:rFonts w:hint="cs"/>
                <w:rtl/>
              </w:rPr>
              <w:t xml:space="preserve"> ועדת </w:t>
            </w:r>
            <w:r>
              <w:rPr>
                <w:rFonts w:hint="cs"/>
                <w:rtl/>
              </w:rPr>
              <w:t>ה</w:t>
            </w:r>
            <w:r w:rsidRPr="006D0BA4">
              <w:rPr>
                <w:rFonts w:hint="cs"/>
                <w:rtl/>
              </w:rPr>
              <w:t xml:space="preserve">בירור שהוקמה בספטמבר 1988 </w:t>
            </w:r>
            <w:r>
              <w:rPr>
                <w:rFonts w:hint="cs"/>
                <w:rtl/>
              </w:rPr>
              <w:t>מכוח</w:t>
            </w:r>
            <w:r w:rsidRPr="006D0BA4">
              <w:rPr>
                <w:rFonts w:hint="cs"/>
                <w:rtl/>
              </w:rPr>
              <w:t xml:space="preserve"> חוק ועדות חקירה</w:t>
            </w:r>
            <w:r>
              <w:rPr>
                <w:rFonts w:hint="cs"/>
                <w:rtl/>
              </w:rPr>
              <w:t>, התשכ"ט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>1968</w:t>
            </w:r>
            <w:r>
              <w:rPr>
                <w:rStyle w:val="a6"/>
                <w:rtl/>
              </w:rPr>
              <w:footnoteReference w:id="2"/>
            </w:r>
            <w:r>
              <w:rPr>
                <w:rFonts w:hint="cs"/>
                <w:rtl/>
              </w:rPr>
              <w:t>;</w:t>
            </w:r>
          </w:p>
        </w:tc>
      </w:tr>
      <w:tr w:rsidR="00CB3E6B" w14:paraId="342B5C79" w14:textId="77777777" w:rsidTr="009E05D5">
        <w:trPr>
          <w:cantSplit/>
          <w:trHeight w:val="60"/>
        </w:trPr>
        <w:tc>
          <w:tcPr>
            <w:tcW w:w="1870" w:type="dxa"/>
          </w:tcPr>
          <w:p w14:paraId="2BFE0DDA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C661C9E" w14:textId="77777777" w:rsidR="00CB3E6B" w:rsidRDefault="00CB3E6B" w:rsidP="006D0BA4">
            <w:pPr>
              <w:pStyle w:val="TableText"/>
            </w:pPr>
          </w:p>
        </w:tc>
        <w:tc>
          <w:tcPr>
            <w:tcW w:w="624" w:type="dxa"/>
          </w:tcPr>
          <w:p w14:paraId="0464AAA0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031ABF59" w14:textId="1068BD3B" w:rsidR="00CB3E6B" w:rsidRDefault="00CB3E6B" w:rsidP="001A035A">
            <w:pPr>
              <w:pStyle w:val="TableBlock"/>
              <w:rPr>
                <w:rtl/>
              </w:rPr>
            </w:pPr>
            <w:bookmarkStart w:id="9" w:name="cont"/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 w:rsidRPr="008D2FB6">
              <w:rPr>
                <w:rtl/>
              </w:rPr>
              <w:t>ועדת החקירה הממלכתית בעניין פרשת היעלמותם של ילדים מבין עולי תימן בשנים</w:t>
            </w:r>
            <w:r w:rsidRPr="008D2FB6">
              <w:rPr>
                <w:rFonts w:hint="cs"/>
                <w:rtl/>
              </w:rPr>
              <w:t xml:space="preserve"> </w:t>
            </w:r>
            <w:r w:rsidRPr="008D2FB6">
              <w:rPr>
                <w:rtl/>
              </w:rPr>
              <w:t>1954</w:t>
            </w:r>
            <w:r>
              <w:rPr>
                <w:rFonts w:hint="cs"/>
                <w:rtl/>
              </w:rPr>
              <w:t xml:space="preserve"> עד </w:t>
            </w:r>
            <w:r w:rsidRPr="008D2FB6">
              <w:rPr>
                <w:rtl/>
              </w:rPr>
              <w:t>1948</w:t>
            </w:r>
            <w:r w:rsidRPr="008D2FB6">
              <w:t> </w:t>
            </w:r>
            <w:r>
              <w:rPr>
                <w:rFonts w:hint="cs"/>
                <w:rtl/>
              </w:rPr>
              <w:t>(ועדת כהן-קדמי)</w:t>
            </w:r>
            <w:r w:rsidR="0047323B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bookmarkEnd w:id="9"/>
            <w:r w:rsidRPr="008D2FB6">
              <w:rPr>
                <w:rFonts w:hint="cs"/>
                <w:rtl/>
              </w:rPr>
              <w:t>שהוקמה בינואר 1995</w:t>
            </w:r>
            <w:r>
              <w:rPr>
                <w:rFonts w:hint="cs"/>
                <w:rtl/>
              </w:rPr>
              <w:t>;</w:t>
            </w:r>
            <w:r w:rsidRPr="008D2FB6">
              <w:rPr>
                <w:rFonts w:hint="cs"/>
                <w:rtl/>
              </w:rPr>
              <w:t xml:space="preserve"> </w:t>
            </w:r>
          </w:p>
        </w:tc>
      </w:tr>
      <w:tr w:rsidR="00CB3E6B" w14:paraId="69306A7E" w14:textId="77777777" w:rsidTr="00FF596B">
        <w:trPr>
          <w:cantSplit/>
          <w:trHeight w:val="60"/>
        </w:trPr>
        <w:tc>
          <w:tcPr>
            <w:tcW w:w="1870" w:type="dxa"/>
          </w:tcPr>
          <w:p w14:paraId="755992F8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08681C79" w14:textId="77777777" w:rsidR="00CB3E6B" w:rsidRDefault="00CB3E6B" w:rsidP="00D60112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63810F2F" w14:textId="45A08BE3" w:rsidR="00CB3E6B" w:rsidRPr="001A035A" w:rsidRDefault="00CB3E6B" w:rsidP="001A035A">
            <w:pPr>
              <w:pStyle w:val="TableBlockOutdent"/>
              <w:rPr>
                <w:rtl/>
              </w:rPr>
            </w:pPr>
            <w:r w:rsidRPr="001A035A">
              <w:rPr>
                <w:rFonts w:hint="cs"/>
                <w:rtl/>
              </w:rPr>
              <w:t xml:space="preserve">"חוק מידע גנטי" </w:t>
            </w:r>
            <w:r w:rsidRPr="001A035A">
              <w:rPr>
                <w:rtl/>
              </w:rPr>
              <w:t>–</w:t>
            </w:r>
            <w:r w:rsidRPr="001A035A">
              <w:rPr>
                <w:rFonts w:hint="cs"/>
                <w:rtl/>
              </w:rPr>
              <w:t xml:space="preserve"> חוק מידע גנטי, התשס"א</w:t>
            </w:r>
            <w:r w:rsidRPr="001A035A">
              <w:rPr>
                <w:rtl/>
              </w:rPr>
              <w:t>–</w:t>
            </w:r>
            <w:r w:rsidRPr="001A035A">
              <w:rPr>
                <w:rFonts w:hint="cs"/>
                <w:rtl/>
              </w:rPr>
              <w:t>2000</w:t>
            </w:r>
            <w:r w:rsidRPr="001A035A">
              <w:rPr>
                <w:sz w:val="26"/>
                <w:vertAlign w:val="superscript"/>
                <w:rtl/>
              </w:rPr>
              <w:footnoteReference w:id="3"/>
            </w:r>
            <w:r w:rsidRPr="001A035A">
              <w:rPr>
                <w:rFonts w:hint="cs"/>
                <w:rtl/>
              </w:rPr>
              <w:t>;</w:t>
            </w:r>
          </w:p>
        </w:tc>
      </w:tr>
      <w:tr w:rsidR="00CB3E6B" w14:paraId="470423C1" w14:textId="77777777" w:rsidTr="006D1B7D">
        <w:trPr>
          <w:cantSplit/>
          <w:trHeight w:val="60"/>
        </w:trPr>
        <w:tc>
          <w:tcPr>
            <w:tcW w:w="1870" w:type="dxa"/>
          </w:tcPr>
          <w:p w14:paraId="114556DB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C21B792" w14:textId="77777777" w:rsidR="00CB3E6B" w:rsidRDefault="00CB3E6B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31F60AAC" w14:textId="01BB5802" w:rsidR="00CB3E6B" w:rsidRPr="001A035A" w:rsidRDefault="00CB3E6B" w:rsidP="001A035A">
            <w:pPr>
              <w:pStyle w:val="TableBlockOutdent"/>
            </w:pPr>
            <w:r w:rsidRPr="001A035A">
              <w:rPr>
                <w:rFonts w:hint="cs"/>
                <w:rtl/>
              </w:rPr>
              <w:t>"מנוח"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 w:rsidRPr="001A035A">
              <w:rPr>
                <w:rFonts w:hint="cs"/>
                <w:rtl/>
              </w:rPr>
              <w:t xml:space="preserve"> אחד מאלה</w:t>
            </w:r>
            <w:r>
              <w:rPr>
                <w:rFonts w:hint="cs"/>
                <w:rtl/>
              </w:rPr>
              <w:t>:</w:t>
            </w:r>
          </w:p>
        </w:tc>
      </w:tr>
      <w:tr w:rsidR="00CB3E6B" w14:paraId="72C3C234" w14:textId="77777777" w:rsidTr="00A51175">
        <w:trPr>
          <w:cantSplit/>
          <w:trHeight w:val="60"/>
        </w:trPr>
        <w:tc>
          <w:tcPr>
            <w:tcW w:w="1870" w:type="dxa"/>
          </w:tcPr>
          <w:p w14:paraId="7AE1E77B" w14:textId="77777777" w:rsidR="00CB3E6B" w:rsidRDefault="00CB3E6B">
            <w:pPr>
              <w:pStyle w:val="TableSideHeading"/>
            </w:pPr>
          </w:p>
        </w:tc>
        <w:tc>
          <w:tcPr>
            <w:tcW w:w="624" w:type="dxa"/>
          </w:tcPr>
          <w:p w14:paraId="477A594A" w14:textId="77777777" w:rsidR="00CB3E6B" w:rsidRDefault="00CB3E6B">
            <w:pPr>
              <w:pStyle w:val="TableText"/>
            </w:pPr>
          </w:p>
        </w:tc>
        <w:tc>
          <w:tcPr>
            <w:tcW w:w="624" w:type="dxa"/>
          </w:tcPr>
          <w:p w14:paraId="3BC03AA2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1496A850" w14:textId="27253DF0" w:rsidR="00CB3E6B" w:rsidRDefault="00CB3E6B" w:rsidP="001A035A">
            <w:pPr>
              <w:pStyle w:val="TableBlock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קטין אשר קיים רישום במרשם האוכלוסין או קיימת תעודת פטירה הקובע כי נפטר בשנים 1948 עד 1970;</w:t>
            </w:r>
          </w:p>
        </w:tc>
      </w:tr>
      <w:tr w:rsidR="00CB3E6B" w14:paraId="314B50AF" w14:textId="77777777" w:rsidTr="00B23F2C">
        <w:trPr>
          <w:cantSplit/>
          <w:trHeight w:val="60"/>
        </w:trPr>
        <w:tc>
          <w:tcPr>
            <w:tcW w:w="1870" w:type="dxa"/>
          </w:tcPr>
          <w:p w14:paraId="5EB4CF49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5981164F" w14:textId="77777777" w:rsidR="00CB3E6B" w:rsidRDefault="00CB3E6B" w:rsidP="00830235">
            <w:pPr>
              <w:pStyle w:val="TableText"/>
            </w:pPr>
          </w:p>
        </w:tc>
        <w:tc>
          <w:tcPr>
            <w:tcW w:w="624" w:type="dxa"/>
          </w:tcPr>
          <w:p w14:paraId="4841B907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48BA61EB" w14:textId="1C369C1D" w:rsidR="00CB3E6B" w:rsidRDefault="00CB3E6B" w:rsidP="001A03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קטין בן למשפחה יוצאת תימן, המזרח או הבלקן, אשר הודעה על מותו נמסרה למשפחתו על ידי מוסד רפואי או גוף ציבורי אחר בשנים 1948 עד 1970;</w:t>
            </w:r>
          </w:p>
        </w:tc>
      </w:tr>
      <w:tr w:rsidR="00CB3E6B" w14:paraId="3D16699D" w14:textId="77777777" w:rsidTr="00916096">
        <w:trPr>
          <w:cantSplit/>
          <w:trHeight w:val="60"/>
        </w:trPr>
        <w:tc>
          <w:tcPr>
            <w:tcW w:w="1870" w:type="dxa"/>
          </w:tcPr>
          <w:p w14:paraId="456A991B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25807D16" w14:textId="77777777" w:rsidR="00CB3E6B" w:rsidRDefault="00CB3E6B" w:rsidP="00830235">
            <w:pPr>
              <w:pStyle w:val="TableText"/>
            </w:pPr>
          </w:p>
        </w:tc>
        <w:tc>
          <w:tcPr>
            <w:tcW w:w="624" w:type="dxa"/>
          </w:tcPr>
          <w:p w14:paraId="4D4B6FBC" w14:textId="77777777" w:rsidR="00CB3E6B" w:rsidRDefault="00CB3E6B">
            <w:pPr>
              <w:pStyle w:val="TableText"/>
            </w:pPr>
          </w:p>
        </w:tc>
        <w:tc>
          <w:tcPr>
            <w:tcW w:w="6520" w:type="dxa"/>
          </w:tcPr>
          <w:p w14:paraId="44604A7D" w14:textId="2B95E882" w:rsidR="00CB3E6B" w:rsidRDefault="00CB3E6B" w:rsidP="001A03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(3)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קטין אשר שמו מופיע בדוח של ועדה </w:t>
            </w:r>
            <w:r w:rsidRPr="006D0BA4">
              <w:rPr>
                <w:rFonts w:hint="cs"/>
                <w:rtl/>
              </w:rPr>
              <w:t>ציבורית שפעלה בעניין היעלמות ילדי תימן, המזרח והבלקן</w:t>
            </w:r>
            <w:r>
              <w:rPr>
                <w:rFonts w:hint="cs"/>
                <w:rtl/>
              </w:rPr>
              <w:t>;</w:t>
            </w:r>
          </w:p>
        </w:tc>
      </w:tr>
      <w:tr w:rsidR="00CB3E6B" w14:paraId="012DB37D" w14:textId="77777777" w:rsidTr="00FA4471">
        <w:trPr>
          <w:cantSplit/>
          <w:trHeight w:val="60"/>
        </w:trPr>
        <w:tc>
          <w:tcPr>
            <w:tcW w:w="1870" w:type="dxa"/>
          </w:tcPr>
          <w:p w14:paraId="04DC7098" w14:textId="77777777" w:rsidR="00CB3E6B" w:rsidRDefault="00CB3E6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17D823A7" w14:textId="77777777" w:rsidR="00CB3E6B" w:rsidRDefault="00CB3E6B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0171AE05" w14:textId="3EEEAC48" w:rsidR="00CB3E6B" w:rsidRPr="007755EA" w:rsidRDefault="00CB3E6B" w:rsidP="007755EA">
            <w:pPr>
              <w:pStyle w:val="TableBlock"/>
              <w:rPr>
                <w:rtl/>
              </w:rPr>
            </w:pPr>
            <w:r w:rsidRPr="007755EA">
              <w:rPr>
                <w:rFonts w:hint="cs"/>
                <w:rtl/>
              </w:rPr>
              <w:t xml:space="preserve">"קרוב" </w:t>
            </w:r>
            <w:r w:rsidRPr="007755EA">
              <w:rPr>
                <w:rFonts w:hint="eastAsia"/>
                <w:rtl/>
              </w:rPr>
              <w:t>–</w:t>
            </w:r>
            <w:r w:rsidRPr="007755EA">
              <w:rPr>
                <w:rFonts w:hint="cs"/>
                <w:rtl/>
              </w:rPr>
              <w:t xml:space="preserve"> הורהו של המנוח, אח</w:t>
            </w:r>
            <w:r>
              <w:rPr>
                <w:rFonts w:hint="cs"/>
                <w:rtl/>
              </w:rPr>
              <w:t>יו או אחותו וכן ילדיהם של האחים</w:t>
            </w:r>
            <w:r w:rsidRPr="007755EA">
              <w:rPr>
                <w:rFonts w:hint="cs"/>
                <w:rtl/>
              </w:rPr>
              <w:t>.</w:t>
            </w:r>
          </w:p>
        </w:tc>
      </w:tr>
      <w:tr w:rsidR="00CB3E6B" w14:paraId="4E875C5A" w14:textId="77777777" w:rsidTr="00023770">
        <w:trPr>
          <w:cantSplit/>
          <w:trHeight w:val="60"/>
        </w:trPr>
        <w:tc>
          <w:tcPr>
            <w:tcW w:w="1870" w:type="dxa"/>
          </w:tcPr>
          <w:p w14:paraId="57450996" w14:textId="14580B15" w:rsidR="00CB3E6B" w:rsidRDefault="00CB3E6B">
            <w:pPr>
              <w:pStyle w:val="TableSideHeading"/>
            </w:pPr>
            <w:r>
              <w:rPr>
                <w:rFonts w:hint="cs"/>
                <w:sz w:val="26"/>
                <w:rtl/>
              </w:rPr>
              <w:t>צו לפתיחת קבר, הוצאת גופה מקברה וביצוע בדיקה גנטית לקשרי משפחה</w:t>
            </w:r>
          </w:p>
        </w:tc>
        <w:tc>
          <w:tcPr>
            <w:tcW w:w="624" w:type="dxa"/>
          </w:tcPr>
          <w:p w14:paraId="0E8DB090" w14:textId="01A173FC" w:rsidR="00CB3E6B" w:rsidRDefault="00CB3E6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4" w:type="dxa"/>
            <w:gridSpan w:val="2"/>
          </w:tcPr>
          <w:p w14:paraId="1A33C132" w14:textId="13695310" w:rsidR="00CB3E6B" w:rsidRDefault="00CB3E6B" w:rsidP="00E42878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(א)</w:t>
            </w:r>
            <w:r w:rsidR="000314D3">
              <w:rPr>
                <w:rtl/>
              </w:rPr>
              <w:tab/>
            </w:r>
            <w:r w:rsidRPr="000314D3">
              <w:rPr>
                <w:rFonts w:hint="cs"/>
                <w:rtl/>
              </w:rPr>
              <w:t xml:space="preserve">על אף האמור בכל דין, בית המשפט רשאי להורות, בצו, על פתיחת קבר והוצאת גופה </w:t>
            </w:r>
            <w:r w:rsidR="00E42878">
              <w:rPr>
                <w:rFonts w:hint="cs"/>
                <w:rtl/>
              </w:rPr>
              <w:t xml:space="preserve">של </w:t>
            </w:r>
            <w:r w:rsidR="00E42878" w:rsidRPr="009F6DF5">
              <w:rPr>
                <w:rFonts w:hint="cs"/>
                <w:rtl/>
              </w:rPr>
              <w:t xml:space="preserve">מנוח </w:t>
            </w:r>
            <w:r w:rsidRPr="009F6DF5">
              <w:rPr>
                <w:rFonts w:hint="cs"/>
                <w:rtl/>
              </w:rPr>
              <w:t>מקברה</w:t>
            </w:r>
            <w:r w:rsidRPr="000314D3">
              <w:rPr>
                <w:rFonts w:hint="cs"/>
                <w:rtl/>
              </w:rPr>
              <w:t xml:space="preserve"> לצורך עריכת בדיקה גנטית לקשרי משפחה בהתקיים כל</w:t>
            </w:r>
            <w:r>
              <w:rPr>
                <w:rFonts w:hint="cs"/>
                <w:rtl/>
              </w:rPr>
              <w:t xml:space="preserve"> אלה:</w:t>
            </w:r>
          </w:p>
        </w:tc>
      </w:tr>
      <w:tr w:rsidR="006C16AD" w14:paraId="38827A3E" w14:textId="77777777" w:rsidTr="00686CED">
        <w:trPr>
          <w:cantSplit/>
          <w:trHeight w:val="60"/>
        </w:trPr>
        <w:tc>
          <w:tcPr>
            <w:tcW w:w="1870" w:type="dxa"/>
          </w:tcPr>
          <w:p w14:paraId="29DB7877" w14:textId="77777777" w:rsidR="006C16AD" w:rsidRDefault="006C16A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3A94438" w14:textId="77777777" w:rsidR="006C16AD" w:rsidRDefault="006C16AD" w:rsidP="007214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6FAB141F" w14:textId="77777777" w:rsidR="006C16AD" w:rsidRDefault="006C16AD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</w:tcPr>
          <w:p w14:paraId="7683C752" w14:textId="36871850" w:rsidR="006C16AD" w:rsidRPr="006C16AD" w:rsidRDefault="006C16AD" w:rsidP="006C16AD">
            <w:pPr>
              <w:pStyle w:val="TableBlock"/>
              <w:rPr>
                <w:rtl/>
              </w:rPr>
            </w:pPr>
            <w:r w:rsidRPr="006C16AD"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 xml:space="preserve">הבקשה </w:t>
            </w:r>
            <w:r w:rsidR="005F012F">
              <w:rPr>
                <w:rFonts w:hint="cs"/>
                <w:rtl/>
              </w:rPr>
              <w:t xml:space="preserve">למתן הצו </w:t>
            </w:r>
            <w:r w:rsidRPr="006C16AD">
              <w:rPr>
                <w:rFonts w:hint="cs"/>
                <w:rtl/>
              </w:rPr>
              <w:t>הוגשה על ידי קרובו של המנוח שחלקת הקבר המיועדת לפתיחה מיוחסת אליו;</w:t>
            </w:r>
          </w:p>
        </w:tc>
      </w:tr>
      <w:tr w:rsidR="006C16AD" w14:paraId="4E7A6890" w14:textId="77777777" w:rsidTr="00B327A5">
        <w:trPr>
          <w:cantSplit/>
          <w:trHeight w:val="1015"/>
        </w:trPr>
        <w:tc>
          <w:tcPr>
            <w:tcW w:w="1870" w:type="dxa"/>
          </w:tcPr>
          <w:p w14:paraId="57762253" w14:textId="77777777" w:rsidR="006C16AD" w:rsidRDefault="006C16AD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6A0FB838" w14:textId="77777777" w:rsidR="006C16AD" w:rsidRDefault="006C16AD" w:rsidP="007214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</w:tcPr>
          <w:p w14:paraId="781B3606" w14:textId="77777777" w:rsidR="006C16AD" w:rsidRDefault="006C16AD">
            <w:pPr>
              <w:pStyle w:val="TableText"/>
              <w:rPr>
                <w:rtl/>
              </w:rPr>
            </w:pPr>
          </w:p>
        </w:tc>
        <w:tc>
          <w:tcPr>
            <w:tcW w:w="6520" w:type="dxa"/>
          </w:tcPr>
          <w:p w14:paraId="2D707662" w14:textId="7D88FD3C" w:rsidR="006C16AD" w:rsidRPr="006C16AD" w:rsidRDefault="006C16AD" w:rsidP="006C16AD">
            <w:pPr>
              <w:pStyle w:val="TableBlock"/>
              <w:rPr>
                <w:rtl/>
              </w:rPr>
            </w:pPr>
            <w:r w:rsidRPr="006C16AD"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 w:rsidRPr="006C16AD">
              <w:rPr>
                <w:rFonts w:hint="cs"/>
                <w:rtl/>
              </w:rPr>
              <w:t>בית המשפט מצא, בהתאם למסמכים שהונחו בפניו, כי קיים ספק ממשי בדבר זהותה של הגופה הקבורה בקבר שלגביו הוגשה הבקשה.</w:t>
            </w:r>
          </w:p>
        </w:tc>
      </w:tr>
      <w:tr w:rsidR="004635DE" w14:paraId="45069783" w14:textId="77777777" w:rsidTr="00C67C0C">
        <w:trPr>
          <w:cantSplit/>
          <w:trHeight w:val="60"/>
        </w:trPr>
        <w:tc>
          <w:tcPr>
            <w:tcW w:w="1870" w:type="dxa"/>
          </w:tcPr>
          <w:p w14:paraId="42369E5A" w14:textId="77777777" w:rsidR="004635DE" w:rsidRDefault="004635D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4465B2A5" w14:textId="77777777" w:rsidR="004635DE" w:rsidRDefault="004635DE">
            <w:pPr>
              <w:pStyle w:val="TableText"/>
            </w:pPr>
          </w:p>
        </w:tc>
        <w:tc>
          <w:tcPr>
            <w:tcW w:w="7144" w:type="dxa"/>
            <w:gridSpan w:val="2"/>
            <w:hideMark/>
          </w:tcPr>
          <w:p w14:paraId="20CF1FE0" w14:textId="740819FD" w:rsidR="004635DE" w:rsidRDefault="004635DE" w:rsidP="005F012F">
            <w:pPr>
              <w:pStyle w:val="TableText"/>
              <w:ind w:right="0"/>
              <w:jc w:val="both"/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>בבואו לתת צו לפי סעיף קטן (א), ישקול בית המשפט</w:t>
            </w:r>
            <w:r w:rsidRPr="004635DE">
              <w:rPr>
                <w:rFonts w:hint="cs"/>
                <w:rtl/>
              </w:rPr>
              <w:t>, בין היתר, את ההשפעה שעשויה להיות</w:t>
            </w:r>
            <w:r w:rsidR="00ED504C">
              <w:rPr>
                <w:rFonts w:hint="cs"/>
                <w:rtl/>
              </w:rPr>
              <w:t xml:space="preserve"> לפתיחת הקבר והוצאת הגופה כאמור בסעיף קטן (א)</w:t>
            </w:r>
            <w:r w:rsidRPr="004635DE">
              <w:rPr>
                <w:rFonts w:hint="cs"/>
                <w:rtl/>
              </w:rPr>
              <w:t xml:space="preserve"> על נפטר</w:t>
            </w:r>
            <w:r w:rsidR="006D59DB">
              <w:rPr>
                <w:rFonts w:hint="cs"/>
                <w:rtl/>
              </w:rPr>
              <w:t xml:space="preserve">ים אחרים הקבורים באותה חלקה או </w:t>
            </w:r>
            <w:r w:rsidRPr="004635DE">
              <w:rPr>
                <w:rFonts w:hint="cs"/>
                <w:rtl/>
              </w:rPr>
              <w:t>בסמיכות למנוח ו</w:t>
            </w:r>
            <w:r w:rsidR="005F012F">
              <w:rPr>
                <w:rFonts w:hint="cs"/>
                <w:rtl/>
              </w:rPr>
              <w:t xml:space="preserve">את </w:t>
            </w:r>
            <w:r w:rsidRPr="004635DE">
              <w:rPr>
                <w:rFonts w:hint="cs"/>
                <w:rtl/>
              </w:rPr>
              <w:t>הפגיעה שעשויה להיגרם לבני המשפחה של אותם נפטרים.</w:t>
            </w:r>
          </w:p>
        </w:tc>
      </w:tr>
      <w:tr w:rsidR="004635DE" w14:paraId="3E98C97D" w14:textId="77777777" w:rsidTr="00011FB4">
        <w:trPr>
          <w:cantSplit/>
          <w:trHeight w:val="60"/>
        </w:trPr>
        <w:tc>
          <w:tcPr>
            <w:tcW w:w="1870" w:type="dxa"/>
          </w:tcPr>
          <w:p w14:paraId="69747B89" w14:textId="77777777" w:rsidR="004635DE" w:rsidRDefault="004635DE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</w:tcPr>
          <w:p w14:paraId="34B41A80" w14:textId="77777777" w:rsidR="004635DE" w:rsidRDefault="004635DE" w:rsidP="001A7B45">
            <w:pPr>
              <w:pStyle w:val="TableText"/>
            </w:pPr>
          </w:p>
        </w:tc>
        <w:tc>
          <w:tcPr>
            <w:tcW w:w="7144" w:type="dxa"/>
            <w:gridSpan w:val="2"/>
          </w:tcPr>
          <w:p w14:paraId="742B5CEC" w14:textId="46DD5B60" w:rsidR="004635DE" w:rsidRDefault="004635DE" w:rsidP="00E42878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  <w:t xml:space="preserve">לצו </w:t>
            </w:r>
            <w:r w:rsidR="00E42878">
              <w:rPr>
                <w:rFonts w:hint="cs"/>
                <w:rtl/>
              </w:rPr>
              <w:t xml:space="preserve">כאמור בסעיף קטן (א) </w:t>
            </w:r>
            <w:r>
              <w:rPr>
                <w:rFonts w:hint="cs"/>
                <w:rtl/>
              </w:rPr>
              <w:t xml:space="preserve">יצורפו </w:t>
            </w:r>
            <w:r w:rsidRPr="004635DE">
              <w:rPr>
                <w:rtl/>
              </w:rPr>
              <w:t xml:space="preserve">פרטי </w:t>
            </w:r>
            <w:r w:rsidRPr="004635DE">
              <w:rPr>
                <w:rFonts w:hint="cs"/>
                <w:rtl/>
              </w:rPr>
              <w:t>המכונים הגנטיים והמעבדות לבדיקה גנטית שהוכרו לפי סעיף 28ז(ב</w:t>
            </w:r>
            <w:r>
              <w:rPr>
                <w:rFonts w:hint="cs"/>
                <w:rtl/>
              </w:rPr>
              <w:t>) לחוק מידע גנטי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  <w:tr w:rsidR="00C26C28" w14:paraId="15B40C22" w14:textId="77777777" w:rsidTr="000A7C94">
        <w:trPr>
          <w:cantSplit/>
          <w:trHeight w:val="2353"/>
        </w:trPr>
        <w:tc>
          <w:tcPr>
            <w:tcW w:w="1870" w:type="dxa"/>
            <w:hideMark/>
          </w:tcPr>
          <w:p w14:paraId="6E50B6B4" w14:textId="5AF57D4A" w:rsidR="00C26C28" w:rsidRDefault="00C26C28" w:rsidP="001A7B45">
            <w:pPr>
              <w:pStyle w:val="TableSideHeading"/>
              <w:rPr>
                <w:rtl/>
              </w:rPr>
            </w:pPr>
            <w:r>
              <w:rPr>
                <w:rFonts w:hint="cs"/>
                <w:sz w:val="26"/>
                <w:rtl/>
              </w:rPr>
              <w:lastRenderedPageBreak/>
              <w:t>הגשת בקשה לפתיחת קבר, הוצאת גופה מקברה וביצוע ב</w:t>
            </w:r>
            <w:r w:rsidR="001A7B45">
              <w:rPr>
                <w:rFonts w:hint="cs"/>
                <w:sz w:val="26"/>
                <w:rtl/>
              </w:rPr>
              <w:t>דיקה גנטית</w:t>
            </w:r>
            <w:r>
              <w:rPr>
                <w:rFonts w:hint="cs"/>
                <w:sz w:val="26"/>
                <w:rtl/>
              </w:rPr>
              <w:t xml:space="preserve"> לקשרי משפחה</w:t>
            </w:r>
          </w:p>
        </w:tc>
        <w:tc>
          <w:tcPr>
            <w:tcW w:w="624" w:type="dxa"/>
            <w:hideMark/>
          </w:tcPr>
          <w:p w14:paraId="297E156C" w14:textId="06FD5154" w:rsidR="00C26C28" w:rsidRDefault="003D3927">
            <w:pPr>
              <w:pStyle w:val="TableText"/>
            </w:pPr>
            <w:r>
              <w:rPr>
                <w:rFonts w:hint="cs"/>
                <w:rtl/>
              </w:rPr>
              <w:t>4</w:t>
            </w:r>
            <w:r w:rsidR="00C26C28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  <w:hideMark/>
          </w:tcPr>
          <w:p w14:paraId="650897CA" w14:textId="51667652" w:rsidR="00C26C28" w:rsidRDefault="001A7B45" w:rsidP="003D3927">
            <w:pPr>
              <w:pStyle w:val="TableBlock"/>
            </w:pPr>
            <w:r>
              <w:rPr>
                <w:rFonts w:hint="cs"/>
                <w:sz w:val="26"/>
                <w:rtl/>
              </w:rPr>
              <w:t>ל</w:t>
            </w:r>
            <w:r w:rsidR="00C26C28">
              <w:rPr>
                <w:rFonts w:hint="cs"/>
                <w:sz w:val="26"/>
                <w:rtl/>
              </w:rPr>
              <w:t xml:space="preserve">בקשה לפתיחת קבר, הוצאת גופה מקברה ועריכת בדיקה גנטית לקשרי משפחה לפי חוק זה, </w:t>
            </w:r>
            <w:r w:rsidR="00FE7CD7">
              <w:rPr>
                <w:rFonts w:hint="cs"/>
                <w:sz w:val="26"/>
                <w:rtl/>
              </w:rPr>
              <w:t>יצורפו</w:t>
            </w:r>
            <w:r w:rsidR="00C26C28">
              <w:rPr>
                <w:rFonts w:hint="cs"/>
                <w:sz w:val="26"/>
                <w:rtl/>
              </w:rPr>
              <w:t xml:space="preserve"> מסמכים התומכים בקיומו של ספק בדבר זהותה של הגופה הקבורה בקבר שלגביו הוגשה הבקשה</w:t>
            </w:r>
            <w:r w:rsidR="003D3927">
              <w:rPr>
                <w:rFonts w:hint="cs"/>
                <w:sz w:val="26"/>
                <w:rtl/>
              </w:rPr>
              <w:t>;</w:t>
            </w:r>
            <w:r w:rsidR="00C26C28">
              <w:rPr>
                <w:rFonts w:hint="cs"/>
                <w:sz w:val="26"/>
                <w:rtl/>
              </w:rPr>
              <w:t xml:space="preserve"> לעניין זה</w:t>
            </w:r>
            <w:r w:rsidR="003D3927">
              <w:rPr>
                <w:rFonts w:hint="cs"/>
                <w:sz w:val="26"/>
                <w:rtl/>
              </w:rPr>
              <w:t>,</w:t>
            </w:r>
            <w:r w:rsidR="00C26C28">
              <w:rPr>
                <w:rFonts w:hint="cs"/>
                <w:sz w:val="26"/>
                <w:rtl/>
              </w:rPr>
              <w:t xml:space="preserve"> "מסמכים"</w:t>
            </w:r>
            <w:r w:rsidR="003D3927">
              <w:rPr>
                <w:rFonts w:hint="cs"/>
                <w:sz w:val="26"/>
                <w:rtl/>
              </w:rPr>
              <w:t xml:space="preserve"> </w:t>
            </w:r>
            <w:r w:rsidR="003D3927">
              <w:rPr>
                <w:rFonts w:hint="eastAsia"/>
                <w:sz w:val="26"/>
                <w:rtl/>
              </w:rPr>
              <w:t>–</w:t>
            </w:r>
            <w:r w:rsidR="003D3927">
              <w:rPr>
                <w:rFonts w:hint="cs"/>
                <w:sz w:val="26"/>
                <w:rtl/>
              </w:rPr>
              <w:t xml:space="preserve"> </w:t>
            </w:r>
            <w:r w:rsidR="00C26C28">
              <w:rPr>
                <w:rFonts w:hint="cs"/>
                <w:sz w:val="26"/>
                <w:rtl/>
              </w:rPr>
              <w:t>לרבות תצהיר</w:t>
            </w:r>
            <w:r w:rsidR="00D67618">
              <w:rPr>
                <w:rFonts w:hint="cs"/>
                <w:sz w:val="26"/>
                <w:rtl/>
              </w:rPr>
              <w:t>.</w:t>
            </w:r>
            <w:r w:rsidR="00C26C28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D67618" w14:paraId="0E2CB113" w14:textId="77777777" w:rsidTr="00D67618">
        <w:trPr>
          <w:cantSplit/>
          <w:trHeight w:val="822"/>
        </w:trPr>
        <w:tc>
          <w:tcPr>
            <w:tcW w:w="1870" w:type="dxa"/>
          </w:tcPr>
          <w:p w14:paraId="5F54C340" w14:textId="44DB32EE" w:rsidR="00D67618" w:rsidRDefault="00D67618" w:rsidP="001A7B45">
            <w:pPr>
              <w:pStyle w:val="TableSideHeading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תחולת הוראות מחוק מידע גנטי</w:t>
            </w:r>
          </w:p>
        </w:tc>
        <w:tc>
          <w:tcPr>
            <w:tcW w:w="624" w:type="dxa"/>
          </w:tcPr>
          <w:p w14:paraId="51D34491" w14:textId="02B8F9C1" w:rsidR="00D67618" w:rsidRDefault="003D3927" w:rsidP="00D67618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5</w:t>
            </w:r>
            <w:r w:rsidR="00D67618">
              <w:rPr>
                <w:rFonts w:hint="cs"/>
                <w:rtl/>
              </w:rPr>
              <w:t>.</w:t>
            </w:r>
          </w:p>
        </w:tc>
        <w:tc>
          <w:tcPr>
            <w:tcW w:w="7144" w:type="dxa"/>
            <w:gridSpan w:val="2"/>
          </w:tcPr>
          <w:p w14:paraId="30FA521B" w14:textId="62D612B6" w:rsidR="00D67618" w:rsidRDefault="00D67618" w:rsidP="00D67618">
            <w:pPr>
              <w:pStyle w:val="TableBlock"/>
              <w:rPr>
                <w:sz w:val="26"/>
                <w:rtl/>
              </w:rPr>
            </w:pPr>
            <w:r>
              <w:rPr>
                <w:rFonts w:hint="cs"/>
                <w:rtl/>
              </w:rPr>
              <w:t>על בקשה לעריכת בדיקה גנטית לקשרי משפחה לפי חוק זה יחול פרק ה</w:t>
            </w:r>
            <w:r w:rsidR="003D3927">
              <w:rPr>
                <w:rFonts w:hint="cs"/>
                <w:rtl/>
              </w:rPr>
              <w:t>'</w:t>
            </w:r>
            <w:r>
              <w:rPr>
                <w:rFonts w:hint="cs"/>
                <w:rtl/>
              </w:rPr>
              <w:t>1 לחוק מידע גנטי</w:t>
            </w:r>
            <w:r>
              <w:rPr>
                <w:rFonts w:hint="cs"/>
                <w:sz w:val="26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F6961CB" w14:textId="3636F538" w:rsidR="00E13C27" w:rsidRDefault="00567FD7" w:rsidP="00E84D84">
      <w:pPr>
        <w:pStyle w:val="Hesber"/>
        <w:rPr>
          <w:rtl/>
        </w:rPr>
      </w:pPr>
      <w:r>
        <w:rPr>
          <w:rFonts w:hint="cs"/>
          <w:rtl/>
        </w:rPr>
        <w:t xml:space="preserve">פרשת ילדי תימן, המזרח והבלקן היא פרשת חטיפתם והיעלמותם של אלפי </w:t>
      </w:r>
      <w:r w:rsidR="007F343F">
        <w:rPr>
          <w:rFonts w:hint="cs"/>
          <w:rtl/>
        </w:rPr>
        <w:t xml:space="preserve">פעוטות וילדים </w:t>
      </w:r>
      <w:r w:rsidR="003833B3">
        <w:rPr>
          <w:rFonts w:hint="cs"/>
          <w:rtl/>
        </w:rPr>
        <w:t>מקרב משפחות עולים חדשים מ</w:t>
      </w:r>
      <w:r>
        <w:rPr>
          <w:rFonts w:hint="cs"/>
          <w:rtl/>
        </w:rPr>
        <w:t xml:space="preserve">תימן, מזרח והבלקן, </w:t>
      </w:r>
      <w:r w:rsidR="00E84D84">
        <w:rPr>
          <w:rFonts w:hint="cs"/>
          <w:rtl/>
        </w:rPr>
        <w:t>ב</w:t>
      </w:r>
      <w:r>
        <w:rPr>
          <w:rFonts w:hint="cs"/>
          <w:rtl/>
        </w:rPr>
        <w:t xml:space="preserve">שנים 1948 </w:t>
      </w:r>
      <w:r w:rsidR="003833B3">
        <w:rPr>
          <w:rFonts w:hint="cs"/>
          <w:rtl/>
        </w:rPr>
        <w:t>עד</w:t>
      </w:r>
      <w:r>
        <w:rPr>
          <w:rFonts w:hint="cs"/>
          <w:rtl/>
        </w:rPr>
        <w:t xml:space="preserve"> </w:t>
      </w:r>
      <w:r w:rsidR="007F343F">
        <w:rPr>
          <w:rFonts w:hint="cs"/>
          <w:rtl/>
        </w:rPr>
        <w:t>אמצע שנות ה-60 (מעדויות נוספות שעלו לאחרונה עולה כי הפרשה</w:t>
      </w:r>
      <w:r w:rsidR="006951F4">
        <w:rPr>
          <w:rFonts w:hint="cs"/>
          <w:rtl/>
        </w:rPr>
        <w:t xml:space="preserve"> לכאורה</w:t>
      </w:r>
      <w:r w:rsidR="007F343F">
        <w:rPr>
          <w:rFonts w:hint="cs"/>
          <w:rtl/>
        </w:rPr>
        <w:t xml:space="preserve"> התרחשה גם לאחר מכן</w:t>
      </w:r>
      <w:r w:rsidR="00E84D84">
        <w:rPr>
          <w:rFonts w:hint="cs"/>
          <w:rtl/>
        </w:rPr>
        <w:t>,</w:t>
      </w:r>
      <w:r w:rsidR="007F343F">
        <w:rPr>
          <w:rFonts w:hint="cs"/>
          <w:rtl/>
        </w:rPr>
        <w:t xml:space="preserve"> </w:t>
      </w:r>
      <w:r w:rsidR="00E84D84">
        <w:rPr>
          <w:rFonts w:hint="cs"/>
          <w:rtl/>
        </w:rPr>
        <w:t xml:space="preserve">עד </w:t>
      </w:r>
      <w:r w:rsidR="007F343F">
        <w:rPr>
          <w:rFonts w:hint="cs"/>
          <w:rtl/>
        </w:rPr>
        <w:t>שנות ה-80).</w:t>
      </w:r>
    </w:p>
    <w:p w14:paraId="04FD4395" w14:textId="38F1B104" w:rsidR="00896363" w:rsidRPr="00896363" w:rsidRDefault="00E84D84" w:rsidP="00896363">
      <w:pPr>
        <w:pStyle w:val="Hesber"/>
        <w:ind w:firstLine="0"/>
        <w:rPr>
          <w:snapToGrid/>
        </w:rPr>
      </w:pPr>
      <w:r>
        <w:rPr>
          <w:rFonts w:hint="cs"/>
          <w:snapToGrid/>
          <w:rtl/>
        </w:rPr>
        <w:t xml:space="preserve">שלוש </w:t>
      </w:r>
      <w:r w:rsidR="00896363" w:rsidRPr="00896363">
        <w:rPr>
          <w:rFonts w:hint="cs"/>
          <w:snapToGrid/>
          <w:rtl/>
        </w:rPr>
        <w:t>ועדות שונות מונו בעבר על ידי המדינה ב</w:t>
      </w:r>
      <w:r w:rsidR="00B510CA">
        <w:rPr>
          <w:rFonts w:hint="cs"/>
          <w:snapToGrid/>
          <w:rtl/>
        </w:rPr>
        <w:t xml:space="preserve">מטרה לחקור את פרשת היעלמותם של </w:t>
      </w:r>
      <w:r w:rsidR="00896363" w:rsidRPr="00896363">
        <w:rPr>
          <w:rFonts w:hint="cs"/>
          <w:snapToGrid/>
          <w:rtl/>
        </w:rPr>
        <w:t xml:space="preserve">ילדי תימן, מזרח והבלקן: </w:t>
      </w:r>
    </w:p>
    <w:p w14:paraId="03165EC2" w14:textId="532B9284" w:rsidR="00896363" w:rsidRPr="00E84D84" w:rsidRDefault="00896363" w:rsidP="00E84D84">
      <w:pPr>
        <w:pStyle w:val="ae"/>
        <w:numPr>
          <w:ilvl w:val="0"/>
          <w:numId w:val="20"/>
        </w:numPr>
        <w:tabs>
          <w:tab w:val="left" w:pos="0"/>
        </w:tabs>
        <w:overflowPunct/>
        <w:autoSpaceDE/>
        <w:autoSpaceDN/>
        <w:adjustRightInd/>
        <w:jc w:val="both"/>
        <w:rPr>
          <w:rFonts w:ascii="Arial" w:eastAsia="Arial Unicode MS" w:hAnsi="Arial" w:cs="David"/>
          <w:snapToGrid w:val="0"/>
          <w:color w:val="000000"/>
          <w:rtl/>
          <w:lang w:eastAsia="ja-JP"/>
        </w:rPr>
      </w:pPr>
      <w:r w:rsidRP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>ועדת בהלול-מינקובסקי</w:t>
      </w:r>
      <w:r w:rsidR="00E84D84" w:rsidRP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 xml:space="preserve"> </w:t>
      </w:r>
      <w:r w:rsidR="00E84D84" w:rsidRPr="00E84D84">
        <w:rPr>
          <w:rFonts w:ascii="Arial" w:eastAsia="Arial Unicode MS" w:hAnsi="Arial" w:cs="David" w:hint="eastAsia"/>
          <w:snapToGrid w:val="0"/>
          <w:color w:val="000000"/>
          <w:rtl/>
          <w:lang w:eastAsia="ja-JP"/>
        </w:rPr>
        <w:t>–</w:t>
      </w:r>
      <w:r w:rsid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 xml:space="preserve"> ועדה בין-משרדית (משרד</w:t>
      </w:r>
      <w:r w:rsidRP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 xml:space="preserve"> המשפטים ו</w:t>
      </w:r>
      <w:r w:rsid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 xml:space="preserve">משרד </w:t>
      </w:r>
      <w:r w:rsidRPr="00E84D84">
        <w:rPr>
          <w:rFonts w:ascii="Arial" w:eastAsia="Arial Unicode MS" w:hAnsi="Arial" w:cs="David" w:hint="cs"/>
          <w:snapToGrid w:val="0"/>
          <w:color w:val="000000"/>
          <w:rtl/>
          <w:lang w:eastAsia="ja-JP"/>
        </w:rPr>
        <w:t>המשטרה) שהוקמה בשנת 1967 וסיימה את פעילותה בשנת 1968 ;</w:t>
      </w:r>
    </w:p>
    <w:p w14:paraId="0C3DF1BA" w14:textId="2AF33CAA" w:rsidR="00896363" w:rsidRPr="00E84D84" w:rsidRDefault="00896363" w:rsidP="00BC584F">
      <w:pPr>
        <w:widowControl/>
        <w:numPr>
          <w:ilvl w:val="0"/>
          <w:numId w:val="20"/>
        </w:numPr>
        <w:tabs>
          <w:tab w:val="left" w:pos="0"/>
        </w:tabs>
        <w:autoSpaceDE/>
        <w:autoSpaceDN/>
        <w:adjustRightInd/>
        <w:spacing w:before="0" w:line="360" w:lineRule="auto"/>
        <w:textAlignment w:val="auto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ועדת שלגי</w:t>
      </w:r>
      <w:r w:rsid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E84D84">
        <w:rPr>
          <w:rFonts w:ascii="Arial" w:eastAsia="Arial Unicode MS" w:hAnsi="Arial" w:cs="David" w:hint="eastAsia"/>
          <w:snapToGrid w:val="0"/>
          <w:spacing w:val="0"/>
          <w:sz w:val="20"/>
          <w:szCs w:val="26"/>
          <w:rtl/>
        </w:rPr>
        <w:t>–</w:t>
      </w:r>
      <w:r w:rsidRP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ועדת בירור שהוקמה בספטמבר 1988 על פי חוק ועדות חקירה, התשכ"ט</w:t>
      </w:r>
      <w:r w:rsidR="00BC584F">
        <w:rPr>
          <w:rFonts w:ascii="Arial" w:eastAsia="Arial Unicode MS" w:hAnsi="Arial" w:cs="David" w:hint="eastAsia"/>
          <w:snapToGrid w:val="0"/>
          <w:spacing w:val="0"/>
          <w:sz w:val="20"/>
          <w:szCs w:val="26"/>
          <w:rtl/>
        </w:rPr>
        <w:t>–</w:t>
      </w:r>
      <w:r w:rsidRP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1968,  והגישה </w:t>
      </w:r>
      <w:r w:rsidR="00BC584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את מסקנותיה לאחר כשנה בשנת 1969;</w:t>
      </w:r>
    </w:p>
    <w:p w14:paraId="3F6F175B" w14:textId="73894A7A" w:rsidR="00896363" w:rsidRPr="00896363" w:rsidRDefault="00896363" w:rsidP="00BC584F">
      <w:pPr>
        <w:widowControl/>
        <w:numPr>
          <w:ilvl w:val="0"/>
          <w:numId w:val="20"/>
        </w:numPr>
        <w:tabs>
          <w:tab w:val="left" w:pos="0"/>
        </w:tabs>
        <w:autoSpaceDE/>
        <w:autoSpaceDN/>
        <w:adjustRightInd/>
        <w:spacing w:before="0" w:line="360" w:lineRule="auto"/>
        <w:textAlignment w:val="auto"/>
        <w:rPr>
          <w:rFonts w:ascii="Arial" w:eastAsia="Arial Unicode MS" w:hAnsi="Arial" w:cs="David"/>
          <w:snapToGrid w:val="0"/>
          <w:spacing w:val="0"/>
          <w:sz w:val="20"/>
          <w:szCs w:val="26"/>
        </w:rPr>
      </w:pPr>
      <w:r w:rsidRP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ועדת החקירה הממלכתית כהן-קדמי</w:t>
      </w:r>
      <w:r w:rsidR="00BC584F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</w:t>
      </w:r>
      <w:r w:rsidR="00BC584F">
        <w:rPr>
          <w:rFonts w:ascii="Arial" w:eastAsia="Arial Unicode MS" w:hAnsi="Arial" w:cs="David" w:hint="eastAsia"/>
          <w:snapToGrid w:val="0"/>
          <w:spacing w:val="0"/>
          <w:sz w:val="20"/>
          <w:szCs w:val="26"/>
          <w:rtl/>
        </w:rPr>
        <w:t>–</w:t>
      </w:r>
      <w:r w:rsidRPr="00E84D84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 xml:space="preserve"> ועדת חקירה שהוקמה בינואר 1995 כשבראשה שופט בית המשפט העליון יהודה כהן. במחצית שנת 1999 פרש </w:t>
      </w:r>
      <w:r w:rsidRPr="00896363">
        <w:rPr>
          <w:rFonts w:ascii="Arial" w:eastAsia="Arial Unicode MS" w:hAnsi="Arial" w:cs="David" w:hint="cs"/>
          <w:snapToGrid w:val="0"/>
          <w:spacing w:val="0"/>
          <w:sz w:val="20"/>
          <w:szCs w:val="26"/>
          <w:rtl/>
        </w:rPr>
        <w:t>השופט כהן מטעמי בריאות מתפקידו ובמקומו מונה ביום 23 במרץ 1999 שופט בית המשפט העליון יעקב קדמי.  הוועדה הגישה דוח ביניים בשנת 1997 ואת מסקנותיה בשנת 2001 . על חומרי החקירה הוטל חיסיון בהוראת ממשלה עד שנת 2017.</w:t>
      </w:r>
    </w:p>
    <w:p w14:paraId="5F3BB343" w14:textId="62D747C7" w:rsidR="00896363" w:rsidRDefault="00896363" w:rsidP="00B510CA">
      <w:pPr>
        <w:pStyle w:val="Hesber"/>
        <w:rPr>
          <w:rtl/>
        </w:rPr>
      </w:pPr>
      <w:r w:rsidRPr="00896363">
        <w:rPr>
          <w:rFonts w:hint="cs"/>
          <w:rtl/>
        </w:rPr>
        <w:t>בהוראת הממשלה ובתמיכת הכנסת, חשף גנז המדינה לצי</w:t>
      </w:r>
      <w:r w:rsidR="00B510CA">
        <w:rPr>
          <w:rFonts w:hint="cs"/>
          <w:rtl/>
        </w:rPr>
        <w:t xml:space="preserve">בור את הפרוטוקולים והמסמכים של </w:t>
      </w:r>
      <w:r w:rsidRPr="00896363">
        <w:rPr>
          <w:rFonts w:hint="cs"/>
          <w:rtl/>
        </w:rPr>
        <w:t xml:space="preserve">ועדות החקירה בחודש נובמבר 2016. אז התברר למשפחות כי בלא מעט מקרים יש מסמכים שלא ניתנו למשפחות מלכתחילה. </w:t>
      </w:r>
      <w:r w:rsidR="00B510CA">
        <w:rPr>
          <w:rFonts w:hint="cs"/>
          <w:rtl/>
        </w:rPr>
        <w:t>כמו כן</w:t>
      </w:r>
      <w:r w:rsidR="002215A3">
        <w:rPr>
          <w:rFonts w:hint="cs"/>
          <w:rtl/>
        </w:rPr>
        <w:t>,</w:t>
      </w:r>
      <w:r w:rsidRPr="00896363">
        <w:rPr>
          <w:rFonts w:hint="cs"/>
          <w:rtl/>
        </w:rPr>
        <w:t xml:space="preserve"> התברר למשפחות כי יש סתירות ואי דיוקים בנתונים ובמסמכים עליהם הסתמכו בוועדות החקירה לשם קביעת מסקנותיהן. </w:t>
      </w:r>
    </w:p>
    <w:p w14:paraId="6AD7E98A" w14:textId="5DE3182A" w:rsidR="00A57423" w:rsidRDefault="00A57423" w:rsidP="006951F4">
      <w:pPr>
        <w:pStyle w:val="Hesber"/>
        <w:rPr>
          <w:rtl/>
        </w:rPr>
      </w:pPr>
      <w:r w:rsidRPr="00723EA7">
        <w:rPr>
          <w:rFonts w:hint="cs"/>
          <w:rtl/>
        </w:rPr>
        <w:t>על רקע זה הוקמה</w:t>
      </w:r>
      <w:r w:rsidR="00630D82">
        <w:rPr>
          <w:rFonts w:hint="cs"/>
          <w:rtl/>
        </w:rPr>
        <w:t xml:space="preserve"> על ידי הכנסת בפברואר 2017</w:t>
      </w:r>
      <w:r w:rsidRPr="00723EA7">
        <w:rPr>
          <w:rFonts w:hint="cs"/>
          <w:rtl/>
        </w:rPr>
        <w:t xml:space="preserve"> הוועדה המיוחדת לפרשת היעלמותם של ילדי תימן, מזרח והבלקן</w:t>
      </w:r>
      <w:r w:rsidR="006951F4">
        <w:rPr>
          <w:rFonts w:hint="cs"/>
          <w:rtl/>
        </w:rPr>
        <w:t xml:space="preserve">, שלה ניתנה הסמכות לדון, בין היתר, בפיקוח על פעילות הממשלה להגיע לחקר האמת בפרשה, מאגר </w:t>
      </w:r>
      <w:r w:rsidR="006951F4">
        <w:t>DNA</w:t>
      </w:r>
      <w:r w:rsidR="006951F4">
        <w:rPr>
          <w:rFonts w:hint="cs"/>
          <w:rtl/>
        </w:rPr>
        <w:t xml:space="preserve"> שעניינו התאמה בין קרובי משפחה בקשר לפרשה ואיתור קברים בהתאם לפרוטוקולים של הוועדות השונות שעסקו בכך.</w:t>
      </w:r>
      <w:r w:rsidR="00630D82">
        <w:rPr>
          <w:rFonts w:hint="cs"/>
          <w:rtl/>
        </w:rPr>
        <w:t xml:space="preserve"> </w:t>
      </w:r>
    </w:p>
    <w:p w14:paraId="034ED80B" w14:textId="5DF9FD95" w:rsidR="00723EA7" w:rsidRDefault="00401A69" w:rsidP="006241F5">
      <w:pPr>
        <w:pStyle w:val="Hesber"/>
        <w:rPr>
          <w:rtl/>
        </w:rPr>
      </w:pPr>
      <w:r>
        <w:rPr>
          <w:rFonts w:hint="cs"/>
          <w:rtl/>
        </w:rPr>
        <w:t xml:space="preserve">בתוך </w:t>
      </w:r>
      <w:r w:rsidR="00B510CA">
        <w:rPr>
          <w:rFonts w:hint="cs"/>
          <w:rtl/>
        </w:rPr>
        <w:t xml:space="preserve">כך התברר כי </w:t>
      </w:r>
      <w:r w:rsidR="00723EA7">
        <w:rPr>
          <w:rFonts w:hint="cs"/>
          <w:rtl/>
        </w:rPr>
        <w:t>ועדות החקירה שחקרו בעבר את הפרשה הגיעו למסקנה כי מר</w:t>
      </w:r>
      <w:r w:rsidR="00630D82">
        <w:rPr>
          <w:rFonts w:hint="cs"/>
          <w:rtl/>
        </w:rPr>
        <w:t>בית הילדים הנעלמים נפטרו. ההודעה על מות ילדם הגיעה למשפחות בדרך כלל מספר ימים לאחר המוות הנטען. הרוב המכריע של המשפח</w:t>
      </w:r>
      <w:r w:rsidR="006241F5">
        <w:rPr>
          <w:rFonts w:hint="cs"/>
          <w:rtl/>
        </w:rPr>
        <w:t>ות לא קיבלו לידיהן</w:t>
      </w:r>
      <w:r w:rsidR="00630D82">
        <w:rPr>
          <w:rFonts w:hint="cs"/>
          <w:rtl/>
        </w:rPr>
        <w:t xml:space="preserve"> את הגופה ולא נכחו בלוויה, שלגבי חלק מהילדים נטען שכבר קוימה</w:t>
      </w:r>
      <w:r w:rsidR="006241F5">
        <w:rPr>
          <w:rFonts w:hint="cs"/>
          <w:rtl/>
        </w:rPr>
        <w:t>.</w:t>
      </w:r>
      <w:r w:rsidR="00630D82">
        <w:rPr>
          <w:rFonts w:hint="cs"/>
          <w:rtl/>
        </w:rPr>
        <w:t xml:space="preserve"> </w:t>
      </w:r>
      <w:r w:rsidR="00723EA7">
        <w:rPr>
          <w:rFonts w:hint="cs"/>
          <w:rtl/>
        </w:rPr>
        <w:t>בחלק מהמקרים</w:t>
      </w:r>
      <w:r w:rsidR="00630D82">
        <w:rPr>
          <w:rFonts w:hint="cs"/>
          <w:rtl/>
        </w:rPr>
        <w:t xml:space="preserve"> קיבלה המשפחה ציון קבר. מהפרוטוקולים של ועדות החק</w:t>
      </w:r>
      <w:r w:rsidR="006241F5">
        <w:rPr>
          <w:rFonts w:hint="cs"/>
          <w:rtl/>
        </w:rPr>
        <w:t xml:space="preserve">ירה ומעדויות שהובאו בפני הוועדה עולה כי במקרים רבים קיימות סתירות בין ציון הקבר שנמסר למשפחה לבין זהות המנוח או </w:t>
      </w:r>
      <w:r w:rsidR="006241F5">
        <w:rPr>
          <w:rFonts w:hint="cs"/>
          <w:rtl/>
        </w:rPr>
        <w:lastRenderedPageBreak/>
        <w:t>לח</w:t>
      </w:r>
      <w:r w:rsidR="00B510CA">
        <w:rPr>
          <w:rFonts w:hint="cs"/>
          <w:rtl/>
        </w:rPr>
        <w:t>לופין, בין מועד פטירה של המנוח ו</w:t>
      </w:r>
      <w:r w:rsidR="006241F5">
        <w:rPr>
          <w:rFonts w:hint="cs"/>
          <w:rtl/>
        </w:rPr>
        <w:t xml:space="preserve">בין מועד הפטירה שנמסר לגבי מי שקבור באותו קבר. לחלק מהמשפחות נמסרו תעודות פטירה וציון קבר אך נתונים רשמיים מאוחרים שהתגלו העלו כי </w:t>
      </w:r>
      <w:r w:rsidR="00B510CA">
        <w:rPr>
          <w:rFonts w:hint="cs"/>
          <w:rtl/>
        </w:rPr>
        <w:t>י</w:t>
      </w:r>
      <w:r w:rsidR="006241F5">
        <w:rPr>
          <w:rFonts w:hint="cs"/>
          <w:rtl/>
        </w:rPr>
        <w:t>יתכן ובן משפחתם נמצא בין החיים לפי רשומות רשמיות של המדינה.</w:t>
      </w:r>
    </w:p>
    <w:p w14:paraId="2C166B9A" w14:textId="05D8C2E1" w:rsidR="006241F5" w:rsidRDefault="006241F5" w:rsidP="006241F5">
      <w:pPr>
        <w:pStyle w:val="Hesber"/>
        <w:rPr>
          <w:rtl/>
        </w:rPr>
      </w:pPr>
      <w:r>
        <w:rPr>
          <w:rFonts w:hint="cs"/>
          <w:rtl/>
        </w:rPr>
        <w:t xml:space="preserve">כך, מצאו את עצמן משפחות רבות מתמודדות, מעבר לכאב, עם סימני שאלה משמעותיים לגבי זהות האדם הקבור תחת ציון קבר שנמסר להם שבו קבור קרוב משפחתם. </w:t>
      </w:r>
    </w:p>
    <w:p w14:paraId="717A6614" w14:textId="36B2667C" w:rsidR="003B0D89" w:rsidRDefault="00B510CA" w:rsidP="006241F5">
      <w:pPr>
        <w:pStyle w:val="Hesber"/>
        <w:rPr>
          <w:rtl/>
        </w:rPr>
      </w:pPr>
      <w:r>
        <w:rPr>
          <w:rFonts w:hint="cs"/>
          <w:rtl/>
        </w:rPr>
        <w:t>כדי</w:t>
      </w:r>
      <w:r w:rsidR="00723EA7">
        <w:rPr>
          <w:rFonts w:hint="cs"/>
          <w:rtl/>
        </w:rPr>
        <w:t xml:space="preserve"> לסייע</w:t>
      </w:r>
      <w:r w:rsidR="006241F5">
        <w:rPr>
          <w:rFonts w:hint="cs"/>
          <w:rtl/>
        </w:rPr>
        <w:t xml:space="preserve"> בפתרון בעיה זו, מוצע כי בהליך מיוחד שייוחד לבני משפחות של קטינים שנעלמו בנסיבות האמורות, ניתן יהיה להגיש בקשה מיוחדת לפתיחת קבר, הוצאת גופה וביצוע בדיקה גנטית לקשרי משפחה</w:t>
      </w:r>
      <w:r w:rsidR="002B2E6E">
        <w:rPr>
          <w:rFonts w:hint="cs"/>
          <w:rtl/>
        </w:rPr>
        <w:t>.</w:t>
      </w:r>
    </w:p>
    <w:p w14:paraId="29C557D8" w14:textId="7BF4D565" w:rsidR="002B2E6E" w:rsidRDefault="002B2E6E" w:rsidP="00B510CA">
      <w:pPr>
        <w:pStyle w:val="Hesber"/>
        <w:rPr>
          <w:rtl/>
        </w:rPr>
      </w:pPr>
      <w:r>
        <w:rPr>
          <w:rFonts w:hint="cs"/>
          <w:rtl/>
        </w:rPr>
        <w:t>את הבקשה יוכלו להגיש קרובי משפחה בעלי קרבת דם שמאפשרת אימות גנטי</w:t>
      </w:r>
      <w:r w:rsidR="00B510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10CA">
        <w:rPr>
          <w:rFonts w:hint="cs"/>
          <w:rtl/>
        </w:rPr>
        <w:t>כלומר,</w:t>
      </w:r>
      <w:r>
        <w:rPr>
          <w:rFonts w:hint="cs"/>
          <w:rtl/>
        </w:rPr>
        <w:t xml:space="preserve"> הורים, אחים וילדי אחים.</w:t>
      </w:r>
    </w:p>
    <w:p w14:paraId="31E5C74F" w14:textId="0B0EE24D" w:rsidR="002B2E6E" w:rsidRDefault="002B2E6E" w:rsidP="00B510CA">
      <w:pPr>
        <w:pStyle w:val="Hesber"/>
        <w:ind w:firstLine="0"/>
        <w:rPr>
          <w:rtl/>
        </w:rPr>
      </w:pPr>
      <w:r>
        <w:rPr>
          <w:rFonts w:hint="cs"/>
          <w:rtl/>
        </w:rPr>
        <w:t xml:space="preserve"> בקשה לפי </w:t>
      </w:r>
      <w:r w:rsidR="00B510CA">
        <w:rPr>
          <w:rFonts w:hint="cs"/>
          <w:rtl/>
        </w:rPr>
        <w:t>הצעת חוק זו</w:t>
      </w:r>
      <w:r>
        <w:rPr>
          <w:rFonts w:hint="cs"/>
          <w:rtl/>
        </w:rPr>
        <w:t xml:space="preserve"> תוכל להיות מוגשת על ידי קרוב משפחה לגבי כל קטין שקיים לגביו רישום במרשם האוכלוסין או קיימת תעודת פטירה הקובעת שנפטר בין השנים </w:t>
      </w:r>
      <w:r w:rsidR="00B510CA">
        <w:rPr>
          <w:rFonts w:hint="cs"/>
          <w:rtl/>
        </w:rPr>
        <w:t>1948 עד 1970 וכן לגב</w:t>
      </w:r>
      <w:r>
        <w:rPr>
          <w:rFonts w:hint="cs"/>
          <w:rtl/>
        </w:rPr>
        <w:t>י קטין שהודעה על מותו נמסרה למשפחתו על ידי מוסד רפואי או גוף ציבורי אחר.</w:t>
      </w:r>
    </w:p>
    <w:p w14:paraId="6D126BF1" w14:textId="3460DF8D" w:rsidR="002B2E6E" w:rsidRDefault="005F012F" w:rsidP="00B510CA">
      <w:pPr>
        <w:pStyle w:val="Hesber"/>
        <w:ind w:firstLine="0"/>
        <w:rPr>
          <w:rtl/>
        </w:rPr>
      </w:pPr>
      <w:r>
        <w:rPr>
          <w:rFonts w:hint="cs"/>
          <w:rtl/>
        </w:rPr>
        <w:t>כמו כן</w:t>
      </w:r>
      <w:r w:rsidR="00B510CA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יוכלו להגיש בקשה כאמור </w:t>
      </w:r>
      <w:r w:rsidR="00B510CA">
        <w:rPr>
          <w:rFonts w:hint="cs"/>
          <w:rtl/>
        </w:rPr>
        <w:t>קרובי משפחה של כל מנוח שדו</w:t>
      </w:r>
      <w:r w:rsidR="002B2E6E">
        <w:rPr>
          <w:rFonts w:hint="cs"/>
          <w:rtl/>
        </w:rPr>
        <w:t>חות של אחת מהו</w:t>
      </w:r>
      <w:r w:rsidR="00B510CA">
        <w:rPr>
          <w:rFonts w:hint="cs"/>
          <w:rtl/>
        </w:rPr>
        <w:t>ו</w:t>
      </w:r>
      <w:r w:rsidR="002B2E6E">
        <w:rPr>
          <w:rFonts w:hint="cs"/>
          <w:rtl/>
        </w:rPr>
        <w:t>עדות הציבוריות התייחסו אליו כמי שנפטר.</w:t>
      </w:r>
    </w:p>
    <w:p w14:paraId="67809670" w14:textId="4A186645" w:rsidR="002B2E6E" w:rsidRDefault="002B2E6E" w:rsidP="00B510CA">
      <w:pPr>
        <w:pStyle w:val="Hesber"/>
        <w:ind w:firstLine="0"/>
        <w:rPr>
          <w:rtl/>
        </w:rPr>
      </w:pPr>
      <w:r>
        <w:rPr>
          <w:rFonts w:hint="cs"/>
          <w:rtl/>
        </w:rPr>
        <w:t>בקשה תוגש לבית המשפט לענייני משפחה וזה, אם מצא, במסמכים שהונחו בפניו כי קיים ספק ממשי בדבר זהותה של הגופה הקבורה בקבר לגביו מוגשת הבקשה</w:t>
      </w:r>
      <w:r w:rsidR="00B510CA">
        <w:rPr>
          <w:rFonts w:hint="cs"/>
          <w:rtl/>
        </w:rPr>
        <w:t xml:space="preserve"> </w:t>
      </w:r>
      <w:r w:rsidR="00B510C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510CA">
        <w:rPr>
          <w:rFonts w:hint="cs"/>
          <w:rtl/>
        </w:rPr>
        <w:t>יהיה רשאי להורות, ב</w:t>
      </w:r>
      <w:r>
        <w:rPr>
          <w:rFonts w:hint="cs"/>
          <w:rtl/>
        </w:rPr>
        <w:t>צו</w:t>
      </w:r>
      <w:r w:rsidR="00B510CA">
        <w:rPr>
          <w:rFonts w:hint="cs"/>
          <w:rtl/>
        </w:rPr>
        <w:t xml:space="preserve">, על </w:t>
      </w:r>
      <w:r>
        <w:rPr>
          <w:rFonts w:hint="cs"/>
          <w:rtl/>
        </w:rPr>
        <w:t>פתיחת הקבר, הוצאת הגופה וביצוע בדיקה גנטית לקשרי משפחה.</w:t>
      </w:r>
    </w:p>
    <w:p w14:paraId="2BD0C5E8" w14:textId="56CD3810" w:rsidR="00567FD7" w:rsidRDefault="00567FD7" w:rsidP="00723EA7">
      <w:pPr>
        <w:pStyle w:val="Hesber"/>
        <w:rPr>
          <w:b/>
          <w:bCs/>
          <w:sz w:val="32"/>
          <w:szCs w:val="32"/>
          <w:u w:val="single"/>
          <w:rtl/>
        </w:rPr>
      </w:pPr>
    </w:p>
    <w:p w14:paraId="6C62F928" w14:textId="77777777" w:rsidR="00594E5B" w:rsidRPr="00D73212" w:rsidRDefault="00594E5B" w:rsidP="00594E5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2BFD6DAA" w14:textId="77777777" w:rsidR="00594E5B" w:rsidRPr="00D73212" w:rsidRDefault="00594E5B" w:rsidP="00594E5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3464EF98" w14:textId="77777777" w:rsidR="00594E5B" w:rsidRPr="00D73212" w:rsidRDefault="00594E5B" w:rsidP="00594E5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1F487615" w14:textId="77777777" w:rsidR="00594E5B" w:rsidRPr="00317312" w:rsidRDefault="00594E5B" w:rsidP="00594E5B">
      <w:pPr>
        <w:pStyle w:val="Hesber"/>
      </w:pPr>
      <w:r>
        <w:rPr>
          <w:rFonts w:hint="cs"/>
          <w:color w:val="auto"/>
          <w:rtl/>
          <w:lang w:eastAsia="en-US"/>
        </w:rPr>
        <w:t>כ"ה בסיוון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19.6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47701D57" w14:textId="77777777" w:rsidR="00567FD7" w:rsidRPr="00594E5B" w:rsidRDefault="00567FD7" w:rsidP="00E13C27">
      <w:pPr>
        <w:pStyle w:val="Hesber"/>
        <w:rPr>
          <w:rtl/>
        </w:rPr>
      </w:pPr>
    </w:p>
    <w:sectPr w:rsidR="00567FD7" w:rsidRPr="00594E5B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02CE45" w14:textId="77777777" w:rsidR="002770CD" w:rsidRDefault="002770CD">
      <w:r>
        <w:separator/>
      </w:r>
    </w:p>
  </w:endnote>
  <w:endnote w:type="continuationSeparator" w:id="0">
    <w:p w14:paraId="7ACF7D6D" w14:textId="77777777" w:rsidR="002770CD" w:rsidRDefault="002770CD">
      <w:r>
        <w:continuationSeparator/>
      </w:r>
    </w:p>
  </w:endnote>
  <w:endnote w:type="continuationNotice" w:id="1">
    <w:p w14:paraId="2F83C622" w14:textId="77777777" w:rsidR="002770CD" w:rsidRDefault="002770CD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D451D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C615F7" w14:textId="77777777" w:rsidR="002770CD" w:rsidRDefault="002770CD">
      <w:r>
        <w:separator/>
      </w:r>
    </w:p>
  </w:footnote>
  <w:footnote w:type="continuationSeparator" w:id="0">
    <w:p w14:paraId="4E856828" w14:textId="77777777" w:rsidR="002770CD" w:rsidRDefault="002770CD">
      <w:r>
        <w:continuationSeparator/>
      </w:r>
    </w:p>
  </w:footnote>
  <w:footnote w:type="continuationNotice" w:id="1">
    <w:p w14:paraId="7AE8DE67" w14:textId="77777777" w:rsidR="002770CD" w:rsidRDefault="002770CD"/>
  </w:footnote>
  <w:footnote w:id="2">
    <w:p w14:paraId="0C80C021" w14:textId="7FD61084" w:rsidR="00CB3E6B" w:rsidRDefault="00CB3E6B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התשכ"ט, עמ' 68.</w:t>
      </w:r>
    </w:p>
  </w:footnote>
  <w:footnote w:id="3">
    <w:p w14:paraId="30D164AB" w14:textId="08D1A317" w:rsidR="00CB3E6B" w:rsidRDefault="00CB3E6B">
      <w:pPr>
        <w:pStyle w:val="a4"/>
        <w:rPr>
          <w:rtl/>
        </w:rPr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התשס"א, עמ' 62.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B17302"/>
    <w:multiLevelType w:val="hybridMultilevel"/>
    <w:tmpl w:val="7C961EC8"/>
    <w:lvl w:ilvl="0" w:tplc="150A5E8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155DDC"/>
    <w:multiLevelType w:val="hybridMultilevel"/>
    <w:tmpl w:val="B4189658"/>
    <w:lvl w:ilvl="0" w:tplc="13C27948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1B40A9"/>
    <w:multiLevelType w:val="hybridMultilevel"/>
    <w:tmpl w:val="778802F4"/>
    <w:lvl w:ilvl="0" w:tplc="19EA877E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0" w:hanging="360"/>
      </w:pPr>
    </w:lvl>
    <w:lvl w:ilvl="2" w:tplc="0409001B" w:tentative="1">
      <w:start w:val="1"/>
      <w:numFmt w:val="lowerRoman"/>
      <w:lvlText w:val="%3."/>
      <w:lvlJc w:val="right"/>
      <w:pPr>
        <w:ind w:left="2140" w:hanging="180"/>
      </w:pPr>
    </w:lvl>
    <w:lvl w:ilvl="3" w:tplc="0409000F" w:tentative="1">
      <w:start w:val="1"/>
      <w:numFmt w:val="decimal"/>
      <w:lvlText w:val="%4."/>
      <w:lvlJc w:val="left"/>
      <w:pPr>
        <w:ind w:left="2860" w:hanging="360"/>
      </w:pPr>
    </w:lvl>
    <w:lvl w:ilvl="4" w:tplc="04090019" w:tentative="1">
      <w:start w:val="1"/>
      <w:numFmt w:val="lowerLetter"/>
      <w:lvlText w:val="%5."/>
      <w:lvlJc w:val="left"/>
      <w:pPr>
        <w:ind w:left="3580" w:hanging="360"/>
      </w:pPr>
    </w:lvl>
    <w:lvl w:ilvl="5" w:tplc="0409001B" w:tentative="1">
      <w:start w:val="1"/>
      <w:numFmt w:val="lowerRoman"/>
      <w:lvlText w:val="%6."/>
      <w:lvlJc w:val="right"/>
      <w:pPr>
        <w:ind w:left="4300" w:hanging="180"/>
      </w:pPr>
    </w:lvl>
    <w:lvl w:ilvl="6" w:tplc="0409000F" w:tentative="1">
      <w:start w:val="1"/>
      <w:numFmt w:val="decimal"/>
      <w:lvlText w:val="%7."/>
      <w:lvlJc w:val="left"/>
      <w:pPr>
        <w:ind w:left="5020" w:hanging="360"/>
      </w:pPr>
    </w:lvl>
    <w:lvl w:ilvl="7" w:tplc="04090019" w:tentative="1">
      <w:start w:val="1"/>
      <w:numFmt w:val="lowerLetter"/>
      <w:lvlText w:val="%8."/>
      <w:lvlJc w:val="left"/>
      <w:pPr>
        <w:ind w:left="5740" w:hanging="360"/>
      </w:pPr>
    </w:lvl>
    <w:lvl w:ilvl="8" w:tplc="040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6AE11360"/>
    <w:multiLevelType w:val="hybridMultilevel"/>
    <w:tmpl w:val="B4189658"/>
    <w:lvl w:ilvl="0" w:tplc="13C27948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Davi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0111E2"/>
    <w:multiLevelType w:val="hybridMultilevel"/>
    <w:tmpl w:val="5C9E9B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418061F"/>
    <w:multiLevelType w:val="hybridMultilevel"/>
    <w:tmpl w:val="343C4A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AF55F87"/>
    <w:multiLevelType w:val="hybridMultilevel"/>
    <w:tmpl w:val="EED636A8"/>
    <w:lvl w:ilvl="0" w:tplc="720E0E4C">
      <w:start w:val="1"/>
      <w:numFmt w:val="hebrew1"/>
      <w:lvlText w:val="%1."/>
      <w:lvlJc w:val="left"/>
      <w:pPr>
        <w:ind w:left="1080" w:hanging="360"/>
      </w:pPr>
      <w:rPr>
        <w:b w:val="0"/>
        <w:strike w:val="0"/>
        <w:dstrike w:val="0"/>
        <w:u w:val="none"/>
        <w:effect w:val="none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8"/>
  </w:num>
  <w:num w:numId="13">
    <w:abstractNumId w:val="10"/>
  </w:num>
  <w:num w:numId="14">
    <w:abstractNumId w:val="19"/>
  </w:num>
  <w:num w:numId="15">
    <w:abstractNumId w:val="16"/>
  </w:num>
  <w:num w:numId="16">
    <w:abstractNumId w:val="12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06BE"/>
    <w:rsid w:val="0000131B"/>
    <w:rsid w:val="00015B27"/>
    <w:rsid w:val="000314D3"/>
    <w:rsid w:val="00044BCB"/>
    <w:rsid w:val="00063A3E"/>
    <w:rsid w:val="00072CAC"/>
    <w:rsid w:val="0007681A"/>
    <w:rsid w:val="000A500C"/>
    <w:rsid w:val="000A542E"/>
    <w:rsid w:val="000A7C94"/>
    <w:rsid w:val="000C5326"/>
    <w:rsid w:val="001015D8"/>
    <w:rsid w:val="00102B6B"/>
    <w:rsid w:val="001052D4"/>
    <w:rsid w:val="0010644B"/>
    <w:rsid w:val="001207F8"/>
    <w:rsid w:val="00121924"/>
    <w:rsid w:val="001279A8"/>
    <w:rsid w:val="0014195F"/>
    <w:rsid w:val="00147AE8"/>
    <w:rsid w:val="00152609"/>
    <w:rsid w:val="00153E1B"/>
    <w:rsid w:val="00164AD3"/>
    <w:rsid w:val="001677F1"/>
    <w:rsid w:val="001A035A"/>
    <w:rsid w:val="001A0623"/>
    <w:rsid w:val="001A7B45"/>
    <w:rsid w:val="001C23B0"/>
    <w:rsid w:val="001D7AAF"/>
    <w:rsid w:val="00203A7F"/>
    <w:rsid w:val="0021633A"/>
    <w:rsid w:val="002200A1"/>
    <w:rsid w:val="002215A3"/>
    <w:rsid w:val="002362BF"/>
    <w:rsid w:val="00241B97"/>
    <w:rsid w:val="002425D1"/>
    <w:rsid w:val="00243E1E"/>
    <w:rsid w:val="00246756"/>
    <w:rsid w:val="00251E58"/>
    <w:rsid w:val="00254605"/>
    <w:rsid w:val="00254E39"/>
    <w:rsid w:val="002561F6"/>
    <w:rsid w:val="00266D86"/>
    <w:rsid w:val="002728B4"/>
    <w:rsid w:val="0027600C"/>
    <w:rsid w:val="002770CD"/>
    <w:rsid w:val="00292712"/>
    <w:rsid w:val="002A487D"/>
    <w:rsid w:val="002B2E6E"/>
    <w:rsid w:val="002C2E29"/>
    <w:rsid w:val="002C3041"/>
    <w:rsid w:val="002D1EE3"/>
    <w:rsid w:val="002D451D"/>
    <w:rsid w:val="002F1D80"/>
    <w:rsid w:val="00307B51"/>
    <w:rsid w:val="00310CBA"/>
    <w:rsid w:val="003232A2"/>
    <w:rsid w:val="00325C14"/>
    <w:rsid w:val="00337F92"/>
    <w:rsid w:val="0036422C"/>
    <w:rsid w:val="003710F6"/>
    <w:rsid w:val="003833B3"/>
    <w:rsid w:val="00386E88"/>
    <w:rsid w:val="00396585"/>
    <w:rsid w:val="003B0D89"/>
    <w:rsid w:val="003C7621"/>
    <w:rsid w:val="003D3927"/>
    <w:rsid w:val="003D6E38"/>
    <w:rsid w:val="003D74A0"/>
    <w:rsid w:val="00401A69"/>
    <w:rsid w:val="004033D8"/>
    <w:rsid w:val="004073F0"/>
    <w:rsid w:val="00412A7D"/>
    <w:rsid w:val="00416B4D"/>
    <w:rsid w:val="00417CFC"/>
    <w:rsid w:val="004635DE"/>
    <w:rsid w:val="0047323B"/>
    <w:rsid w:val="00496CF6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67FD7"/>
    <w:rsid w:val="00594E5B"/>
    <w:rsid w:val="005B064E"/>
    <w:rsid w:val="005D51AE"/>
    <w:rsid w:val="005F012F"/>
    <w:rsid w:val="00614C55"/>
    <w:rsid w:val="006241F5"/>
    <w:rsid w:val="0062674B"/>
    <w:rsid w:val="00627AAD"/>
    <w:rsid w:val="00630D82"/>
    <w:rsid w:val="006363B2"/>
    <w:rsid w:val="00644940"/>
    <w:rsid w:val="006818A9"/>
    <w:rsid w:val="006951F4"/>
    <w:rsid w:val="006A2D81"/>
    <w:rsid w:val="006C16AD"/>
    <w:rsid w:val="006C1D0D"/>
    <w:rsid w:val="006D07FA"/>
    <w:rsid w:val="006D0BA4"/>
    <w:rsid w:val="006D59DB"/>
    <w:rsid w:val="0070601E"/>
    <w:rsid w:val="00712C72"/>
    <w:rsid w:val="00721481"/>
    <w:rsid w:val="00723EA7"/>
    <w:rsid w:val="00724FC4"/>
    <w:rsid w:val="00735FE9"/>
    <w:rsid w:val="00746EF7"/>
    <w:rsid w:val="0076369E"/>
    <w:rsid w:val="00763CAA"/>
    <w:rsid w:val="00765F66"/>
    <w:rsid w:val="00770FB1"/>
    <w:rsid w:val="007755EA"/>
    <w:rsid w:val="0078664F"/>
    <w:rsid w:val="00793044"/>
    <w:rsid w:val="007A2603"/>
    <w:rsid w:val="007C3FA6"/>
    <w:rsid w:val="007D585A"/>
    <w:rsid w:val="007D5A12"/>
    <w:rsid w:val="007E59F9"/>
    <w:rsid w:val="007F343F"/>
    <w:rsid w:val="00810BCD"/>
    <w:rsid w:val="00812C98"/>
    <w:rsid w:val="00814D92"/>
    <w:rsid w:val="00816182"/>
    <w:rsid w:val="00830235"/>
    <w:rsid w:val="0083181D"/>
    <w:rsid w:val="00843EB2"/>
    <w:rsid w:val="00865572"/>
    <w:rsid w:val="00867C0F"/>
    <w:rsid w:val="00874BBC"/>
    <w:rsid w:val="0088421B"/>
    <w:rsid w:val="00892135"/>
    <w:rsid w:val="00895449"/>
    <w:rsid w:val="00896363"/>
    <w:rsid w:val="00897879"/>
    <w:rsid w:val="008A3D89"/>
    <w:rsid w:val="008A6870"/>
    <w:rsid w:val="008C2DDC"/>
    <w:rsid w:val="008C7516"/>
    <w:rsid w:val="008D2FB6"/>
    <w:rsid w:val="008E6EC7"/>
    <w:rsid w:val="008F0D63"/>
    <w:rsid w:val="008F1308"/>
    <w:rsid w:val="008F2C35"/>
    <w:rsid w:val="008F6665"/>
    <w:rsid w:val="009007CF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50C1"/>
    <w:rsid w:val="009D6E0A"/>
    <w:rsid w:val="009E1E33"/>
    <w:rsid w:val="009F6DF5"/>
    <w:rsid w:val="00A14672"/>
    <w:rsid w:val="00A26BD6"/>
    <w:rsid w:val="00A443CF"/>
    <w:rsid w:val="00A4532D"/>
    <w:rsid w:val="00A57423"/>
    <w:rsid w:val="00A6611D"/>
    <w:rsid w:val="00A82CB7"/>
    <w:rsid w:val="00A942C1"/>
    <w:rsid w:val="00AA2F03"/>
    <w:rsid w:val="00AC36F7"/>
    <w:rsid w:val="00AC63A4"/>
    <w:rsid w:val="00AD239E"/>
    <w:rsid w:val="00B0182F"/>
    <w:rsid w:val="00B10265"/>
    <w:rsid w:val="00B14EA3"/>
    <w:rsid w:val="00B16A99"/>
    <w:rsid w:val="00B21211"/>
    <w:rsid w:val="00B35784"/>
    <w:rsid w:val="00B45212"/>
    <w:rsid w:val="00B510CA"/>
    <w:rsid w:val="00B733A7"/>
    <w:rsid w:val="00B75C91"/>
    <w:rsid w:val="00B975AD"/>
    <w:rsid w:val="00BB1AFF"/>
    <w:rsid w:val="00BC45FB"/>
    <w:rsid w:val="00BC584F"/>
    <w:rsid w:val="00BF148D"/>
    <w:rsid w:val="00C23B1A"/>
    <w:rsid w:val="00C26C28"/>
    <w:rsid w:val="00C310EB"/>
    <w:rsid w:val="00C65EC6"/>
    <w:rsid w:val="00C9176A"/>
    <w:rsid w:val="00C95AB1"/>
    <w:rsid w:val="00CA2303"/>
    <w:rsid w:val="00CB3E6B"/>
    <w:rsid w:val="00CF1AA2"/>
    <w:rsid w:val="00CF496B"/>
    <w:rsid w:val="00D17774"/>
    <w:rsid w:val="00D60112"/>
    <w:rsid w:val="00D63620"/>
    <w:rsid w:val="00D67618"/>
    <w:rsid w:val="00D8410D"/>
    <w:rsid w:val="00D867D7"/>
    <w:rsid w:val="00DA7291"/>
    <w:rsid w:val="00DB4654"/>
    <w:rsid w:val="00DB7060"/>
    <w:rsid w:val="00DC398E"/>
    <w:rsid w:val="00DE3153"/>
    <w:rsid w:val="00E06736"/>
    <w:rsid w:val="00E13C27"/>
    <w:rsid w:val="00E33BBD"/>
    <w:rsid w:val="00E374F2"/>
    <w:rsid w:val="00E42878"/>
    <w:rsid w:val="00E45103"/>
    <w:rsid w:val="00E55A60"/>
    <w:rsid w:val="00E62778"/>
    <w:rsid w:val="00E63D38"/>
    <w:rsid w:val="00E665B9"/>
    <w:rsid w:val="00E84D84"/>
    <w:rsid w:val="00EA01E6"/>
    <w:rsid w:val="00EA3DE8"/>
    <w:rsid w:val="00EA758F"/>
    <w:rsid w:val="00ED4A6F"/>
    <w:rsid w:val="00ED504C"/>
    <w:rsid w:val="00ED6790"/>
    <w:rsid w:val="00ED7A41"/>
    <w:rsid w:val="00EE373E"/>
    <w:rsid w:val="00EF3A3A"/>
    <w:rsid w:val="00F628D6"/>
    <w:rsid w:val="00F67051"/>
    <w:rsid w:val="00F7492A"/>
    <w:rsid w:val="00F86A1E"/>
    <w:rsid w:val="00FA24E4"/>
    <w:rsid w:val="00FA5E88"/>
    <w:rsid w:val="00FC441A"/>
    <w:rsid w:val="00FE7CD7"/>
    <w:rsid w:val="00FF4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basedOn w:val="a"/>
    <w:next w:val="a"/>
    <w:link w:val="10"/>
    <w:qFormat/>
    <w:rsid w:val="00164AD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_0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default">
    <w:name w:val="default"/>
    <w:basedOn w:val="a0"/>
    <w:rsid w:val="00C26C28"/>
    <w:rPr>
      <w:rFonts w:ascii="Times New Roman" w:hAnsi="Times New Roman" w:cs="Times New Roman" w:hint="default"/>
      <w:sz w:val="26"/>
      <w:szCs w:val="26"/>
    </w:rPr>
  </w:style>
  <w:style w:type="character" w:customStyle="1" w:styleId="a5">
    <w:name w:val="טקסט הערת שוליים תו"/>
    <w:basedOn w:val="a0"/>
    <w:link w:val="a4"/>
    <w:semiHidden/>
    <w:rsid w:val="00C26C28"/>
    <w:rPr>
      <w:rFonts w:ascii="Arial" w:eastAsia="Arial Unicode MS" w:hAnsi="Arial" w:cs="David"/>
      <w:snapToGrid w:val="0"/>
      <w:color w:val="000000"/>
      <w:sz w:val="14"/>
      <w:lang w:eastAsia="ja-JP"/>
    </w:rPr>
  </w:style>
  <w:style w:type="paragraph" w:styleId="ae">
    <w:name w:val="List Paragraph"/>
    <w:basedOn w:val="a"/>
    <w:uiPriority w:val="34"/>
    <w:qFormat/>
    <w:rsid w:val="00C26C28"/>
    <w:pPr>
      <w:widowControl/>
      <w:overflowPunct w:val="0"/>
      <w:spacing w:before="0" w:line="360" w:lineRule="auto"/>
      <w:ind w:left="720" w:firstLine="0"/>
      <w:contextualSpacing/>
      <w:jc w:val="left"/>
      <w:textAlignment w:val="auto"/>
    </w:pPr>
    <w:rPr>
      <w:rFonts w:ascii="Times New Roman" w:eastAsia="Times New Roman" w:hAnsi="Times New Roman" w:cs="FrankRuehl"/>
      <w:color w:val="auto"/>
      <w:spacing w:val="0"/>
      <w:sz w:val="20"/>
      <w:szCs w:val="26"/>
      <w:lang w:eastAsia="he-IL"/>
    </w:rPr>
  </w:style>
  <w:style w:type="paragraph" w:customStyle="1" w:styleId="m1446482494807729373p00">
    <w:name w:val="m_1446482494807729373p00"/>
    <w:basedOn w:val="a"/>
    <w:rsid w:val="0088421B"/>
    <w:pPr>
      <w:widowControl/>
      <w:autoSpaceDE/>
      <w:autoSpaceDN/>
      <w:bidi w:val="0"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ascii="Times New Roman" w:eastAsia="Times New Roman" w:hAnsi="Times New Roman" w:cs="Times New Roman"/>
      <w:color w:val="auto"/>
      <w:spacing w:val="0"/>
      <w:sz w:val="24"/>
      <w:szCs w:val="24"/>
      <w:lang w:eastAsia="en-US"/>
    </w:rPr>
  </w:style>
  <w:style w:type="character" w:customStyle="1" w:styleId="m1446482494807729373default">
    <w:name w:val="m_1446482494807729373default"/>
    <w:basedOn w:val="a0"/>
    <w:rsid w:val="0088421B"/>
  </w:style>
  <w:style w:type="character" w:customStyle="1" w:styleId="10">
    <w:name w:val="כותרת 1 תו"/>
    <w:basedOn w:val="a0"/>
    <w:link w:val="1"/>
    <w:rsid w:val="00164AD3"/>
    <w:rPr>
      <w:rFonts w:asciiTheme="majorHAnsi" w:eastAsiaTheme="majorEastAsia" w:hAnsiTheme="majorHAnsi" w:cstheme="majorBidi"/>
      <w:color w:val="365F91" w:themeColor="accent1" w:themeShade="BF"/>
      <w:spacing w:val="1"/>
      <w:sz w:val="32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28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87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98653B-6709-4E40-B3D1-67A98E7D23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A7A1B5-D456-4B8A-9928-4A588B207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1001</Words>
  <Characters>5009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5999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מרינה גסקה זר</cp:lastModifiedBy>
  <cp:revision>2</cp:revision>
  <cp:lastPrinted>2017-06-15T07:17:00Z</cp:lastPrinted>
  <dcterms:created xsi:type="dcterms:W3CDTF">2017-07-31T08:44:00Z</dcterms:created>
  <dcterms:modified xsi:type="dcterms:W3CDTF">2017-07-31T08:44:00Z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2020437</vt:r8>
  </property>
</Properties>
</file>