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2006600</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רועי פולקמן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מרדכי יוגב</w:t>
      </w:r>
      <w:r>
        <w:br/>
      </w:r>
      <w:r>
        <w:rPr>
          <w:rFonts w:hint="cs"/>
          <w:b/>
          <w:bCs/>
          <w:rtl/>
        </w:rPr>
        <w:t xml:space="preserve"> </w:t>
      </w:r>
      <w:r>
        <w:tab/>
      </w:r>
      <w:r>
        <w:tab/>
      </w:r>
      <w:r>
        <w:tab/>
      </w:r>
      <w:r>
        <w:tab/>
      </w:r>
      <w:r>
        <w:rPr>
          <w:rFonts w:hint="cs"/>
          <w:b/>
          <w:bCs/>
          <w:rtl/>
        </w:rPr>
        <w:t>יעקב אשר</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פ/3291/20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2726988D" w:rsidR="00E13C27" w:rsidRPr="00F67051" w:rsidRDefault="00A443CF" w:rsidP="0021633A">
      <w:pPr>
        <w:pStyle w:val="HeadHatzaotHok"/>
        <w:rPr>
          <w:rtl/>
        </w:rPr>
      </w:pPr>
      <w:bookmarkStart w:id="8" w:name="LGS_Subject"/>
      <w:r>
        <w:rPr>
          <w:rFonts w:hint="cs"/>
          <w:rtl/>
        </w:rPr>
        <w:t xml:space="preserve">הצעת חוק הבנקאות (שירות ללקוח) (תיקון – דחיית מועד פירעון של הלוואה לדיור ללקוח מובטל), </w:t>
      </w:r>
      <w:proofErr w:type="spellStart"/>
      <w:r>
        <w:rPr>
          <w:rFonts w:hint="cs"/>
          <w:rtl/>
        </w:rPr>
        <w:t>התשע"ו</w:t>
      </w:r>
      <w:proofErr w:type="spellEnd"/>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A10ACA" w14:paraId="3B46FDB9" w14:textId="77777777" w:rsidTr="00A10ACA">
        <w:trPr>
          <w:cantSplit/>
        </w:trPr>
        <w:tc>
          <w:tcPr>
            <w:tcW w:w="1871" w:type="dxa"/>
          </w:tcPr>
          <w:p w14:paraId="6DEDEFF1" w14:textId="77777777" w:rsidR="00A10ACA" w:rsidRDefault="00A10ACA" w:rsidP="00D922F7">
            <w:pPr>
              <w:pStyle w:val="TableSideHeading"/>
              <w:keepLines w:val="0"/>
            </w:pPr>
            <w:r>
              <w:rPr>
                <w:rFonts w:hint="cs"/>
                <w:rtl/>
              </w:rPr>
              <w:t>תיקון כותרת פרק ב'1</w:t>
            </w:r>
          </w:p>
        </w:tc>
        <w:tc>
          <w:tcPr>
            <w:tcW w:w="624" w:type="dxa"/>
          </w:tcPr>
          <w:p w14:paraId="5C1AD3C1" w14:textId="77777777" w:rsidR="00A10ACA" w:rsidRDefault="00A10ACA" w:rsidP="00D922F7">
            <w:pPr>
              <w:pStyle w:val="TableText"/>
              <w:keepLines w:val="0"/>
            </w:pPr>
            <w:r>
              <w:rPr>
                <w:rFonts w:hint="cs"/>
                <w:rtl/>
              </w:rPr>
              <w:t>1.</w:t>
            </w:r>
          </w:p>
        </w:tc>
        <w:tc>
          <w:tcPr>
            <w:tcW w:w="7146" w:type="dxa"/>
            <w:gridSpan w:val="6"/>
          </w:tcPr>
          <w:p w14:paraId="0C3A7FD6" w14:textId="77777777" w:rsidR="00A10ACA" w:rsidRPr="005F701E" w:rsidRDefault="00A10ACA" w:rsidP="00D922F7">
            <w:pPr>
              <w:pStyle w:val="TableBlock"/>
            </w:pPr>
            <w:r>
              <w:rPr>
                <w:rFonts w:hint="cs"/>
                <w:rtl/>
              </w:rPr>
              <w:t xml:space="preserve">בחוק הבנקאות (שירות ללקוח), </w:t>
            </w:r>
            <w:proofErr w:type="spellStart"/>
            <w:r>
              <w:rPr>
                <w:rFonts w:hint="cs"/>
                <w:rtl/>
              </w:rPr>
              <w:t>התשמ"א</w:t>
            </w:r>
            <w:proofErr w:type="spellEnd"/>
            <w:r>
              <w:rPr>
                <w:rFonts w:hint="eastAsia"/>
                <w:rtl/>
              </w:rPr>
              <w:t>–1981</w:t>
            </w:r>
            <w:r>
              <w:rPr>
                <w:rStyle w:val="a6"/>
                <w:rtl/>
              </w:rPr>
              <w:footnoteReference w:id="2"/>
            </w:r>
            <w:r>
              <w:rPr>
                <w:rFonts w:hint="cs"/>
                <w:rtl/>
              </w:rPr>
              <w:t xml:space="preserve"> (להלן </w:t>
            </w:r>
            <w:r>
              <w:rPr>
                <w:rFonts w:hint="eastAsia"/>
                <w:rtl/>
              </w:rPr>
              <w:t>– החוק העיקרי</w:t>
            </w:r>
            <w:r>
              <w:rPr>
                <w:rFonts w:hint="cs"/>
                <w:rtl/>
              </w:rPr>
              <w:t>)</w:t>
            </w:r>
            <w:r>
              <w:rPr>
                <w:rFonts w:hint="eastAsia"/>
                <w:rtl/>
              </w:rPr>
              <w:t xml:space="preserve">, בכותרת פרק ב'1, אחרי </w:t>
            </w:r>
            <w:r>
              <w:rPr>
                <w:rFonts w:hint="cs"/>
                <w:rtl/>
              </w:rPr>
              <w:t>"שינוי" יבוא "או דחיית".</w:t>
            </w:r>
          </w:p>
        </w:tc>
      </w:tr>
      <w:tr w:rsidR="00A10ACA" w14:paraId="5DF7DF51" w14:textId="77777777" w:rsidTr="00A10ACA">
        <w:trPr>
          <w:cantSplit/>
        </w:trPr>
        <w:tc>
          <w:tcPr>
            <w:tcW w:w="1871" w:type="dxa"/>
          </w:tcPr>
          <w:p w14:paraId="2D8078E7" w14:textId="77777777" w:rsidR="00A10ACA" w:rsidRDefault="00A10ACA" w:rsidP="00D922F7">
            <w:pPr>
              <w:pStyle w:val="TableSideHeading"/>
              <w:keepLines w:val="0"/>
              <w:rPr>
                <w:rtl/>
              </w:rPr>
            </w:pPr>
            <w:r>
              <w:rPr>
                <w:rFonts w:hint="cs"/>
                <w:rtl/>
              </w:rPr>
              <w:t>הוספת סעיף 9ח1</w:t>
            </w:r>
          </w:p>
        </w:tc>
        <w:tc>
          <w:tcPr>
            <w:tcW w:w="624" w:type="dxa"/>
          </w:tcPr>
          <w:p w14:paraId="34AAEF77" w14:textId="77777777" w:rsidR="00A10ACA" w:rsidRDefault="00A10ACA" w:rsidP="00D922F7">
            <w:pPr>
              <w:pStyle w:val="TableText"/>
              <w:rPr>
                <w:rtl/>
              </w:rPr>
            </w:pPr>
            <w:r>
              <w:rPr>
                <w:rFonts w:hint="cs"/>
                <w:rtl/>
              </w:rPr>
              <w:t>2.</w:t>
            </w:r>
          </w:p>
        </w:tc>
        <w:tc>
          <w:tcPr>
            <w:tcW w:w="7146" w:type="dxa"/>
            <w:gridSpan w:val="6"/>
          </w:tcPr>
          <w:p w14:paraId="1CB16EE4" w14:textId="77777777" w:rsidR="00A10ACA" w:rsidRDefault="00A10ACA" w:rsidP="00D922F7">
            <w:pPr>
              <w:pStyle w:val="TableBlock"/>
              <w:rPr>
                <w:rtl/>
              </w:rPr>
            </w:pPr>
            <w:r>
              <w:rPr>
                <w:rFonts w:hint="cs"/>
                <w:rtl/>
              </w:rPr>
              <w:t>אחרי סעיף 9ח לחוק העיקרי יבוא:</w:t>
            </w:r>
          </w:p>
        </w:tc>
      </w:tr>
      <w:tr w:rsidR="005B1020" w14:paraId="51BEAAA6" w14:textId="77777777" w:rsidTr="004E5AA0">
        <w:trPr>
          <w:cantSplit/>
          <w:trHeight w:val="60"/>
        </w:trPr>
        <w:tc>
          <w:tcPr>
            <w:tcW w:w="1871" w:type="dxa"/>
          </w:tcPr>
          <w:p w14:paraId="1DD2D278" w14:textId="77777777" w:rsidR="005B1020" w:rsidRDefault="005B1020">
            <w:pPr>
              <w:pStyle w:val="TableSideHeading"/>
            </w:pPr>
          </w:p>
        </w:tc>
        <w:tc>
          <w:tcPr>
            <w:tcW w:w="624" w:type="dxa"/>
          </w:tcPr>
          <w:p w14:paraId="3BE0FD57" w14:textId="77777777" w:rsidR="005B1020" w:rsidRDefault="005B1020">
            <w:pPr>
              <w:pStyle w:val="TableText"/>
            </w:pPr>
          </w:p>
        </w:tc>
        <w:tc>
          <w:tcPr>
            <w:tcW w:w="1872" w:type="dxa"/>
            <w:gridSpan w:val="3"/>
          </w:tcPr>
          <w:p w14:paraId="21FC0483" w14:textId="38F3B1CF" w:rsidR="005B1020" w:rsidRDefault="005B1020">
            <w:pPr>
              <w:pStyle w:val="TableText"/>
            </w:pPr>
            <w:r>
              <w:rPr>
                <w:rFonts w:hint="cs"/>
                <w:rtl/>
              </w:rPr>
              <w:t xml:space="preserve">"דחיית </w:t>
            </w:r>
            <w:r w:rsidR="00E47ACA">
              <w:rPr>
                <w:rFonts w:hint="cs"/>
                <w:rtl/>
              </w:rPr>
              <w:t xml:space="preserve">מועד </w:t>
            </w:r>
            <w:r>
              <w:rPr>
                <w:rFonts w:hint="cs"/>
                <w:rtl/>
              </w:rPr>
              <w:t>פירעון חודשי של הלוואה לדיור</w:t>
            </w:r>
            <w:r w:rsidR="00D743CE">
              <w:rPr>
                <w:rFonts w:hint="cs"/>
                <w:rtl/>
              </w:rPr>
              <w:t xml:space="preserve"> לגבי לקוח שהוא מובטל</w:t>
            </w:r>
          </w:p>
        </w:tc>
        <w:tc>
          <w:tcPr>
            <w:tcW w:w="624" w:type="dxa"/>
          </w:tcPr>
          <w:p w14:paraId="5C45D86D" w14:textId="056EFCEA" w:rsidR="005B1020" w:rsidRDefault="005B1020">
            <w:pPr>
              <w:pStyle w:val="TableText"/>
            </w:pPr>
            <w:r>
              <w:rPr>
                <w:rFonts w:hint="cs"/>
                <w:rtl/>
              </w:rPr>
              <w:t>9ח1.</w:t>
            </w:r>
          </w:p>
        </w:tc>
        <w:tc>
          <w:tcPr>
            <w:tcW w:w="624" w:type="dxa"/>
          </w:tcPr>
          <w:p w14:paraId="7E8CA855" w14:textId="269E983E" w:rsidR="005B1020" w:rsidRDefault="005B1020">
            <w:pPr>
              <w:pStyle w:val="TableText"/>
            </w:pPr>
            <w:r>
              <w:rPr>
                <w:rFonts w:hint="cs"/>
                <w:rtl/>
              </w:rPr>
              <w:t>(א)</w:t>
            </w:r>
          </w:p>
        </w:tc>
        <w:tc>
          <w:tcPr>
            <w:tcW w:w="4026" w:type="dxa"/>
          </w:tcPr>
          <w:p w14:paraId="7522C3CE" w14:textId="0793DA1E" w:rsidR="005B1020" w:rsidRDefault="005B1020">
            <w:pPr>
              <w:pStyle w:val="TableBlock"/>
            </w:pPr>
            <w:r>
              <w:rPr>
                <w:rFonts w:hint="cs"/>
                <w:rtl/>
              </w:rPr>
              <w:t>(1)</w:t>
            </w:r>
            <w:r>
              <w:rPr>
                <w:rtl/>
              </w:rPr>
              <w:tab/>
            </w:r>
            <w:r>
              <w:rPr>
                <w:rFonts w:hint="cs"/>
                <w:rtl/>
              </w:rPr>
              <w:t>על אף האמור בפרק זה, לקוח שהוא מובטל רשאי לדחות את מועד הפירעון החודשי של הלוואה לדיור, באופן מלא או חלקי, וכל עוד לא פרע את מלוא ההלוואה, ובלבד שכל דחייה תהיה לתקופה שלא תעלה על שלושה חודש</w:t>
            </w:r>
            <w:r w:rsidR="00170F51">
              <w:rPr>
                <w:rFonts w:hint="cs"/>
                <w:rtl/>
              </w:rPr>
              <w:t>ים רצופים, וסך כל הדחיות לא יעלה</w:t>
            </w:r>
            <w:r>
              <w:rPr>
                <w:rFonts w:hint="cs"/>
                <w:rtl/>
              </w:rPr>
              <w:t xml:space="preserve"> על שנה</w:t>
            </w:r>
            <w:r w:rsidR="004F4E8F">
              <w:rPr>
                <w:rFonts w:hint="cs"/>
                <w:rtl/>
              </w:rPr>
              <w:t>.</w:t>
            </w:r>
          </w:p>
        </w:tc>
      </w:tr>
      <w:tr w:rsidR="005B1020" w14:paraId="71652E82" w14:textId="77777777" w:rsidTr="004E5AA0">
        <w:trPr>
          <w:cantSplit/>
          <w:trHeight w:val="60"/>
        </w:trPr>
        <w:tc>
          <w:tcPr>
            <w:tcW w:w="1871" w:type="dxa"/>
          </w:tcPr>
          <w:p w14:paraId="74A220EF" w14:textId="77777777" w:rsidR="005B1020" w:rsidRDefault="005B1020">
            <w:pPr>
              <w:pStyle w:val="TableSideHeading"/>
              <w:rPr>
                <w:rtl/>
              </w:rPr>
            </w:pPr>
          </w:p>
        </w:tc>
        <w:tc>
          <w:tcPr>
            <w:tcW w:w="624" w:type="dxa"/>
          </w:tcPr>
          <w:p w14:paraId="0AD6620B" w14:textId="77777777" w:rsidR="005B1020" w:rsidRDefault="005B1020" w:rsidP="00D743CE">
            <w:pPr>
              <w:pStyle w:val="TableText"/>
            </w:pPr>
          </w:p>
        </w:tc>
        <w:tc>
          <w:tcPr>
            <w:tcW w:w="1872" w:type="dxa"/>
            <w:gridSpan w:val="3"/>
          </w:tcPr>
          <w:p w14:paraId="5D7C0527" w14:textId="77777777" w:rsidR="005B1020" w:rsidRDefault="005B1020">
            <w:pPr>
              <w:pStyle w:val="TableText"/>
              <w:rPr>
                <w:rtl/>
              </w:rPr>
            </w:pPr>
          </w:p>
        </w:tc>
        <w:tc>
          <w:tcPr>
            <w:tcW w:w="624" w:type="dxa"/>
          </w:tcPr>
          <w:p w14:paraId="79DE9C1B" w14:textId="77777777" w:rsidR="005B1020" w:rsidRDefault="005B1020">
            <w:pPr>
              <w:pStyle w:val="TableText"/>
              <w:rPr>
                <w:rtl/>
              </w:rPr>
            </w:pPr>
          </w:p>
        </w:tc>
        <w:tc>
          <w:tcPr>
            <w:tcW w:w="624" w:type="dxa"/>
          </w:tcPr>
          <w:p w14:paraId="6C17AA12" w14:textId="77777777" w:rsidR="005B1020" w:rsidRDefault="005B1020">
            <w:pPr>
              <w:pStyle w:val="TableText"/>
              <w:rPr>
                <w:rtl/>
              </w:rPr>
            </w:pPr>
          </w:p>
        </w:tc>
        <w:tc>
          <w:tcPr>
            <w:tcW w:w="4026" w:type="dxa"/>
          </w:tcPr>
          <w:p w14:paraId="62E474E4" w14:textId="10D1A601" w:rsidR="005B1020" w:rsidRDefault="005B1020">
            <w:pPr>
              <w:pStyle w:val="TableBlock"/>
              <w:rPr>
                <w:rtl/>
              </w:rPr>
            </w:pPr>
            <w:r>
              <w:rPr>
                <w:rFonts w:hint="cs"/>
                <w:rtl/>
              </w:rPr>
              <w:t>(2)</w:t>
            </w:r>
            <w:r>
              <w:rPr>
                <w:rtl/>
              </w:rPr>
              <w:tab/>
            </w:r>
            <w:r w:rsidR="004F4E8F">
              <w:rPr>
                <w:rFonts w:hint="cs"/>
                <w:rtl/>
              </w:rPr>
              <w:t>לקוח יגיש בקשה לדחיית מועד הפירעון החודשי של הלוואה לדיור שלושים ימים לפחות לפני מועד הפירעון החודשי שאותו הוא מבקש לדחות, ובלבד שבעת הגשת הבקשה היה מובטל.</w:t>
            </w:r>
          </w:p>
        </w:tc>
      </w:tr>
      <w:tr w:rsidR="004F4E8F" w14:paraId="7A52A5C8" w14:textId="77777777" w:rsidTr="004E5AA0">
        <w:trPr>
          <w:cantSplit/>
          <w:trHeight w:val="60"/>
        </w:trPr>
        <w:tc>
          <w:tcPr>
            <w:tcW w:w="1871" w:type="dxa"/>
          </w:tcPr>
          <w:p w14:paraId="1B75CE70" w14:textId="77777777" w:rsidR="004F4E8F" w:rsidRDefault="004F4E8F">
            <w:pPr>
              <w:pStyle w:val="TableSideHeading"/>
              <w:rPr>
                <w:rtl/>
              </w:rPr>
            </w:pPr>
          </w:p>
        </w:tc>
        <w:tc>
          <w:tcPr>
            <w:tcW w:w="624" w:type="dxa"/>
          </w:tcPr>
          <w:p w14:paraId="117D65DF" w14:textId="77777777" w:rsidR="004F4E8F" w:rsidRDefault="004F4E8F" w:rsidP="00D743CE">
            <w:pPr>
              <w:pStyle w:val="TableText"/>
            </w:pPr>
          </w:p>
        </w:tc>
        <w:tc>
          <w:tcPr>
            <w:tcW w:w="1872" w:type="dxa"/>
            <w:gridSpan w:val="3"/>
          </w:tcPr>
          <w:p w14:paraId="12B9E4EC" w14:textId="77777777" w:rsidR="004F4E8F" w:rsidRDefault="004F4E8F">
            <w:pPr>
              <w:pStyle w:val="TableText"/>
              <w:rPr>
                <w:rtl/>
              </w:rPr>
            </w:pPr>
          </w:p>
        </w:tc>
        <w:tc>
          <w:tcPr>
            <w:tcW w:w="624" w:type="dxa"/>
          </w:tcPr>
          <w:p w14:paraId="008FDB19" w14:textId="77777777" w:rsidR="004F4E8F" w:rsidRDefault="004F4E8F">
            <w:pPr>
              <w:pStyle w:val="TableText"/>
              <w:rPr>
                <w:rtl/>
              </w:rPr>
            </w:pPr>
          </w:p>
        </w:tc>
        <w:tc>
          <w:tcPr>
            <w:tcW w:w="624" w:type="dxa"/>
          </w:tcPr>
          <w:p w14:paraId="29D50BC0" w14:textId="77777777" w:rsidR="004F4E8F" w:rsidRDefault="004F4E8F">
            <w:pPr>
              <w:pStyle w:val="TableText"/>
              <w:rPr>
                <w:rtl/>
              </w:rPr>
            </w:pPr>
          </w:p>
        </w:tc>
        <w:tc>
          <w:tcPr>
            <w:tcW w:w="4026" w:type="dxa"/>
          </w:tcPr>
          <w:p w14:paraId="6D308B08" w14:textId="5AA90350" w:rsidR="004F4E8F" w:rsidRDefault="004F4E8F">
            <w:pPr>
              <w:pStyle w:val="TableBlock"/>
              <w:rPr>
                <w:rtl/>
              </w:rPr>
            </w:pPr>
            <w:r>
              <w:rPr>
                <w:rFonts w:hint="cs"/>
                <w:rtl/>
              </w:rPr>
              <w:t>(3)</w:t>
            </w:r>
            <w:r>
              <w:rPr>
                <w:rtl/>
              </w:rPr>
              <w:tab/>
            </w:r>
            <w:r>
              <w:rPr>
                <w:rFonts w:hint="cs"/>
                <w:rtl/>
              </w:rPr>
              <w:t xml:space="preserve">לעניין סעיף זה, "מובטל" </w:t>
            </w:r>
            <w:r>
              <w:rPr>
                <w:rFonts w:hint="eastAsia"/>
                <w:rtl/>
              </w:rPr>
              <w:t xml:space="preserve">– כמשמעותו בסעיף 163 לחוק הביטוח הלאומי [נוסח משולב], </w:t>
            </w:r>
            <w:proofErr w:type="spellStart"/>
            <w:r>
              <w:rPr>
                <w:rFonts w:hint="eastAsia"/>
                <w:rtl/>
              </w:rPr>
              <w:t>התשנ</w:t>
            </w:r>
            <w:r>
              <w:rPr>
                <w:rFonts w:hint="cs"/>
                <w:rtl/>
              </w:rPr>
              <w:t>"ה</w:t>
            </w:r>
            <w:proofErr w:type="spellEnd"/>
            <w:r>
              <w:rPr>
                <w:rFonts w:hint="eastAsia"/>
                <w:rtl/>
              </w:rPr>
              <w:t>–1995</w:t>
            </w:r>
            <w:r>
              <w:rPr>
                <w:rStyle w:val="a6"/>
                <w:rtl/>
              </w:rPr>
              <w:footnoteReference w:id="3"/>
            </w:r>
            <w:r>
              <w:rPr>
                <w:rFonts w:hint="eastAsia"/>
                <w:rtl/>
              </w:rPr>
              <w:t>.</w:t>
            </w:r>
          </w:p>
        </w:tc>
      </w:tr>
      <w:tr w:rsidR="00A10ACA" w14:paraId="4A13603F" w14:textId="77777777" w:rsidTr="00A10ACA">
        <w:trPr>
          <w:cantSplit/>
          <w:trHeight w:val="60"/>
        </w:trPr>
        <w:tc>
          <w:tcPr>
            <w:tcW w:w="1871" w:type="dxa"/>
          </w:tcPr>
          <w:p w14:paraId="48C8F580" w14:textId="77777777" w:rsidR="00A10ACA" w:rsidRDefault="00A10ACA" w:rsidP="00D922F7">
            <w:pPr>
              <w:pStyle w:val="TableSideHeading"/>
            </w:pPr>
          </w:p>
        </w:tc>
        <w:tc>
          <w:tcPr>
            <w:tcW w:w="624" w:type="dxa"/>
          </w:tcPr>
          <w:p w14:paraId="607F0DC2" w14:textId="77777777" w:rsidR="00A10ACA" w:rsidRDefault="00A10ACA" w:rsidP="00D922F7">
            <w:pPr>
              <w:pStyle w:val="TableText"/>
            </w:pPr>
          </w:p>
        </w:tc>
        <w:tc>
          <w:tcPr>
            <w:tcW w:w="624" w:type="dxa"/>
          </w:tcPr>
          <w:p w14:paraId="053FB8A7" w14:textId="77777777" w:rsidR="00A10ACA" w:rsidRDefault="00A10ACA" w:rsidP="00D922F7">
            <w:pPr>
              <w:pStyle w:val="TableText"/>
            </w:pPr>
          </w:p>
        </w:tc>
        <w:tc>
          <w:tcPr>
            <w:tcW w:w="624" w:type="dxa"/>
          </w:tcPr>
          <w:p w14:paraId="789B84BA" w14:textId="77777777" w:rsidR="00A10ACA" w:rsidRDefault="00A10ACA" w:rsidP="00D922F7">
            <w:pPr>
              <w:pStyle w:val="TableText"/>
            </w:pPr>
          </w:p>
        </w:tc>
        <w:tc>
          <w:tcPr>
            <w:tcW w:w="624" w:type="dxa"/>
          </w:tcPr>
          <w:p w14:paraId="013FDE44" w14:textId="77777777" w:rsidR="00A10ACA" w:rsidRDefault="00A10ACA" w:rsidP="00D922F7">
            <w:pPr>
              <w:pStyle w:val="TableText"/>
            </w:pPr>
          </w:p>
        </w:tc>
        <w:tc>
          <w:tcPr>
            <w:tcW w:w="624" w:type="dxa"/>
          </w:tcPr>
          <w:p w14:paraId="0A3E9293" w14:textId="77777777" w:rsidR="00A10ACA" w:rsidRDefault="00A10ACA" w:rsidP="00D922F7">
            <w:pPr>
              <w:pStyle w:val="TableText"/>
            </w:pPr>
          </w:p>
        </w:tc>
        <w:tc>
          <w:tcPr>
            <w:tcW w:w="4650" w:type="dxa"/>
            <w:gridSpan w:val="2"/>
          </w:tcPr>
          <w:p w14:paraId="1D89C9E7" w14:textId="70D712C3" w:rsidR="00A10ACA" w:rsidRDefault="00A10ACA" w:rsidP="00D922F7">
            <w:pPr>
              <w:pStyle w:val="TableBlock"/>
            </w:pPr>
            <w:r>
              <w:rPr>
                <w:rFonts w:hint="cs"/>
                <w:rtl/>
              </w:rPr>
              <w:t>(ב)</w:t>
            </w:r>
            <w:r>
              <w:rPr>
                <w:rtl/>
              </w:rPr>
              <w:tab/>
            </w:r>
            <w:r>
              <w:rPr>
                <w:rFonts w:hint="cs"/>
                <w:rtl/>
              </w:rPr>
              <w:t xml:space="preserve">לא תוטל ריבית פיגורים או ריבית השונה מהריבית הקבועה בהסכם ההלוואה לדיור בשל דחיית </w:t>
            </w:r>
            <w:r w:rsidR="00170F51">
              <w:rPr>
                <w:rFonts w:hint="cs"/>
                <w:rtl/>
              </w:rPr>
              <w:t xml:space="preserve">מועד </w:t>
            </w:r>
            <w:r>
              <w:rPr>
                <w:rFonts w:hint="cs"/>
                <w:rtl/>
              </w:rPr>
              <w:t>פירעון חודשי של הלוואה לדיור כאמור בסעיף קטן (א).</w:t>
            </w:r>
          </w:p>
        </w:tc>
      </w:tr>
      <w:tr w:rsidR="00A10ACA" w14:paraId="2205982C" w14:textId="77777777" w:rsidTr="00A10ACA">
        <w:trPr>
          <w:cantSplit/>
          <w:trHeight w:val="60"/>
        </w:trPr>
        <w:tc>
          <w:tcPr>
            <w:tcW w:w="1871" w:type="dxa"/>
          </w:tcPr>
          <w:p w14:paraId="19D22E33" w14:textId="77777777" w:rsidR="00A10ACA" w:rsidRDefault="00A10ACA" w:rsidP="00D922F7">
            <w:pPr>
              <w:pStyle w:val="TableSideHeading"/>
              <w:rPr>
                <w:rtl/>
              </w:rPr>
            </w:pPr>
          </w:p>
        </w:tc>
        <w:tc>
          <w:tcPr>
            <w:tcW w:w="624" w:type="dxa"/>
          </w:tcPr>
          <w:p w14:paraId="2F431E6A" w14:textId="77777777" w:rsidR="00A10ACA" w:rsidRDefault="00A10ACA" w:rsidP="00D922F7">
            <w:pPr>
              <w:pStyle w:val="TableText"/>
            </w:pPr>
          </w:p>
        </w:tc>
        <w:tc>
          <w:tcPr>
            <w:tcW w:w="624" w:type="dxa"/>
          </w:tcPr>
          <w:p w14:paraId="3CF291B7" w14:textId="77777777" w:rsidR="00A10ACA" w:rsidRDefault="00A10ACA" w:rsidP="00D922F7">
            <w:pPr>
              <w:pStyle w:val="TableText"/>
            </w:pPr>
          </w:p>
        </w:tc>
        <w:tc>
          <w:tcPr>
            <w:tcW w:w="624" w:type="dxa"/>
          </w:tcPr>
          <w:p w14:paraId="40CCDEB7" w14:textId="77777777" w:rsidR="00A10ACA" w:rsidRDefault="00A10ACA" w:rsidP="00D922F7">
            <w:pPr>
              <w:pStyle w:val="TableText"/>
            </w:pPr>
          </w:p>
        </w:tc>
        <w:tc>
          <w:tcPr>
            <w:tcW w:w="624" w:type="dxa"/>
          </w:tcPr>
          <w:p w14:paraId="0E88E607" w14:textId="77777777" w:rsidR="00A10ACA" w:rsidRDefault="00A10ACA" w:rsidP="00D922F7">
            <w:pPr>
              <w:pStyle w:val="TableText"/>
            </w:pPr>
          </w:p>
        </w:tc>
        <w:tc>
          <w:tcPr>
            <w:tcW w:w="624" w:type="dxa"/>
          </w:tcPr>
          <w:p w14:paraId="34ED6253" w14:textId="77777777" w:rsidR="00A10ACA" w:rsidRDefault="00A10ACA" w:rsidP="00D922F7">
            <w:pPr>
              <w:pStyle w:val="TableText"/>
            </w:pPr>
          </w:p>
        </w:tc>
        <w:tc>
          <w:tcPr>
            <w:tcW w:w="4650" w:type="dxa"/>
            <w:gridSpan w:val="2"/>
          </w:tcPr>
          <w:p w14:paraId="11E1E472" w14:textId="0E906829" w:rsidR="00A10ACA" w:rsidRDefault="00A10ACA" w:rsidP="00D743CE">
            <w:pPr>
              <w:pStyle w:val="TableBlock"/>
              <w:rPr>
                <w:rtl/>
              </w:rPr>
            </w:pPr>
            <w:r>
              <w:rPr>
                <w:rFonts w:hint="cs"/>
                <w:rtl/>
              </w:rPr>
              <w:t>(</w:t>
            </w:r>
            <w:r w:rsidR="004F4E8F">
              <w:rPr>
                <w:rFonts w:hint="cs"/>
                <w:rtl/>
              </w:rPr>
              <w:t>ג</w:t>
            </w:r>
            <w:r>
              <w:rPr>
                <w:rFonts w:hint="cs"/>
                <w:rtl/>
              </w:rPr>
              <w:t>)</w:t>
            </w:r>
            <w:r>
              <w:rPr>
                <w:rtl/>
              </w:rPr>
              <w:tab/>
            </w:r>
            <w:r w:rsidR="00170F51">
              <w:rPr>
                <w:rFonts w:hint="cs"/>
                <w:rtl/>
              </w:rPr>
              <w:t>נדחה מועד הפירעון החודשי של הלוואה לדיור לפי הוראות סעיף זה, ישולמו תשלומי ההלוואה שמועד פירעונם נדחה בתום תקופת פירעון ההלוואה, בתשלומים חודשיים, כמספר התשלומים החודשיים שנדחו</w:t>
            </w:r>
            <w:r>
              <w:rPr>
                <w:rFonts w:hint="cs"/>
                <w:rtl/>
              </w:rPr>
              <w:t>.</w:t>
            </w:r>
          </w:p>
        </w:tc>
      </w:tr>
      <w:tr w:rsidR="00A10ACA" w14:paraId="26A0AC98" w14:textId="77777777" w:rsidTr="00A10ACA">
        <w:trPr>
          <w:cantSplit/>
          <w:trHeight w:val="60"/>
        </w:trPr>
        <w:tc>
          <w:tcPr>
            <w:tcW w:w="1871" w:type="dxa"/>
          </w:tcPr>
          <w:p w14:paraId="4BAB90A6" w14:textId="77777777" w:rsidR="00A10ACA" w:rsidRDefault="00A10ACA" w:rsidP="00D922F7">
            <w:pPr>
              <w:pStyle w:val="TableSideHeading"/>
              <w:rPr>
                <w:rtl/>
              </w:rPr>
            </w:pPr>
          </w:p>
        </w:tc>
        <w:tc>
          <w:tcPr>
            <w:tcW w:w="624" w:type="dxa"/>
          </w:tcPr>
          <w:p w14:paraId="0FD900C8" w14:textId="77777777" w:rsidR="00A10ACA" w:rsidRDefault="00A10ACA" w:rsidP="00D922F7">
            <w:pPr>
              <w:pStyle w:val="TableText"/>
            </w:pPr>
          </w:p>
        </w:tc>
        <w:tc>
          <w:tcPr>
            <w:tcW w:w="624" w:type="dxa"/>
          </w:tcPr>
          <w:p w14:paraId="12FFAF48" w14:textId="77777777" w:rsidR="00A10ACA" w:rsidRDefault="00A10ACA" w:rsidP="00D922F7">
            <w:pPr>
              <w:pStyle w:val="TableText"/>
            </w:pPr>
          </w:p>
        </w:tc>
        <w:tc>
          <w:tcPr>
            <w:tcW w:w="624" w:type="dxa"/>
          </w:tcPr>
          <w:p w14:paraId="75F42097" w14:textId="77777777" w:rsidR="00A10ACA" w:rsidRDefault="00A10ACA" w:rsidP="00D922F7">
            <w:pPr>
              <w:pStyle w:val="TableText"/>
            </w:pPr>
          </w:p>
        </w:tc>
        <w:tc>
          <w:tcPr>
            <w:tcW w:w="624" w:type="dxa"/>
          </w:tcPr>
          <w:p w14:paraId="31932CFA" w14:textId="77777777" w:rsidR="00A10ACA" w:rsidRDefault="00A10ACA" w:rsidP="00D922F7">
            <w:pPr>
              <w:pStyle w:val="TableText"/>
            </w:pPr>
          </w:p>
        </w:tc>
        <w:tc>
          <w:tcPr>
            <w:tcW w:w="624" w:type="dxa"/>
          </w:tcPr>
          <w:p w14:paraId="763150DA" w14:textId="77777777" w:rsidR="00A10ACA" w:rsidRDefault="00A10ACA" w:rsidP="00D922F7">
            <w:pPr>
              <w:pStyle w:val="TableText"/>
            </w:pPr>
          </w:p>
        </w:tc>
        <w:tc>
          <w:tcPr>
            <w:tcW w:w="4650" w:type="dxa"/>
            <w:gridSpan w:val="2"/>
          </w:tcPr>
          <w:p w14:paraId="5CF7B9D3" w14:textId="0066280F" w:rsidR="00A10ACA" w:rsidRDefault="00A10ACA" w:rsidP="00D743CE">
            <w:pPr>
              <w:pStyle w:val="TableBlock"/>
              <w:rPr>
                <w:rtl/>
              </w:rPr>
            </w:pPr>
            <w:r>
              <w:rPr>
                <w:rFonts w:hint="cs"/>
                <w:rtl/>
              </w:rPr>
              <w:t>(</w:t>
            </w:r>
            <w:r w:rsidR="004F4E8F">
              <w:rPr>
                <w:rFonts w:hint="cs"/>
                <w:rtl/>
              </w:rPr>
              <w:t>ד</w:t>
            </w:r>
            <w:r>
              <w:rPr>
                <w:rFonts w:hint="cs"/>
                <w:rtl/>
              </w:rPr>
              <w:t>)</w:t>
            </w:r>
            <w:r>
              <w:rPr>
                <w:rtl/>
              </w:rPr>
              <w:tab/>
            </w:r>
            <w:r>
              <w:rPr>
                <w:rFonts w:hint="cs"/>
                <w:rtl/>
              </w:rPr>
              <w:t xml:space="preserve">דחיית </w:t>
            </w:r>
            <w:r w:rsidR="004F4E8F">
              <w:rPr>
                <w:rFonts w:hint="cs"/>
                <w:rtl/>
              </w:rPr>
              <w:t xml:space="preserve">מועד </w:t>
            </w:r>
            <w:r>
              <w:rPr>
                <w:rFonts w:hint="cs"/>
                <w:rtl/>
              </w:rPr>
              <w:t>פירעון חודשי של הלוואה לדיור לפי סעיף זה לא תפגע בזכויותיו של ל</w:t>
            </w:r>
            <w:r w:rsidR="00170F51">
              <w:rPr>
                <w:rFonts w:hint="cs"/>
                <w:rtl/>
              </w:rPr>
              <w:t>קוח</w:t>
            </w:r>
            <w:r>
              <w:rPr>
                <w:rFonts w:hint="cs"/>
                <w:rtl/>
              </w:rPr>
              <w:t xml:space="preserve">, לרבות בזכותו לדיור חלוף או </w:t>
            </w:r>
            <w:r w:rsidR="00170F51">
              <w:rPr>
                <w:rFonts w:hint="cs"/>
                <w:rtl/>
              </w:rPr>
              <w:t>בזכויות</w:t>
            </w:r>
            <w:r w:rsidR="00D743CE">
              <w:rPr>
                <w:rFonts w:hint="cs"/>
                <w:rtl/>
              </w:rPr>
              <w:t>יו</w:t>
            </w:r>
            <w:r w:rsidR="00170F51">
              <w:rPr>
                <w:rFonts w:hint="cs"/>
                <w:rtl/>
              </w:rPr>
              <w:t xml:space="preserve"> לפי הוראות חוק הלוואות לדיור</w:t>
            </w:r>
            <w:r>
              <w:rPr>
                <w:rFonts w:hint="cs"/>
                <w:rtl/>
              </w:rPr>
              <w:t xml:space="preserve">, </w:t>
            </w:r>
            <w:proofErr w:type="spellStart"/>
            <w:r>
              <w:rPr>
                <w:rFonts w:hint="cs"/>
                <w:rtl/>
              </w:rPr>
              <w:t>התשנ"ב</w:t>
            </w:r>
            <w:proofErr w:type="spellEnd"/>
            <w:r>
              <w:rPr>
                <w:rFonts w:hint="eastAsia"/>
                <w:rtl/>
              </w:rPr>
              <w:t>–1992</w:t>
            </w:r>
            <w:r>
              <w:rPr>
                <w:rStyle w:val="a6"/>
                <w:rtl/>
              </w:rPr>
              <w:footnoteReference w:id="4"/>
            </w:r>
            <w:r>
              <w:rPr>
                <w:rFonts w:hint="cs"/>
                <w:rtl/>
              </w:rPr>
              <w:t>ל</w:t>
            </w:r>
            <w:r w:rsidR="00170F51">
              <w:rPr>
                <w:rFonts w:hint="cs"/>
                <w:rtl/>
              </w:rPr>
              <w:t xml:space="preserve">עניין </w:t>
            </w:r>
            <w:r>
              <w:rPr>
                <w:rFonts w:hint="cs"/>
                <w:rtl/>
              </w:rPr>
              <w:t>פנ</w:t>
            </w:r>
            <w:r w:rsidR="00170F51">
              <w:rPr>
                <w:rFonts w:hint="cs"/>
                <w:rtl/>
              </w:rPr>
              <w:t>ייה</w:t>
            </w:r>
            <w:r>
              <w:rPr>
                <w:rFonts w:hint="cs"/>
                <w:rtl/>
              </w:rPr>
              <w:t xml:space="preserve"> לוועדה המיוחדת בבקשה להקל בפירעון תשלומי הלוואה שנטל בהתאם להוראות סעיף 5א לחוק האמור.</w:t>
            </w:r>
            <w:r w:rsidR="004F4E8F">
              <w:rPr>
                <w:rFonts w:hint="cs"/>
                <w:rtl/>
              </w:rPr>
              <w:t>"</w:t>
            </w:r>
          </w:p>
        </w:tc>
      </w:tr>
      <w:tr w:rsidR="00737A90" w14:paraId="02607D8F" w14:textId="77777777" w:rsidTr="00CA7EC7">
        <w:trPr>
          <w:cantSplit/>
          <w:trHeight w:val="60"/>
        </w:trPr>
        <w:tc>
          <w:tcPr>
            <w:tcW w:w="1871" w:type="dxa"/>
          </w:tcPr>
          <w:p w14:paraId="42B08E5E" w14:textId="6D661514" w:rsidR="00737A90" w:rsidRDefault="00737A90" w:rsidP="00D922F7">
            <w:pPr>
              <w:pStyle w:val="TableSideHeading"/>
              <w:rPr>
                <w:rtl/>
              </w:rPr>
            </w:pPr>
            <w:r>
              <w:rPr>
                <w:rFonts w:hint="cs"/>
                <w:rtl/>
              </w:rPr>
              <w:t>תחולה</w:t>
            </w:r>
          </w:p>
        </w:tc>
        <w:tc>
          <w:tcPr>
            <w:tcW w:w="624" w:type="dxa"/>
          </w:tcPr>
          <w:p w14:paraId="0A528D8F" w14:textId="713F561E" w:rsidR="00737A90" w:rsidRDefault="00737A90" w:rsidP="00D922F7">
            <w:pPr>
              <w:pStyle w:val="TableText"/>
            </w:pPr>
            <w:r>
              <w:rPr>
                <w:rFonts w:hint="cs"/>
                <w:rtl/>
              </w:rPr>
              <w:t>3.</w:t>
            </w:r>
          </w:p>
        </w:tc>
        <w:tc>
          <w:tcPr>
            <w:tcW w:w="7146" w:type="dxa"/>
            <w:gridSpan w:val="6"/>
          </w:tcPr>
          <w:p w14:paraId="657631C7" w14:textId="42984FB4" w:rsidR="00737A90" w:rsidRDefault="004F4E8F" w:rsidP="00D922F7">
            <w:pPr>
              <w:pStyle w:val="TableBlock"/>
              <w:rPr>
                <w:rtl/>
              </w:rPr>
            </w:pPr>
            <w:r>
              <w:rPr>
                <w:rFonts w:hint="cs"/>
                <w:rtl/>
              </w:rPr>
              <w:t xml:space="preserve">הוראות </w:t>
            </w:r>
            <w:r w:rsidR="00737A90" w:rsidRPr="008A2E6C">
              <w:rPr>
                <w:rFonts w:hint="eastAsia"/>
                <w:rtl/>
              </w:rPr>
              <w:t>חוק</w:t>
            </w:r>
            <w:r w:rsidR="00737A90" w:rsidRPr="008A2E6C">
              <w:rPr>
                <w:rtl/>
              </w:rPr>
              <w:t xml:space="preserve"> </w:t>
            </w:r>
            <w:r w:rsidR="00737A90" w:rsidRPr="008A2E6C">
              <w:rPr>
                <w:rFonts w:hint="eastAsia"/>
                <w:rtl/>
              </w:rPr>
              <w:t>זה</w:t>
            </w:r>
            <w:r w:rsidR="00737A90" w:rsidRPr="008A2E6C">
              <w:rPr>
                <w:rtl/>
              </w:rPr>
              <w:t xml:space="preserve"> </w:t>
            </w:r>
            <w:r w:rsidR="00737A90" w:rsidRPr="008A2E6C">
              <w:rPr>
                <w:rFonts w:hint="eastAsia"/>
                <w:rtl/>
              </w:rPr>
              <w:t>יחול</w:t>
            </w:r>
            <w:r>
              <w:rPr>
                <w:rFonts w:hint="cs"/>
                <w:rtl/>
              </w:rPr>
              <w:t>ו</w:t>
            </w:r>
            <w:r w:rsidR="00737A90" w:rsidRPr="008A2E6C">
              <w:rPr>
                <w:rtl/>
              </w:rPr>
              <w:t xml:space="preserve"> </w:t>
            </w:r>
            <w:r w:rsidR="00737A90">
              <w:rPr>
                <w:rFonts w:hint="cs"/>
                <w:rtl/>
              </w:rPr>
              <w:t xml:space="preserve">גם </w:t>
            </w:r>
            <w:r w:rsidR="00737A90" w:rsidRPr="008A2E6C">
              <w:rPr>
                <w:rtl/>
              </w:rPr>
              <w:t xml:space="preserve">על הלוואות לדיור </w:t>
            </w:r>
            <w:r w:rsidR="00737A90" w:rsidRPr="008A2E6C">
              <w:rPr>
                <w:rFonts w:hint="eastAsia"/>
                <w:rtl/>
              </w:rPr>
              <w:t>שניטלו</w:t>
            </w:r>
            <w:r w:rsidR="00737A90" w:rsidRPr="008A2E6C">
              <w:rPr>
                <w:rtl/>
              </w:rPr>
              <w:t xml:space="preserve"> </w:t>
            </w:r>
            <w:r w:rsidR="00737A90" w:rsidRPr="008A2E6C">
              <w:rPr>
                <w:rFonts w:hint="eastAsia"/>
                <w:rtl/>
              </w:rPr>
              <w:t>לפני</w:t>
            </w:r>
            <w:r w:rsidR="00737A90" w:rsidRPr="008A2E6C">
              <w:rPr>
                <w:rtl/>
              </w:rPr>
              <w:t xml:space="preserve"> </w:t>
            </w:r>
            <w:r w:rsidR="00737A90">
              <w:rPr>
                <w:rFonts w:hint="cs"/>
                <w:rtl/>
              </w:rPr>
              <w:t xml:space="preserve">יום </w:t>
            </w:r>
            <w:r w:rsidR="00737A90" w:rsidRPr="008A2E6C">
              <w:rPr>
                <w:rtl/>
              </w:rPr>
              <w:t>תחילתו, ובלבד שתקופת החזר ההלוואה</w:t>
            </w:r>
            <w:r>
              <w:rPr>
                <w:rFonts w:hint="cs"/>
                <w:rtl/>
              </w:rPr>
              <w:t xml:space="preserve"> </w:t>
            </w:r>
            <w:r w:rsidR="00737A90" w:rsidRPr="008A2E6C">
              <w:rPr>
                <w:rtl/>
              </w:rPr>
              <w:t>ארוכה מעשר שנים.</w:t>
            </w:r>
          </w:p>
        </w:tc>
      </w:tr>
    </w:tbl>
    <w:p w14:paraId="7F6961CA" w14:textId="77777777" w:rsidR="002D1EE3" w:rsidRDefault="002D1EE3" w:rsidP="002D1EE3">
      <w:pPr>
        <w:pStyle w:val="HeadDivreiHesber"/>
        <w:rPr>
          <w:rtl/>
        </w:rPr>
      </w:pPr>
      <w:r w:rsidRPr="0027450A">
        <w:rPr>
          <w:rFonts w:hint="cs"/>
          <w:rtl/>
        </w:rPr>
        <w:t>דברי הסבר</w:t>
      </w:r>
    </w:p>
    <w:p w14:paraId="481F056D" w14:textId="79DFE6EA" w:rsidR="00737A90" w:rsidRDefault="00A10ACA" w:rsidP="00A10ACA">
      <w:pPr>
        <w:pStyle w:val="Hesber"/>
        <w:rPr>
          <w:rtl/>
        </w:rPr>
      </w:pPr>
      <w:r w:rsidRPr="008A2E6C">
        <w:rPr>
          <w:rFonts w:hint="eastAsia"/>
          <w:rtl/>
        </w:rPr>
        <w:t>הצעת</w:t>
      </w:r>
      <w:r w:rsidRPr="008A2E6C">
        <w:rPr>
          <w:rtl/>
        </w:rPr>
        <w:t xml:space="preserve"> חוק זו </w:t>
      </w:r>
      <w:r>
        <w:rPr>
          <w:rFonts w:hint="cs"/>
          <w:rtl/>
        </w:rPr>
        <w:t>נועדה</w:t>
      </w:r>
      <w:r w:rsidRPr="008A2E6C">
        <w:rPr>
          <w:rtl/>
        </w:rPr>
        <w:t xml:space="preserve"> </w:t>
      </w:r>
      <w:r w:rsidRPr="008A2E6C">
        <w:rPr>
          <w:rFonts w:hint="eastAsia"/>
          <w:rtl/>
        </w:rPr>
        <w:t>לתת</w:t>
      </w:r>
      <w:r w:rsidRPr="008A2E6C">
        <w:rPr>
          <w:rtl/>
        </w:rPr>
        <w:t xml:space="preserve"> </w:t>
      </w:r>
      <w:r w:rsidRPr="008A2E6C">
        <w:rPr>
          <w:rFonts w:hint="eastAsia"/>
          <w:rtl/>
        </w:rPr>
        <w:t>פתרון</w:t>
      </w:r>
      <w:r w:rsidRPr="008A2E6C">
        <w:rPr>
          <w:rtl/>
        </w:rPr>
        <w:t xml:space="preserve"> לבעיה הנוצרת </w:t>
      </w:r>
      <w:r>
        <w:rPr>
          <w:rFonts w:hint="cs"/>
          <w:rtl/>
        </w:rPr>
        <w:t>במקרה</w:t>
      </w:r>
      <w:r w:rsidRPr="008A2E6C">
        <w:rPr>
          <w:rtl/>
        </w:rPr>
        <w:t xml:space="preserve"> בו אדם שנטל הלוואה לדיור </w:t>
      </w:r>
      <w:r>
        <w:rPr>
          <w:rFonts w:hint="cs"/>
          <w:rtl/>
        </w:rPr>
        <w:t xml:space="preserve">לא יכול לעמוד בתשלומים חודשיים של אותה הלוואה עקב אובדן </w:t>
      </w:r>
      <w:r w:rsidRPr="008A2E6C">
        <w:rPr>
          <w:rtl/>
        </w:rPr>
        <w:t xml:space="preserve">מקור פרנסתו. </w:t>
      </w:r>
      <w:r>
        <w:rPr>
          <w:rFonts w:hint="cs"/>
          <w:rtl/>
        </w:rPr>
        <w:t xml:space="preserve">במצב זה, </w:t>
      </w:r>
      <w:r w:rsidRPr="008A2E6C">
        <w:rPr>
          <w:rFonts w:hint="eastAsia"/>
          <w:rtl/>
        </w:rPr>
        <w:t>משמעות</w:t>
      </w:r>
      <w:r w:rsidRPr="008A2E6C">
        <w:rPr>
          <w:rtl/>
        </w:rPr>
        <w:t xml:space="preserve"> </w:t>
      </w:r>
      <w:r w:rsidRPr="008A2E6C">
        <w:rPr>
          <w:rFonts w:hint="eastAsia"/>
          <w:rtl/>
        </w:rPr>
        <w:t>הדבר</w:t>
      </w:r>
      <w:r w:rsidRPr="008A2E6C">
        <w:rPr>
          <w:rtl/>
        </w:rPr>
        <w:t xml:space="preserve">, </w:t>
      </w:r>
      <w:r w:rsidRPr="008A2E6C">
        <w:rPr>
          <w:rFonts w:hint="eastAsia"/>
          <w:rtl/>
        </w:rPr>
        <w:t>פעמים</w:t>
      </w:r>
      <w:r w:rsidRPr="008A2E6C">
        <w:rPr>
          <w:rtl/>
        </w:rPr>
        <w:t xml:space="preserve"> </w:t>
      </w:r>
      <w:r w:rsidRPr="008A2E6C">
        <w:rPr>
          <w:rFonts w:hint="eastAsia"/>
          <w:rtl/>
        </w:rPr>
        <w:t>רבות</w:t>
      </w:r>
      <w:r w:rsidRPr="008A2E6C">
        <w:rPr>
          <w:rtl/>
        </w:rPr>
        <w:t xml:space="preserve">, </w:t>
      </w:r>
      <w:r w:rsidRPr="008A2E6C">
        <w:rPr>
          <w:rFonts w:hint="eastAsia"/>
          <w:rtl/>
        </w:rPr>
        <w:t>היא</w:t>
      </w:r>
      <w:r w:rsidRPr="008A2E6C">
        <w:rPr>
          <w:rtl/>
        </w:rPr>
        <w:t xml:space="preserve"> </w:t>
      </w:r>
      <w:r w:rsidRPr="008A2E6C">
        <w:rPr>
          <w:rFonts w:hint="eastAsia"/>
          <w:rtl/>
        </w:rPr>
        <w:t>כי</w:t>
      </w:r>
      <w:r w:rsidRPr="008A2E6C">
        <w:rPr>
          <w:rtl/>
        </w:rPr>
        <w:t xml:space="preserve"> </w:t>
      </w:r>
      <w:r w:rsidRPr="008A2E6C">
        <w:rPr>
          <w:rFonts w:hint="eastAsia"/>
          <w:rtl/>
        </w:rPr>
        <w:t>הבנק</w:t>
      </w:r>
      <w:r w:rsidRPr="008A2E6C">
        <w:rPr>
          <w:rtl/>
        </w:rPr>
        <w:t xml:space="preserve"> </w:t>
      </w:r>
      <w:r w:rsidRPr="008A2E6C">
        <w:rPr>
          <w:rFonts w:hint="eastAsia"/>
          <w:rtl/>
        </w:rPr>
        <w:t>המלווה</w:t>
      </w:r>
      <w:r w:rsidRPr="008A2E6C">
        <w:rPr>
          <w:rtl/>
        </w:rPr>
        <w:t xml:space="preserve"> </w:t>
      </w:r>
      <w:r w:rsidRPr="008A2E6C">
        <w:rPr>
          <w:rFonts w:hint="eastAsia"/>
          <w:rtl/>
        </w:rPr>
        <w:t>נאלץ</w:t>
      </w:r>
      <w:r w:rsidRPr="008A2E6C">
        <w:rPr>
          <w:rtl/>
        </w:rPr>
        <w:t xml:space="preserve"> </w:t>
      </w:r>
      <w:r w:rsidRPr="008A2E6C">
        <w:rPr>
          <w:rFonts w:hint="eastAsia"/>
          <w:rtl/>
        </w:rPr>
        <w:t>להתחיל</w:t>
      </w:r>
      <w:r w:rsidRPr="008A2E6C">
        <w:rPr>
          <w:rtl/>
        </w:rPr>
        <w:t xml:space="preserve"> </w:t>
      </w:r>
      <w:r w:rsidRPr="008A2E6C">
        <w:rPr>
          <w:rFonts w:hint="eastAsia"/>
          <w:rtl/>
        </w:rPr>
        <w:t>בהליכי</w:t>
      </w:r>
      <w:r w:rsidRPr="008A2E6C">
        <w:rPr>
          <w:rtl/>
        </w:rPr>
        <w:t xml:space="preserve"> </w:t>
      </w:r>
      <w:r w:rsidRPr="008A2E6C">
        <w:rPr>
          <w:rFonts w:hint="eastAsia"/>
          <w:rtl/>
        </w:rPr>
        <w:t>מימוש</w:t>
      </w:r>
      <w:r w:rsidRPr="008A2E6C">
        <w:rPr>
          <w:rtl/>
        </w:rPr>
        <w:t xml:space="preserve"> </w:t>
      </w:r>
      <w:r w:rsidRPr="008A2E6C">
        <w:rPr>
          <w:rFonts w:hint="eastAsia"/>
          <w:rtl/>
        </w:rPr>
        <w:t>הבטוחה</w:t>
      </w:r>
      <w:r w:rsidRPr="008A2E6C">
        <w:rPr>
          <w:rtl/>
        </w:rPr>
        <w:t xml:space="preserve"> </w:t>
      </w:r>
      <w:r w:rsidRPr="008A2E6C">
        <w:rPr>
          <w:rFonts w:hint="eastAsia"/>
          <w:rtl/>
        </w:rPr>
        <w:t>שבידו</w:t>
      </w:r>
      <w:r w:rsidRPr="008A2E6C">
        <w:rPr>
          <w:rtl/>
        </w:rPr>
        <w:t xml:space="preserve">, הליך </w:t>
      </w:r>
      <w:r w:rsidRPr="008A2E6C">
        <w:rPr>
          <w:rFonts w:hint="eastAsia"/>
          <w:rtl/>
        </w:rPr>
        <w:t>שהוא</w:t>
      </w:r>
      <w:r w:rsidRPr="008A2E6C">
        <w:rPr>
          <w:rtl/>
        </w:rPr>
        <w:t xml:space="preserve"> </w:t>
      </w:r>
      <w:r w:rsidRPr="008A2E6C">
        <w:rPr>
          <w:rFonts w:hint="eastAsia"/>
          <w:rtl/>
        </w:rPr>
        <w:t>יקר</w:t>
      </w:r>
      <w:r w:rsidRPr="008A2E6C">
        <w:rPr>
          <w:rtl/>
        </w:rPr>
        <w:t xml:space="preserve"> </w:t>
      </w:r>
      <w:r w:rsidRPr="008A2E6C">
        <w:rPr>
          <w:rFonts w:hint="eastAsia"/>
          <w:rtl/>
        </w:rPr>
        <w:t>ופוגעני</w:t>
      </w:r>
      <w:r w:rsidRPr="008A2E6C">
        <w:rPr>
          <w:rtl/>
        </w:rPr>
        <w:t xml:space="preserve"> </w:t>
      </w:r>
      <w:r w:rsidRPr="008A2E6C">
        <w:rPr>
          <w:rFonts w:hint="eastAsia"/>
          <w:rtl/>
        </w:rPr>
        <w:t>לשני</w:t>
      </w:r>
      <w:r w:rsidRPr="008A2E6C">
        <w:rPr>
          <w:rtl/>
        </w:rPr>
        <w:t xml:space="preserve"> </w:t>
      </w:r>
      <w:r w:rsidRPr="008A2E6C">
        <w:rPr>
          <w:rFonts w:hint="eastAsia"/>
          <w:rtl/>
        </w:rPr>
        <w:t>הצדדים</w:t>
      </w:r>
      <w:r w:rsidRPr="008A2E6C">
        <w:rPr>
          <w:rtl/>
        </w:rPr>
        <w:t xml:space="preserve">. </w:t>
      </w:r>
      <w:r>
        <w:rPr>
          <w:rFonts w:hint="cs"/>
          <w:rtl/>
        </w:rPr>
        <w:t xml:space="preserve">על כן, </w:t>
      </w:r>
      <w:r w:rsidRPr="008A2E6C">
        <w:rPr>
          <w:rFonts w:hint="eastAsia"/>
          <w:rtl/>
        </w:rPr>
        <w:t>מוצע</w:t>
      </w:r>
      <w:r>
        <w:rPr>
          <w:rFonts w:hint="cs"/>
          <w:rtl/>
        </w:rPr>
        <w:t xml:space="preserve"> לאפשר ללווה</w:t>
      </w:r>
      <w:r w:rsidR="00737A90">
        <w:rPr>
          <w:rFonts w:hint="cs"/>
          <w:rtl/>
        </w:rPr>
        <w:t xml:space="preserve"> שהוא מובטל</w:t>
      </w:r>
      <w:r>
        <w:rPr>
          <w:rFonts w:hint="cs"/>
          <w:rtl/>
        </w:rPr>
        <w:t xml:space="preserve"> לדחות פירעון חודשי של הלוואה לדיור</w:t>
      </w:r>
      <w:r w:rsidR="00170F51">
        <w:rPr>
          <w:rFonts w:hint="cs"/>
          <w:rtl/>
        </w:rPr>
        <w:t>,</w:t>
      </w:r>
      <w:r>
        <w:rPr>
          <w:rFonts w:hint="cs"/>
          <w:rtl/>
        </w:rPr>
        <w:t xml:space="preserve"> באופן מלא או חלקי, על פי צרכיו,  ולא יותר משלושה חודשים רצופים</w:t>
      </w:r>
      <w:r w:rsidR="00170F51">
        <w:rPr>
          <w:rFonts w:hint="cs"/>
          <w:rtl/>
        </w:rPr>
        <w:t>, ובכל מקרה, סך כל הדחיות לא יעלה על שנה במצטבר</w:t>
      </w:r>
      <w:r>
        <w:rPr>
          <w:rFonts w:hint="cs"/>
          <w:rtl/>
        </w:rPr>
        <w:t>.</w:t>
      </w:r>
    </w:p>
    <w:p w14:paraId="7F6961CB" w14:textId="4629CAF4" w:rsidR="00E13C27" w:rsidRDefault="00E13C27" w:rsidP="00E13C27">
      <w:pPr>
        <w:pStyle w:val="Hesber"/>
        <w:rPr>
          <w:rtl/>
        </w:rPr>
      </w:pPr>
    </w:p>
    <w:p w14:paraId="55137286" w14:textId="7063E9C1" w:rsidR="008D66B9" w:rsidRDefault="008D66B9" w:rsidP="00E13C27">
      <w:pPr>
        <w:pStyle w:val="Hesber"/>
        <w:rPr>
          <w:rtl/>
        </w:rPr>
      </w:pPr>
    </w:p>
    <w:p w14:paraId="2B0B5BA4" w14:textId="77777777" w:rsidR="008D66B9" w:rsidRDefault="008D66B9" w:rsidP="008D66B9">
      <w:pPr>
        <w:pStyle w:val="Hesber"/>
        <w:rPr>
          <w:color w:val="auto"/>
          <w:lang w:eastAsia="en-US"/>
        </w:rPr>
      </w:pPr>
      <w:r>
        <w:rPr>
          <w:rFonts w:hint="cs"/>
          <w:color w:val="auto"/>
          <w:rtl/>
          <w:lang w:eastAsia="en-US"/>
        </w:rPr>
        <w:t>---------------------------------</w:t>
      </w:r>
    </w:p>
    <w:p w14:paraId="6DC77B84" w14:textId="77777777" w:rsidR="008D66B9" w:rsidRDefault="008D66B9" w:rsidP="008D66B9">
      <w:pPr>
        <w:pStyle w:val="Hesber"/>
        <w:rPr>
          <w:color w:val="auto"/>
          <w:rtl/>
          <w:lang w:eastAsia="en-US"/>
        </w:rPr>
      </w:pPr>
      <w:r>
        <w:rPr>
          <w:rFonts w:hint="cs"/>
          <w:color w:val="auto"/>
          <w:rtl/>
          <w:lang w:eastAsia="en-US"/>
        </w:rPr>
        <w:t>הוגשה ליו"ר הכנסת והסגנים</w:t>
      </w:r>
    </w:p>
    <w:p w14:paraId="18DA6819" w14:textId="77777777" w:rsidR="008D66B9" w:rsidRDefault="008D66B9" w:rsidP="008D66B9">
      <w:pPr>
        <w:pStyle w:val="Hesber"/>
        <w:rPr>
          <w:color w:val="auto"/>
          <w:rtl/>
          <w:lang w:eastAsia="en-US"/>
        </w:rPr>
      </w:pPr>
      <w:r>
        <w:rPr>
          <w:rFonts w:hint="cs"/>
          <w:color w:val="auto"/>
          <w:rtl/>
          <w:lang w:eastAsia="en-US"/>
        </w:rPr>
        <w:t>והונחה על שולחן הכנסת ביום</w:t>
      </w:r>
    </w:p>
    <w:p w14:paraId="0DD8455A" w14:textId="1364A2B6" w:rsidR="008D66B9" w:rsidRDefault="0094077D" w:rsidP="008D66B9">
      <w:pPr>
        <w:pStyle w:val="Hesber"/>
        <w:rPr>
          <w:rtl/>
        </w:rPr>
      </w:pPr>
      <w:r>
        <w:rPr>
          <w:rFonts w:hint="cs"/>
          <w:color w:val="auto"/>
          <w:rtl/>
          <w:lang w:eastAsia="en-US"/>
        </w:rPr>
        <w:t>כ"ח</w:t>
      </w:r>
      <w:r w:rsidR="008D66B9">
        <w:rPr>
          <w:rFonts w:hint="cs"/>
          <w:color w:val="auto"/>
          <w:rtl/>
          <w:lang w:eastAsia="en-US"/>
        </w:rPr>
        <w:t xml:space="preserve"> בתמוז </w:t>
      </w:r>
      <w:proofErr w:type="spellStart"/>
      <w:r w:rsidR="008D66B9">
        <w:rPr>
          <w:rFonts w:hint="cs"/>
          <w:color w:val="auto"/>
          <w:rtl/>
          <w:lang w:eastAsia="en-US"/>
        </w:rPr>
        <w:t>התשע"ו</w:t>
      </w:r>
      <w:proofErr w:type="spellEnd"/>
      <w:r w:rsidR="008D66B9">
        <w:rPr>
          <w:rFonts w:hint="cs"/>
          <w:color w:val="auto"/>
          <w:rtl/>
          <w:lang w:eastAsia="en-US"/>
        </w:rPr>
        <w:t xml:space="preserve"> – 3.8.16</w:t>
      </w:r>
    </w:p>
    <w:p w14:paraId="68F093D3" w14:textId="77777777" w:rsidR="008D66B9" w:rsidRDefault="008D66B9" w:rsidP="00E13C27">
      <w:pPr>
        <w:pStyle w:val="Hesber"/>
        <w:rPr>
          <w:rtl/>
        </w:rPr>
      </w:pPr>
    </w:p>
    <w:sectPr w:rsidR="008D66B9"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851C08" w14:textId="77777777" w:rsidR="007F31CB" w:rsidRDefault="007F31CB">
      <w:r>
        <w:separator/>
      </w:r>
    </w:p>
  </w:endnote>
  <w:endnote w:type="continuationSeparator" w:id="0">
    <w:p w14:paraId="55C26582" w14:textId="77777777" w:rsidR="007F31CB" w:rsidRDefault="007F31CB">
      <w:r>
        <w:continuationSeparator/>
      </w:r>
    </w:p>
  </w:endnote>
  <w:endnote w:type="continuationNotice" w:id="1">
    <w:p w14:paraId="7B30A2B8" w14:textId="77777777" w:rsidR="007F31CB" w:rsidRDefault="007F31C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73ADB">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7D2BF" w14:textId="77777777" w:rsidR="007F31CB" w:rsidRDefault="007F31CB">
      <w:r>
        <w:separator/>
      </w:r>
    </w:p>
  </w:footnote>
  <w:footnote w:type="continuationSeparator" w:id="0">
    <w:p w14:paraId="1258EAC3" w14:textId="77777777" w:rsidR="007F31CB" w:rsidRDefault="007F31CB">
      <w:r>
        <w:continuationSeparator/>
      </w:r>
    </w:p>
  </w:footnote>
  <w:footnote w:type="continuationNotice" w:id="1">
    <w:p w14:paraId="53359EE2" w14:textId="77777777" w:rsidR="007F31CB" w:rsidRDefault="007F31CB"/>
  </w:footnote>
  <w:footnote w:id="2">
    <w:p w14:paraId="4ABD7765" w14:textId="77777777" w:rsidR="00A10ACA" w:rsidRDefault="00A10ACA" w:rsidP="00A10ACA">
      <w:pPr>
        <w:pStyle w:val="a4"/>
        <w:rPr>
          <w:rtl/>
        </w:rPr>
      </w:pPr>
      <w:r>
        <w:rPr>
          <w:rStyle w:val="a6"/>
        </w:rPr>
        <w:footnoteRef/>
      </w:r>
      <w:r>
        <w:rPr>
          <w:rtl/>
        </w:rPr>
        <w:t xml:space="preserve"> </w:t>
      </w:r>
      <w:r>
        <w:rPr>
          <w:rFonts w:hint="cs"/>
          <w:rtl/>
        </w:rPr>
        <w:t xml:space="preserve">ס"ח </w:t>
      </w:r>
      <w:proofErr w:type="spellStart"/>
      <w:r>
        <w:rPr>
          <w:rFonts w:hint="cs"/>
          <w:rtl/>
        </w:rPr>
        <w:t>התשמ"א</w:t>
      </w:r>
      <w:proofErr w:type="spellEnd"/>
      <w:r>
        <w:rPr>
          <w:rFonts w:hint="cs"/>
          <w:rtl/>
        </w:rPr>
        <w:t>, עמ' 258.</w:t>
      </w:r>
    </w:p>
  </w:footnote>
  <w:footnote w:id="3">
    <w:p w14:paraId="20F0F446" w14:textId="45D27052" w:rsidR="004F4E8F" w:rsidRDefault="004F4E8F">
      <w:pPr>
        <w:pStyle w:val="a4"/>
        <w:rPr>
          <w:rtl/>
        </w:rPr>
      </w:pPr>
      <w:r>
        <w:rPr>
          <w:rStyle w:val="a6"/>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 w:id="4">
    <w:p w14:paraId="619A2A1E" w14:textId="77777777" w:rsidR="00A10ACA" w:rsidRDefault="00A10ACA" w:rsidP="00A10ACA">
      <w:pPr>
        <w:pStyle w:val="a4"/>
      </w:pPr>
      <w:r>
        <w:rPr>
          <w:rStyle w:val="a6"/>
        </w:rPr>
        <w:footnoteRef/>
      </w:r>
      <w:r>
        <w:rPr>
          <w:rtl/>
        </w:rPr>
        <w:t xml:space="preserve"> </w:t>
      </w:r>
      <w:r>
        <w:rPr>
          <w:rFonts w:hint="cs"/>
          <w:rtl/>
        </w:rPr>
        <w:t xml:space="preserve">ס"ח </w:t>
      </w:r>
      <w:proofErr w:type="spellStart"/>
      <w:r>
        <w:rPr>
          <w:rFonts w:hint="cs"/>
          <w:rtl/>
        </w:rPr>
        <w:t>התשנ"ב</w:t>
      </w:r>
      <w:proofErr w:type="spellEnd"/>
      <w:r>
        <w:rPr>
          <w:rFonts w:hint="cs"/>
          <w:rtl/>
        </w:rPr>
        <w:t xml:space="preserve">, עמ' 246.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70F51"/>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4F4E8F"/>
    <w:rsid w:val="00553C9D"/>
    <w:rsid w:val="00562A66"/>
    <w:rsid w:val="005B064E"/>
    <w:rsid w:val="005B1020"/>
    <w:rsid w:val="005D51AE"/>
    <w:rsid w:val="0062674B"/>
    <w:rsid w:val="006363B2"/>
    <w:rsid w:val="00644940"/>
    <w:rsid w:val="00660DD0"/>
    <w:rsid w:val="006818A9"/>
    <w:rsid w:val="006A2D81"/>
    <w:rsid w:val="006C1D0D"/>
    <w:rsid w:val="0070601E"/>
    <w:rsid w:val="00712C72"/>
    <w:rsid w:val="00735FE9"/>
    <w:rsid w:val="00737A90"/>
    <w:rsid w:val="00763CAA"/>
    <w:rsid w:val="00765F66"/>
    <w:rsid w:val="00773ADB"/>
    <w:rsid w:val="0078664F"/>
    <w:rsid w:val="007C3FA6"/>
    <w:rsid w:val="007D585A"/>
    <w:rsid w:val="007D5A12"/>
    <w:rsid w:val="007E59F9"/>
    <w:rsid w:val="007F31CB"/>
    <w:rsid w:val="00810BCD"/>
    <w:rsid w:val="00812C98"/>
    <w:rsid w:val="00814D92"/>
    <w:rsid w:val="0083181D"/>
    <w:rsid w:val="00843EB2"/>
    <w:rsid w:val="00865572"/>
    <w:rsid w:val="00874BBC"/>
    <w:rsid w:val="00892135"/>
    <w:rsid w:val="00895449"/>
    <w:rsid w:val="00897879"/>
    <w:rsid w:val="008A6870"/>
    <w:rsid w:val="008C2DDC"/>
    <w:rsid w:val="008C7516"/>
    <w:rsid w:val="008D66B9"/>
    <w:rsid w:val="008E6EC7"/>
    <w:rsid w:val="008F0D63"/>
    <w:rsid w:val="008F1308"/>
    <w:rsid w:val="008F2C35"/>
    <w:rsid w:val="008F6665"/>
    <w:rsid w:val="00904591"/>
    <w:rsid w:val="00905E5F"/>
    <w:rsid w:val="0091204F"/>
    <w:rsid w:val="009203DB"/>
    <w:rsid w:val="00923CD4"/>
    <w:rsid w:val="00930EFE"/>
    <w:rsid w:val="0094077D"/>
    <w:rsid w:val="00943386"/>
    <w:rsid w:val="009456B6"/>
    <w:rsid w:val="00957589"/>
    <w:rsid w:val="00966D06"/>
    <w:rsid w:val="00982412"/>
    <w:rsid w:val="00983A8D"/>
    <w:rsid w:val="009A0DB8"/>
    <w:rsid w:val="009A7257"/>
    <w:rsid w:val="009D6E0A"/>
    <w:rsid w:val="009E1E33"/>
    <w:rsid w:val="00A10ACA"/>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743CE"/>
    <w:rsid w:val="00D8410D"/>
    <w:rsid w:val="00D867D7"/>
    <w:rsid w:val="00DB7060"/>
    <w:rsid w:val="00DE3153"/>
    <w:rsid w:val="00E06736"/>
    <w:rsid w:val="00E13C27"/>
    <w:rsid w:val="00E33BBD"/>
    <w:rsid w:val="00E374F2"/>
    <w:rsid w:val="00E45103"/>
    <w:rsid w:val="00E47ACA"/>
    <w:rsid w:val="00E55A60"/>
    <w:rsid w:val="00E62778"/>
    <w:rsid w:val="00E63D38"/>
    <w:rsid w:val="00E665B9"/>
    <w:rsid w:val="00EA01E6"/>
    <w:rsid w:val="00EA3DE8"/>
    <w:rsid w:val="00EA758F"/>
    <w:rsid w:val="00ED4A6F"/>
    <w:rsid w:val="00EF3A3A"/>
    <w:rsid w:val="00F628D6"/>
    <w:rsid w:val="00F67051"/>
    <w:rsid w:val="00F72432"/>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locked/>
    <w:rsid w:val="00A10AC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376144">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2AE826-94C0-412F-A2DA-B15B0ECEFE8C}"/>
</file>

<file path=customXml/itemProps4.xml><?xml version="1.0" encoding="utf-8"?>
<ds:datastoreItem xmlns:ds="http://schemas.openxmlformats.org/officeDocument/2006/customXml" ds:itemID="{CC71A98C-2779-4EEE-AF2D-5F0B7F2B5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399</Words>
  <Characters>2000</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2016-08-01T09:41:00Z</cp:lastPrinted>
  <dcterms:created xsi:type="dcterms:W3CDTF">2017-09-19T07:25:00Z</dcterms:created>
  <dcterms:modified xsi:type="dcterms:W3CDTF">2017-09-19T07:25:00Z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2021244</vt:r8>
  </property>
</Properties>
</file>