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2017127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A" w14:textId="308196FA" w:rsidR="00E13C27" w:rsidRPr="00CF1AA2" w:rsidRDefault="008F6665" w:rsidP="00D10DE1">
      <w:pPr>
        <w:pStyle w:val="David"/>
        <w:spacing w:line="360" w:lineRule="auto"/>
        <w:ind w:left="3544"/>
        <w:rPr>
          <w:b/>
          <w:bCs/>
          <w:sz w:val="16"/>
          <w:szCs w:val="16"/>
          <w:rtl/>
        </w:rPr>
      </w:pPr>
      <w:bookmarkStart w:id="3" w:name="LGS_Initiators_List"/>
      <w:r>
        <w:rPr>
          <w:b/>
          <w:bCs/>
          <w:rtl/>
        </w:rPr>
        <w:t>יוזמים:      חברי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יעקב פרי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יואב קיש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חיים ילין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מאיר כהן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רוברט אילטוב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חמד עמאר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 xml:space="preserve">יוליה </w:t>
      </w:r>
      <w:proofErr w:type="spellStart"/>
      <w:r>
        <w:rPr>
          <w:rFonts w:hint="cs"/>
          <w:b/>
          <w:bCs/>
          <w:rtl/>
        </w:rPr>
        <w:t>מלינובסקי</w:t>
      </w:r>
      <w:proofErr w:type="spellEnd"/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עפר שלח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נחמן שי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עודד פורר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יואב בן צור</w:t>
      </w:r>
      <w:bookmarkStart w:id="5" w:name="LGS_Join_List"/>
      <w:bookmarkEnd w:id="4"/>
      <w:r w:rsidR="007D585A">
        <w:rPr>
          <w:rtl/>
        </w:rPr>
        <w:t xml:space="preserve"> 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 w:rsidR="007D585A">
        <w:rPr>
          <w:rFonts w:hint="cs"/>
          <w:rtl/>
        </w:rPr>
        <w:t xml:space="preserve"> </w:t>
      </w:r>
      <w:bookmarkEnd w:id="6"/>
    </w:p>
    <w:p w14:paraId="34DB4103" w14:textId="77777777"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B" w14:textId="256138AA" w:rsidR="00E13C27" w:rsidRPr="00E06736" w:rsidRDefault="00904591" w:rsidP="00904591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8F1308">
        <w:t xml:space="preserve"> </w:t>
      </w:r>
      <w:bookmarkStart w:id="7" w:name="Private_Number"/>
      <w:r>
        <w:rPr>
          <w:rFonts w:hint="cs"/>
          <w:rtl/>
        </w:rPr>
        <w:t>פ/4319/20</w:t>
      </w:r>
      <w:bookmarkEnd w:id="7"/>
    </w:p>
    <w:p w14:paraId="7F6961AC" w14:textId="77777777" w:rsidR="00E13C27" w:rsidRDefault="00E13C27" w:rsidP="00E13C27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14:paraId="7F6961AD" w14:textId="5B3A53A6" w:rsidR="00E13C27" w:rsidRDefault="00A443CF" w:rsidP="00D10DE1">
      <w:pPr>
        <w:pStyle w:val="HeadHatzaotHok"/>
        <w:spacing w:line="240" w:lineRule="auto"/>
        <w:rPr>
          <w:rtl/>
        </w:rPr>
      </w:pPr>
      <w:bookmarkStart w:id="8" w:name="LGS_Subject"/>
      <w:r>
        <w:rPr>
          <w:rFonts w:hint="cs"/>
          <w:rtl/>
        </w:rPr>
        <w:t xml:space="preserve">הצעת חוק לתיקון פקודת התעבורה (סמכות אכיפה בחניונים פרטיים), </w:t>
      </w:r>
      <w:proofErr w:type="spellStart"/>
      <w:r>
        <w:rPr>
          <w:rFonts w:hint="cs"/>
          <w:rtl/>
        </w:rPr>
        <w:t>התשע"ז</w:t>
      </w:r>
      <w:proofErr w:type="spellEnd"/>
      <w:r>
        <w:rPr>
          <w:rFonts w:hint="cs"/>
          <w:rtl/>
        </w:rPr>
        <w:t>–2017</w:t>
      </w:r>
      <w:bookmarkEnd w:id="8"/>
    </w:p>
    <w:p w14:paraId="2BB4CB21" w14:textId="77777777" w:rsidR="00D10DE1" w:rsidRPr="00F67051" w:rsidRDefault="00D10DE1" w:rsidP="00D10DE1">
      <w:pPr>
        <w:pStyle w:val="HeadHatzaotHok"/>
        <w:spacing w:line="240" w:lineRule="auto"/>
        <w:rPr>
          <w:rtl/>
        </w:rPr>
      </w:pPr>
    </w:p>
    <w:tbl>
      <w:tblPr>
        <w:bidiVisual/>
        <w:tblW w:w="958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69"/>
        <w:gridCol w:w="624"/>
        <w:gridCol w:w="7088"/>
      </w:tblGrid>
      <w:tr w:rsidR="00334C62" w:rsidRPr="00B12345" w14:paraId="38F110B9" w14:textId="77777777" w:rsidTr="00423200">
        <w:trPr>
          <w:cantSplit/>
        </w:trPr>
        <w:tc>
          <w:tcPr>
            <w:tcW w:w="1869" w:type="dxa"/>
          </w:tcPr>
          <w:p w14:paraId="42205953" w14:textId="77777777" w:rsidR="00334C62" w:rsidRPr="00880078" w:rsidRDefault="00334C62" w:rsidP="00423200">
            <w:pPr>
              <w:pStyle w:val="TableSideHeading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תיקון סעיף 62</w:t>
            </w:r>
          </w:p>
        </w:tc>
        <w:tc>
          <w:tcPr>
            <w:tcW w:w="624" w:type="dxa"/>
          </w:tcPr>
          <w:p w14:paraId="6E0F9044" w14:textId="77777777" w:rsidR="00334C62" w:rsidRPr="00880078" w:rsidRDefault="00334C62" w:rsidP="00423200">
            <w:pPr>
              <w:pStyle w:val="TableText"/>
              <w:keepLines w:val="0"/>
              <w:textAlignment w:val="auto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088" w:type="dxa"/>
          </w:tcPr>
          <w:p w14:paraId="661E7165" w14:textId="72615AE6" w:rsidR="00334C62" w:rsidRPr="00B12345" w:rsidRDefault="00334C62" w:rsidP="00423200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בפקודת התעבורה</w:t>
            </w:r>
            <w:r w:rsidRPr="00E421ED">
              <w:rPr>
                <w:rStyle w:val="a5"/>
                <w:szCs w:val="20"/>
                <w:rtl/>
              </w:rPr>
              <w:footnoteReference w:id="2"/>
            </w:r>
            <w:r>
              <w:rPr>
                <w:rFonts w:hint="cs"/>
                <w:rtl/>
              </w:rPr>
              <w:t xml:space="preserve"> (להלן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  <w:r w:rsidR="00D10DE1">
              <w:rPr>
                <w:rFonts w:hint="cs"/>
                <w:rtl/>
              </w:rPr>
              <w:t xml:space="preserve">הפקודה), בסעיף 62, אחרי פסקה (11) </w:t>
            </w:r>
            <w:r>
              <w:rPr>
                <w:rFonts w:hint="cs"/>
                <w:rtl/>
              </w:rPr>
              <w:t xml:space="preserve">יבוא: </w:t>
            </w:r>
          </w:p>
        </w:tc>
      </w:tr>
      <w:tr w:rsidR="00334C62" w:rsidRPr="00B12345" w14:paraId="49439227" w14:textId="77777777" w:rsidTr="00423200">
        <w:trPr>
          <w:cantSplit/>
        </w:trPr>
        <w:tc>
          <w:tcPr>
            <w:tcW w:w="1869" w:type="dxa"/>
          </w:tcPr>
          <w:p w14:paraId="131B6BAA" w14:textId="77777777" w:rsidR="00334C62" w:rsidRDefault="00334C62" w:rsidP="00423200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1DFE2629" w14:textId="77777777" w:rsidR="00334C62" w:rsidRDefault="00334C62" w:rsidP="00423200">
            <w:pPr>
              <w:pStyle w:val="TableText"/>
              <w:rPr>
                <w:rtl/>
              </w:rPr>
            </w:pPr>
          </w:p>
        </w:tc>
        <w:tc>
          <w:tcPr>
            <w:tcW w:w="7088" w:type="dxa"/>
          </w:tcPr>
          <w:p w14:paraId="3A0ABEB9" w14:textId="77777777" w:rsidR="00334C62" w:rsidRDefault="00334C62" w:rsidP="00423200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"(12)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מחנה את רכבו בחניון פרטי, אף אם אינו דרך, באופן המגביל או החוסם מעבר כלי רכב אחר ובניגוד להסדרי התנועה."</w:t>
            </w:r>
          </w:p>
        </w:tc>
      </w:tr>
      <w:tr w:rsidR="00334C62" w:rsidRPr="00B12345" w14:paraId="08CAAF8D" w14:textId="77777777" w:rsidTr="00423200">
        <w:trPr>
          <w:cantSplit/>
        </w:trPr>
        <w:tc>
          <w:tcPr>
            <w:tcW w:w="1869" w:type="dxa"/>
          </w:tcPr>
          <w:p w14:paraId="404ABEEE" w14:textId="77777777" w:rsidR="00334C62" w:rsidRDefault="00334C62" w:rsidP="00423200">
            <w:pPr>
              <w:pStyle w:val="TableSideHeading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תיקון סעיף 70א</w:t>
            </w:r>
          </w:p>
        </w:tc>
        <w:tc>
          <w:tcPr>
            <w:tcW w:w="624" w:type="dxa"/>
          </w:tcPr>
          <w:p w14:paraId="0E8B855C" w14:textId="77777777" w:rsidR="00334C62" w:rsidRDefault="00334C62" w:rsidP="00423200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2.</w:t>
            </w:r>
          </w:p>
        </w:tc>
        <w:tc>
          <w:tcPr>
            <w:tcW w:w="7088" w:type="dxa"/>
          </w:tcPr>
          <w:p w14:paraId="1987C62F" w14:textId="77777777" w:rsidR="00334C62" w:rsidRDefault="00334C62" w:rsidP="00423200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בסעיף 70א(ב) לפקודה, אחרי "או בטיחותה" יבוא "ובכלל זה בנסיבות האמורות בסעיף 62(12)".</w:t>
            </w:r>
          </w:p>
        </w:tc>
      </w:tr>
    </w:tbl>
    <w:p w14:paraId="7F6961CA" w14:textId="77777777"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3BE6B9F7" w14:textId="2B9896D2" w:rsidR="00334C62" w:rsidRDefault="00334C62" w:rsidP="000B21F7">
      <w:pPr>
        <w:pStyle w:val="TableBlock"/>
        <w:rPr>
          <w:rtl/>
        </w:rPr>
      </w:pPr>
      <w:r>
        <w:rPr>
          <w:rtl/>
        </w:rPr>
        <w:tab/>
      </w:r>
      <w:r>
        <w:rPr>
          <w:rFonts w:hint="cs"/>
          <w:rtl/>
        </w:rPr>
        <w:t>הסדרי התנועה הקיימים מסדירים את תנועת כ</w:t>
      </w:r>
      <w:r w:rsidR="004B74B6">
        <w:rPr>
          <w:rFonts w:hint="cs"/>
          <w:rtl/>
        </w:rPr>
        <w:t>ל</w:t>
      </w:r>
      <w:r>
        <w:rPr>
          <w:rFonts w:hint="cs"/>
          <w:rtl/>
        </w:rPr>
        <w:t xml:space="preserve">י הרכב, החניה ואת תנועת הולכי הרגל. </w:t>
      </w:r>
      <w:r w:rsidR="00E27E90">
        <w:rPr>
          <w:rFonts w:hint="cs"/>
          <w:rtl/>
        </w:rPr>
        <w:t>לפי</w:t>
      </w:r>
      <w:r>
        <w:rPr>
          <w:rFonts w:hint="cs"/>
          <w:rtl/>
        </w:rPr>
        <w:t xml:space="preserve"> הוראות הדין כיום</w:t>
      </w:r>
      <w:r w:rsidR="004B74B6">
        <w:rPr>
          <w:rFonts w:hint="cs"/>
          <w:rtl/>
        </w:rPr>
        <w:t>,</w:t>
      </w:r>
      <w:r>
        <w:rPr>
          <w:rFonts w:hint="cs"/>
          <w:rtl/>
        </w:rPr>
        <w:t xml:space="preserve"> סמכויות אכיפה לשוטרים ופקחים עירוניים בחניונים </w:t>
      </w:r>
      <w:r w:rsidR="004B74B6">
        <w:rPr>
          <w:rFonts w:hint="cs"/>
          <w:rtl/>
        </w:rPr>
        <w:t xml:space="preserve">פרטיים בבתים </w:t>
      </w:r>
      <w:r>
        <w:rPr>
          <w:rFonts w:hint="cs"/>
          <w:rtl/>
        </w:rPr>
        <w:t>משותפים</w:t>
      </w:r>
      <w:r w:rsidR="000B21F7">
        <w:rPr>
          <w:rFonts w:hint="cs"/>
          <w:rtl/>
        </w:rPr>
        <w:t xml:space="preserve"> אינן ברורות</w:t>
      </w:r>
      <w:r>
        <w:rPr>
          <w:rFonts w:hint="cs"/>
          <w:rtl/>
        </w:rPr>
        <w:t>.</w:t>
      </w:r>
    </w:p>
    <w:p w14:paraId="1D790FE0" w14:textId="6CDF90EA" w:rsidR="00334C62" w:rsidRDefault="00334C62" w:rsidP="008905D5">
      <w:pPr>
        <w:pStyle w:val="TableBlock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כפועל יוצא מכך, דיירים הנתקלים ברכב החונה שלא </w:t>
      </w:r>
      <w:r w:rsidR="004B74B6">
        <w:rPr>
          <w:rFonts w:hint="cs"/>
          <w:rtl/>
        </w:rPr>
        <w:t>לפי</w:t>
      </w:r>
      <w:r>
        <w:rPr>
          <w:rFonts w:hint="cs"/>
          <w:rtl/>
        </w:rPr>
        <w:t xml:space="preserve"> הסדרי התנועה הקיימים, בצורה שאינה בטיחותית העלולה לסכן את הולכי הרגל או רכב הנוסע, נתקלים בפני שוקת שבורה בבואם לטפל במטרד הבטיחותי.</w:t>
      </w:r>
    </w:p>
    <w:p w14:paraId="2A4EC72A" w14:textId="160330B7" w:rsidR="004B74B6" w:rsidRDefault="00334C62" w:rsidP="00E27E90">
      <w:pPr>
        <w:pStyle w:val="TableBlock"/>
        <w:rPr>
          <w:rtl/>
        </w:rPr>
      </w:pPr>
      <w:r>
        <w:rPr>
          <w:rtl/>
        </w:rPr>
        <w:lastRenderedPageBreak/>
        <w:tab/>
      </w:r>
      <w:r>
        <w:rPr>
          <w:rFonts w:hint="cs"/>
          <w:rtl/>
        </w:rPr>
        <w:t>לפיכך מוצע</w:t>
      </w:r>
      <w:r w:rsidR="006522C6">
        <w:rPr>
          <w:rFonts w:hint="cs"/>
          <w:rtl/>
        </w:rPr>
        <w:t xml:space="preserve"> להבהיר,</w:t>
      </w:r>
      <w:r>
        <w:rPr>
          <w:rFonts w:hint="cs"/>
          <w:rtl/>
        </w:rPr>
        <w:t xml:space="preserve"> כי חניית רכב </w:t>
      </w:r>
      <w:r w:rsidRPr="008C1B10">
        <w:rPr>
          <w:rFonts w:hint="cs"/>
          <w:rtl/>
        </w:rPr>
        <w:t xml:space="preserve"> </w:t>
      </w:r>
      <w:r>
        <w:rPr>
          <w:rFonts w:hint="cs"/>
          <w:rtl/>
        </w:rPr>
        <w:t>בניגוד להסדרי התנועה</w:t>
      </w:r>
      <w:r w:rsidR="004B74B6">
        <w:rPr>
          <w:rFonts w:hint="cs"/>
          <w:rtl/>
        </w:rPr>
        <w:t xml:space="preserve"> בחניונים פרטיים בבתים משותפים</w:t>
      </w:r>
      <w:r>
        <w:rPr>
          <w:rFonts w:hint="cs"/>
          <w:rtl/>
        </w:rPr>
        <w:t>, באופן המגביל או חוסם מעבר כלי רכב</w:t>
      </w:r>
      <w:r w:rsidR="006522C6">
        <w:rPr>
          <w:rFonts w:hint="cs"/>
          <w:rtl/>
        </w:rPr>
        <w:t>,</w:t>
      </w:r>
      <w:r>
        <w:rPr>
          <w:rFonts w:hint="cs"/>
          <w:rtl/>
        </w:rPr>
        <w:t xml:space="preserve"> באופן שאינו בטיחותי</w:t>
      </w:r>
      <w:r w:rsidR="006522C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B74B6">
        <w:rPr>
          <w:rFonts w:hint="cs"/>
          <w:rtl/>
        </w:rPr>
        <w:t xml:space="preserve">תהיה </w:t>
      </w:r>
      <w:r>
        <w:rPr>
          <w:rFonts w:hint="cs"/>
          <w:rtl/>
        </w:rPr>
        <w:t>עבירה</w:t>
      </w:r>
      <w:r w:rsidR="004B74B6">
        <w:rPr>
          <w:rFonts w:hint="cs"/>
          <w:rtl/>
        </w:rPr>
        <w:t xml:space="preserve">. </w:t>
      </w:r>
    </w:p>
    <w:p w14:paraId="4862C15E" w14:textId="124946A9" w:rsidR="00334C62" w:rsidRDefault="004B74B6" w:rsidP="008905D5">
      <w:pPr>
        <w:pStyle w:val="TableBlock"/>
        <w:rPr>
          <w:rtl/>
        </w:rPr>
      </w:pPr>
      <w:r>
        <w:rPr>
          <w:rFonts w:hint="cs"/>
          <w:rtl/>
        </w:rPr>
        <w:t>כמו כן, מוצע</w:t>
      </w:r>
      <w:r w:rsidR="00334C62">
        <w:rPr>
          <w:rFonts w:hint="cs"/>
          <w:rtl/>
        </w:rPr>
        <w:t xml:space="preserve"> </w:t>
      </w:r>
      <w:r w:rsidR="00E27E90">
        <w:rPr>
          <w:rFonts w:hint="cs"/>
          <w:rtl/>
        </w:rPr>
        <w:t>להבהיר</w:t>
      </w:r>
      <w:r>
        <w:rPr>
          <w:rFonts w:hint="cs"/>
          <w:rtl/>
        </w:rPr>
        <w:t xml:space="preserve"> </w:t>
      </w:r>
      <w:r w:rsidR="00E27E90">
        <w:rPr>
          <w:rFonts w:hint="cs"/>
          <w:rtl/>
        </w:rPr>
        <w:t xml:space="preserve">כי </w:t>
      </w:r>
      <w:r w:rsidR="000B21F7">
        <w:rPr>
          <w:rFonts w:hint="cs"/>
          <w:rtl/>
        </w:rPr>
        <w:t>ל</w:t>
      </w:r>
      <w:r w:rsidR="00334C62">
        <w:rPr>
          <w:rFonts w:hint="cs"/>
          <w:rtl/>
        </w:rPr>
        <w:t xml:space="preserve">שוטר יהיו סמכות אכיפה </w:t>
      </w:r>
      <w:r>
        <w:rPr>
          <w:rFonts w:hint="cs"/>
          <w:rtl/>
        </w:rPr>
        <w:t xml:space="preserve">לעניין חנייה גם בחניונים פרטיים בבתים משותפים. </w:t>
      </w:r>
    </w:p>
    <w:p w14:paraId="07627832" w14:textId="196C4E72" w:rsidR="00D10DE1" w:rsidRDefault="00D10DE1" w:rsidP="008905D5">
      <w:pPr>
        <w:pStyle w:val="TableBlock"/>
        <w:rPr>
          <w:rtl/>
        </w:rPr>
      </w:pPr>
    </w:p>
    <w:p w14:paraId="7BDAF169" w14:textId="77777777" w:rsidR="00D10DE1" w:rsidRPr="003856CD" w:rsidRDefault="00D10DE1" w:rsidP="008905D5">
      <w:pPr>
        <w:pStyle w:val="TableBlock"/>
        <w:rPr>
          <w:rtl/>
        </w:rPr>
      </w:pPr>
    </w:p>
    <w:p w14:paraId="0AC6ADDB" w14:textId="77777777" w:rsidR="00D10DE1" w:rsidRPr="00D73212" w:rsidRDefault="00D10DE1" w:rsidP="00D10DE1">
      <w:pPr>
        <w:pStyle w:val="Hesber"/>
        <w:rPr>
          <w:color w:val="auto"/>
          <w:rtl/>
          <w:lang w:eastAsia="en-US"/>
        </w:rPr>
      </w:pPr>
      <w:r w:rsidRPr="00D73212">
        <w:rPr>
          <w:color w:val="auto"/>
          <w:rtl/>
          <w:lang w:eastAsia="en-US"/>
        </w:rPr>
        <w:t>---------------------------------</w:t>
      </w:r>
    </w:p>
    <w:p w14:paraId="030870EC" w14:textId="77777777" w:rsidR="00D10DE1" w:rsidRPr="00D73212" w:rsidRDefault="00D10DE1" w:rsidP="00D10DE1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הוגשה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ליו</w:t>
      </w:r>
      <w:r w:rsidRPr="00D73212">
        <w:rPr>
          <w:color w:val="auto"/>
          <w:rtl/>
          <w:lang w:eastAsia="en-US"/>
        </w:rPr>
        <w:t>"</w:t>
      </w:r>
      <w:r w:rsidRPr="00D73212">
        <w:rPr>
          <w:rFonts w:hint="cs"/>
          <w:color w:val="auto"/>
          <w:rtl/>
          <w:lang w:eastAsia="en-US"/>
        </w:rPr>
        <w:t>ר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והסגנים</w:t>
      </w:r>
    </w:p>
    <w:p w14:paraId="75E0B059" w14:textId="77777777" w:rsidR="00D10DE1" w:rsidRPr="00D73212" w:rsidRDefault="00D10DE1" w:rsidP="00D10DE1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והונחה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על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שולחן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ביום</w:t>
      </w:r>
    </w:p>
    <w:p w14:paraId="47DA4364" w14:textId="77777777" w:rsidR="00D10DE1" w:rsidRPr="00317312" w:rsidRDefault="00D10DE1" w:rsidP="00D10DE1">
      <w:pPr>
        <w:pStyle w:val="Hesber"/>
      </w:pPr>
      <w:r>
        <w:rPr>
          <w:rFonts w:hint="cs"/>
          <w:color w:val="auto"/>
          <w:rtl/>
          <w:lang w:eastAsia="en-US"/>
        </w:rPr>
        <w:t>כ"ה בסיוון</w:t>
      </w:r>
      <w:r w:rsidRPr="00D73212">
        <w:rPr>
          <w:color w:val="auto"/>
          <w:rtl/>
          <w:lang w:eastAsia="en-US"/>
        </w:rPr>
        <w:t xml:space="preserve"> </w:t>
      </w:r>
      <w:proofErr w:type="spellStart"/>
      <w:r w:rsidRPr="00D73212">
        <w:rPr>
          <w:rFonts w:hint="cs"/>
          <w:color w:val="auto"/>
          <w:rtl/>
          <w:lang w:eastAsia="en-US"/>
        </w:rPr>
        <w:t>התשע</w:t>
      </w:r>
      <w:r w:rsidRPr="00D73212">
        <w:rPr>
          <w:color w:val="auto"/>
          <w:rtl/>
          <w:lang w:eastAsia="en-US"/>
        </w:rPr>
        <w:t>"</w:t>
      </w:r>
      <w:r>
        <w:rPr>
          <w:rFonts w:hint="cs"/>
          <w:color w:val="auto"/>
          <w:rtl/>
          <w:lang w:eastAsia="en-US"/>
        </w:rPr>
        <w:t>ז</w:t>
      </w:r>
      <w:proofErr w:type="spellEnd"/>
      <w:r w:rsidRPr="00D73212">
        <w:rPr>
          <w:color w:val="auto"/>
          <w:rtl/>
          <w:lang w:eastAsia="en-US"/>
        </w:rPr>
        <w:t xml:space="preserve"> – </w:t>
      </w:r>
      <w:r>
        <w:rPr>
          <w:rFonts w:hint="cs"/>
          <w:color w:val="auto"/>
          <w:rtl/>
          <w:lang w:eastAsia="en-US"/>
        </w:rPr>
        <w:t>19.6</w:t>
      </w:r>
      <w:r w:rsidRPr="00D73212">
        <w:rPr>
          <w:color w:val="auto"/>
          <w:rtl/>
          <w:lang w:eastAsia="en-US"/>
        </w:rPr>
        <w:t>.</w:t>
      </w:r>
      <w:r>
        <w:rPr>
          <w:rFonts w:hint="cs"/>
          <w:color w:val="auto"/>
          <w:rtl/>
          <w:lang w:eastAsia="en-US"/>
        </w:rPr>
        <w:t>17</w:t>
      </w:r>
    </w:p>
    <w:p w14:paraId="7F6961CB" w14:textId="77777777" w:rsidR="00E13C27" w:rsidRPr="00D10DE1" w:rsidRDefault="00E13C27" w:rsidP="00E13C27">
      <w:pPr>
        <w:pStyle w:val="Hesber"/>
        <w:rPr>
          <w:rtl/>
        </w:rPr>
      </w:pPr>
    </w:p>
    <w:sectPr w:rsidR="00E13C27" w:rsidRPr="00D10DE1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53E549" w14:textId="77777777" w:rsidR="0036426C" w:rsidRDefault="0036426C">
      <w:r>
        <w:separator/>
      </w:r>
    </w:p>
  </w:endnote>
  <w:endnote w:type="continuationSeparator" w:id="0">
    <w:p w14:paraId="49ABCF27" w14:textId="77777777" w:rsidR="0036426C" w:rsidRDefault="0036426C">
      <w:r>
        <w:continuationSeparator/>
      </w:r>
    </w:p>
  </w:endnote>
  <w:endnote w:type="continuationNotice" w:id="1">
    <w:p w14:paraId="5A01B81E" w14:textId="77777777" w:rsidR="0036426C" w:rsidRDefault="0036426C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end"/>
    </w:r>
  </w:p>
  <w:p w14:paraId="7F6961D6" w14:textId="77777777" w:rsidR="002C3041" w:rsidRDefault="002C304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separate"/>
    </w:r>
    <w:r w:rsidR="003B58C3">
      <w:rPr>
        <w:rStyle w:val="aa"/>
        <w:noProof/>
        <w:rtl/>
      </w:rPr>
      <w:t>2</w:t>
    </w:r>
    <w:r>
      <w:rPr>
        <w:rStyle w:val="aa"/>
        <w:rtl/>
      </w:rPr>
      <w:fldChar w:fldCharType="end"/>
    </w:r>
  </w:p>
  <w:p w14:paraId="7F6961D8" w14:textId="77777777" w:rsidR="002C3041" w:rsidRDefault="002C304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76A7D0" w14:textId="77777777" w:rsidR="0036426C" w:rsidRDefault="0036426C">
      <w:r>
        <w:separator/>
      </w:r>
    </w:p>
  </w:footnote>
  <w:footnote w:type="continuationSeparator" w:id="0">
    <w:p w14:paraId="170708B0" w14:textId="77777777" w:rsidR="0036426C" w:rsidRDefault="0036426C">
      <w:r>
        <w:continuationSeparator/>
      </w:r>
    </w:p>
  </w:footnote>
  <w:footnote w:type="continuationNotice" w:id="1">
    <w:p w14:paraId="029682CC" w14:textId="77777777" w:rsidR="0036426C" w:rsidRDefault="0036426C"/>
  </w:footnote>
  <w:footnote w:id="2">
    <w:p w14:paraId="62BD69B8" w14:textId="77777777" w:rsidR="00334C62" w:rsidRDefault="00334C62" w:rsidP="00334C62">
      <w:pPr>
        <w:pStyle w:val="a4"/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דיני מדינת ישראל, נוסח חדש 7, עמ' 173.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63A3E"/>
    <w:rsid w:val="00072CAC"/>
    <w:rsid w:val="0007681A"/>
    <w:rsid w:val="000A542E"/>
    <w:rsid w:val="000B21F7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A0623"/>
    <w:rsid w:val="001C23B0"/>
    <w:rsid w:val="001D7AAF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A487D"/>
    <w:rsid w:val="002C2E29"/>
    <w:rsid w:val="002C3041"/>
    <w:rsid w:val="002D1EE3"/>
    <w:rsid w:val="002F1D80"/>
    <w:rsid w:val="003232A2"/>
    <w:rsid w:val="00325C14"/>
    <w:rsid w:val="00334C62"/>
    <w:rsid w:val="0036422C"/>
    <w:rsid w:val="0036426C"/>
    <w:rsid w:val="003710F6"/>
    <w:rsid w:val="00386E88"/>
    <w:rsid w:val="00396585"/>
    <w:rsid w:val="003B58C3"/>
    <w:rsid w:val="003D6E38"/>
    <w:rsid w:val="003D74A0"/>
    <w:rsid w:val="004033D8"/>
    <w:rsid w:val="004073F0"/>
    <w:rsid w:val="00412A7D"/>
    <w:rsid w:val="00416B4D"/>
    <w:rsid w:val="00417CFC"/>
    <w:rsid w:val="004A06DC"/>
    <w:rsid w:val="004B24ED"/>
    <w:rsid w:val="004B6625"/>
    <w:rsid w:val="004B74B6"/>
    <w:rsid w:val="004D2D82"/>
    <w:rsid w:val="004D3876"/>
    <w:rsid w:val="004E4552"/>
    <w:rsid w:val="004E6CDF"/>
    <w:rsid w:val="00553C9D"/>
    <w:rsid w:val="00562A66"/>
    <w:rsid w:val="005B064E"/>
    <w:rsid w:val="005D51AE"/>
    <w:rsid w:val="0062674B"/>
    <w:rsid w:val="006363B2"/>
    <w:rsid w:val="00644940"/>
    <w:rsid w:val="006522C6"/>
    <w:rsid w:val="006818A9"/>
    <w:rsid w:val="006A2D81"/>
    <w:rsid w:val="006C1D0D"/>
    <w:rsid w:val="0070601E"/>
    <w:rsid w:val="00712C72"/>
    <w:rsid w:val="00735FE9"/>
    <w:rsid w:val="00763CAA"/>
    <w:rsid w:val="00765F66"/>
    <w:rsid w:val="0078664F"/>
    <w:rsid w:val="007C3FA6"/>
    <w:rsid w:val="007D585A"/>
    <w:rsid w:val="007D5A12"/>
    <w:rsid w:val="007E59F9"/>
    <w:rsid w:val="00810BCD"/>
    <w:rsid w:val="00812C98"/>
    <w:rsid w:val="00814D92"/>
    <w:rsid w:val="0083181D"/>
    <w:rsid w:val="00843EB2"/>
    <w:rsid w:val="00865572"/>
    <w:rsid w:val="00874BBC"/>
    <w:rsid w:val="008905D5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A0DB8"/>
    <w:rsid w:val="009A7257"/>
    <w:rsid w:val="009D6E0A"/>
    <w:rsid w:val="009E1E33"/>
    <w:rsid w:val="00A14672"/>
    <w:rsid w:val="00A26BD6"/>
    <w:rsid w:val="00A443CF"/>
    <w:rsid w:val="00A6611D"/>
    <w:rsid w:val="00A82CB7"/>
    <w:rsid w:val="00A942C1"/>
    <w:rsid w:val="00AA2F03"/>
    <w:rsid w:val="00AC36F7"/>
    <w:rsid w:val="00AC63A4"/>
    <w:rsid w:val="00AD239E"/>
    <w:rsid w:val="00B10265"/>
    <w:rsid w:val="00B16A99"/>
    <w:rsid w:val="00B21211"/>
    <w:rsid w:val="00B35784"/>
    <w:rsid w:val="00B733A7"/>
    <w:rsid w:val="00B75C91"/>
    <w:rsid w:val="00B975AD"/>
    <w:rsid w:val="00BC45FB"/>
    <w:rsid w:val="00BF148D"/>
    <w:rsid w:val="00C23B1A"/>
    <w:rsid w:val="00C310EB"/>
    <w:rsid w:val="00C9176A"/>
    <w:rsid w:val="00CF1AA2"/>
    <w:rsid w:val="00D10DE1"/>
    <w:rsid w:val="00D17774"/>
    <w:rsid w:val="00D63620"/>
    <w:rsid w:val="00D8410D"/>
    <w:rsid w:val="00D867D7"/>
    <w:rsid w:val="00DB7060"/>
    <w:rsid w:val="00DE3153"/>
    <w:rsid w:val="00E06736"/>
    <w:rsid w:val="00E13C27"/>
    <w:rsid w:val="00E27E90"/>
    <w:rsid w:val="00E33BBD"/>
    <w:rsid w:val="00E374F2"/>
    <w:rsid w:val="00E45103"/>
    <w:rsid w:val="00E55A60"/>
    <w:rsid w:val="00E62778"/>
    <w:rsid w:val="00E63D38"/>
    <w:rsid w:val="00E665B9"/>
    <w:rsid w:val="00EA01E6"/>
    <w:rsid w:val="00EA3DE8"/>
    <w:rsid w:val="00EA758F"/>
    <w:rsid w:val="00ED4A6F"/>
    <w:rsid w:val="00EF3A3A"/>
    <w:rsid w:val="00F628D6"/>
    <w:rsid w:val="00F67051"/>
    <w:rsid w:val="00F86A1E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E7CC2A52-7C30-40EF-A06A-B08F5CE6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basedOn w:val="a0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7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b">
    <w:name w:val="Balloon Text"/>
    <w:basedOn w:val="a"/>
    <w:link w:val="ac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F8EAD95-077C-478A-A8F4-104B080F98A1}"/>
</file>

<file path=customXml/itemProps3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46AE639-9870-4369-AA96-58FE6CFB62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243</Words>
  <Characters>1215</Characters>
  <Application>Microsoft Office Word</Application>
  <DocSecurity>0</DocSecurity>
  <Lines>10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1456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כוכי שבתאי</cp:lastModifiedBy>
  <cp:revision>2</cp:revision>
  <cp:lastPrinted>2017-06-14T12:02:00Z</cp:lastPrinted>
  <dcterms:created xsi:type="dcterms:W3CDTF">2017-09-19T07:49:00Z</dcterms:created>
  <dcterms:modified xsi:type="dcterms:W3CDTF">2017-09-19T07:49:00Z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2021144</vt:r8>
  </property>
</Properties>
</file>