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39B1" w:rsidRPr="0023527C" w:rsidRDefault="00DC39B1" w:rsidP="00DC39B1">
      <w:pPr>
        <w:spacing w:before="0" w:after="0" w:line="240" w:lineRule="auto"/>
        <w:ind w:left="26"/>
        <w:jc w:val="center"/>
        <w:rPr>
          <w:rtl/>
        </w:rPr>
      </w:pPr>
      <w:r w:rsidRPr="00343C7B">
        <w:rPr>
          <w:rFonts w:hint="cs"/>
          <w:noProof/>
          <w:sz w:val="22"/>
          <w:szCs w:val="22"/>
          <w:lang w:eastAsia="en-US"/>
        </w:rPr>
        <w:drawing>
          <wp:inline distT="0" distB="0" distL="0" distR="0" wp14:anchorId="0FCD420D" wp14:editId="506BA8AA">
            <wp:extent cx="522000" cy="633600"/>
            <wp:effectExtent l="0" t="0" r="0" b="0"/>
            <wp:docPr id="2" name="תמונה 2" descr="סמל כחול" title="סמל הכנס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 כחול"/>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2000" cy="633600"/>
                    </a:xfrm>
                    <a:prstGeom prst="rect">
                      <a:avLst/>
                    </a:prstGeom>
                    <a:noFill/>
                    <a:ln>
                      <a:noFill/>
                    </a:ln>
                  </pic:spPr>
                </pic:pic>
              </a:graphicData>
            </a:graphic>
          </wp:inline>
        </w:drawing>
      </w:r>
    </w:p>
    <w:p w:rsidR="00DC39B1" w:rsidRPr="009C7685" w:rsidRDefault="00DC39B1" w:rsidP="00DC39B1">
      <w:pPr>
        <w:pStyle w:val="afff7"/>
        <w:rPr>
          <w:rFonts w:cs="David"/>
          <w:rtl/>
        </w:rPr>
      </w:pPr>
      <w:r w:rsidRPr="009C7685">
        <w:rPr>
          <w:rFonts w:cs="David" w:hint="eastAsia"/>
          <w:rtl/>
        </w:rPr>
        <w:t>הכנסת</w:t>
      </w:r>
    </w:p>
    <w:p w:rsidR="00DC39B1" w:rsidRPr="009C7685" w:rsidRDefault="00DC39B1" w:rsidP="00DC39B1">
      <w:pPr>
        <w:pStyle w:val="afff7"/>
        <w:rPr>
          <w:rFonts w:cs="David"/>
          <w:rtl/>
        </w:rPr>
      </w:pPr>
      <w:r w:rsidRPr="009C7685">
        <w:rPr>
          <w:rFonts w:cs="David" w:hint="eastAsia"/>
          <w:rtl/>
        </w:rPr>
        <w:t>הלשכה</w:t>
      </w:r>
      <w:r w:rsidRPr="009C7685">
        <w:rPr>
          <w:rFonts w:cs="David"/>
          <w:rtl/>
        </w:rPr>
        <w:t xml:space="preserve"> </w:t>
      </w:r>
      <w:r w:rsidRPr="009C7685">
        <w:rPr>
          <w:rFonts w:cs="David" w:hint="eastAsia"/>
          <w:rtl/>
        </w:rPr>
        <w:t>המשפטית</w:t>
      </w:r>
    </w:p>
    <w:p w:rsidR="00DC39B1" w:rsidRDefault="00DC39B1" w:rsidP="00DC39B1">
      <w:pPr>
        <w:pStyle w:val="afff7"/>
        <w:rPr>
          <w:rtl/>
        </w:rPr>
      </w:pPr>
      <w:r w:rsidRPr="009C7685">
        <w:rPr>
          <w:rFonts w:cs="David" w:hint="eastAsia"/>
          <w:rtl/>
        </w:rPr>
        <w:t>תחום</w:t>
      </w:r>
      <w:r w:rsidRPr="009C7685">
        <w:rPr>
          <w:rFonts w:cs="David"/>
          <w:rtl/>
        </w:rPr>
        <w:t xml:space="preserve"> </w:t>
      </w:r>
      <w:r w:rsidRPr="009C7685">
        <w:rPr>
          <w:rFonts w:cs="David" w:hint="eastAsia"/>
          <w:rtl/>
        </w:rPr>
        <w:t>חקיקה</w:t>
      </w:r>
      <w:r w:rsidRPr="009C7685">
        <w:rPr>
          <w:rFonts w:cs="David"/>
          <w:rtl/>
        </w:rPr>
        <w:t xml:space="preserve"> </w:t>
      </w:r>
      <w:r w:rsidRPr="009C7685">
        <w:rPr>
          <w:rFonts w:cs="David" w:hint="eastAsia"/>
          <w:rtl/>
        </w:rPr>
        <w:t>ומחקר</w:t>
      </w:r>
      <w:r w:rsidRPr="009C7685">
        <w:rPr>
          <w:rFonts w:cs="David"/>
          <w:rtl/>
        </w:rPr>
        <w:t xml:space="preserve"> </w:t>
      </w:r>
      <w:r w:rsidRPr="009C7685">
        <w:rPr>
          <w:rFonts w:cs="David" w:hint="eastAsia"/>
          <w:rtl/>
        </w:rPr>
        <w:t>משפטי</w:t>
      </w:r>
    </w:p>
    <w:p w:rsidR="00DC39B1" w:rsidRPr="007033C3" w:rsidRDefault="00DC39B1" w:rsidP="00DC39B1">
      <w:pPr>
        <w:pStyle w:val="a4"/>
        <w:rPr>
          <w:sz w:val="224"/>
          <w:szCs w:val="224"/>
          <w:rtl/>
        </w:rPr>
      </w:pPr>
    </w:p>
    <w:p w:rsidR="009430EA" w:rsidRDefault="00FE4585" w:rsidP="009430EA">
      <w:pPr>
        <w:pStyle w:val="afc"/>
        <w:rPr>
          <w:rtl/>
        </w:rPr>
      </w:pPr>
      <w:r>
        <w:rPr>
          <w:rFonts w:hint="cs"/>
          <w:rtl/>
        </w:rPr>
        <w:t xml:space="preserve">סעיפי </w:t>
      </w:r>
      <w:r w:rsidR="00DA0DD9">
        <w:rPr>
          <w:rFonts w:hint="cs"/>
          <w:rtl/>
        </w:rPr>
        <w:t xml:space="preserve">מבוא </w:t>
      </w:r>
      <w:r>
        <w:rPr>
          <w:rFonts w:hint="cs"/>
          <w:rtl/>
        </w:rPr>
        <w:t>ב</w:t>
      </w:r>
      <w:r w:rsidR="00DA0DD9">
        <w:rPr>
          <w:rFonts w:hint="cs"/>
          <w:rtl/>
        </w:rPr>
        <w:t>חוקות ובמסמכים חוקתיים</w:t>
      </w:r>
      <w:r w:rsidR="00A659F2">
        <w:rPr>
          <w:rFonts w:hint="cs"/>
          <w:rtl/>
        </w:rPr>
        <w:t xml:space="preserve"> </w:t>
      </w:r>
      <w:r w:rsidR="00DA0DD9">
        <w:rPr>
          <w:rFonts w:hint="cs"/>
          <w:rtl/>
        </w:rPr>
        <w:t xml:space="preserve">אחרים </w:t>
      </w:r>
      <w:r w:rsidR="000C23DB">
        <w:rPr>
          <w:rtl/>
        </w:rPr>
        <w:t>–</w:t>
      </w:r>
      <w:r>
        <w:rPr>
          <w:rFonts w:hint="cs"/>
          <w:rtl/>
        </w:rPr>
        <w:t xml:space="preserve"> </w:t>
      </w:r>
    </w:p>
    <w:p w:rsidR="00DC39B1" w:rsidRPr="00990A71" w:rsidRDefault="000C23DB" w:rsidP="009430EA">
      <w:pPr>
        <w:pStyle w:val="afc"/>
        <w:rPr>
          <w:sz w:val="36"/>
          <w:rtl/>
        </w:rPr>
      </w:pPr>
      <w:r>
        <w:rPr>
          <w:rFonts w:hint="cs"/>
          <w:rtl/>
        </w:rPr>
        <w:t>רקע נורמטיבי ו</w:t>
      </w:r>
      <w:r w:rsidR="00FE4585">
        <w:rPr>
          <w:rFonts w:hint="cs"/>
          <w:rtl/>
        </w:rPr>
        <w:t>סקירה משווה</w:t>
      </w:r>
      <w:r w:rsidR="00002550" w:rsidRPr="001770CD">
        <w:rPr>
          <w:rFonts w:hint="cs"/>
          <w:rtl/>
        </w:rPr>
        <w:t xml:space="preserve"> </w:t>
      </w:r>
    </w:p>
    <w:p w:rsidR="00A92718" w:rsidRPr="00A92718" w:rsidRDefault="00A92718" w:rsidP="00A92718">
      <w:pPr>
        <w:pStyle w:val="a4"/>
        <w:rPr>
          <w:sz w:val="200"/>
          <w:szCs w:val="200"/>
          <w:rtl/>
        </w:rPr>
      </w:pPr>
    </w:p>
    <w:p w:rsidR="003C150D" w:rsidRDefault="003C150D" w:rsidP="003C150D">
      <w:pPr>
        <w:pStyle w:val="a4"/>
        <w:jc w:val="center"/>
      </w:pPr>
      <w:r>
        <w:rPr>
          <w:rFonts w:hint="cs"/>
          <w:rtl/>
        </w:rPr>
        <w:t>ה' בתשרי התשע"ח</w:t>
      </w:r>
    </w:p>
    <w:p w:rsidR="00A92718" w:rsidRDefault="003C150D" w:rsidP="003C150D">
      <w:pPr>
        <w:pStyle w:val="a4"/>
        <w:jc w:val="center"/>
        <w:rPr>
          <w:rtl/>
        </w:rPr>
      </w:pPr>
      <w:r>
        <w:rPr>
          <w:rFonts w:hint="cs"/>
          <w:rtl/>
        </w:rPr>
        <w:t>25 בספטמבר 2017</w:t>
      </w:r>
    </w:p>
    <w:p w:rsidR="00A92718" w:rsidRPr="00A92718" w:rsidRDefault="00A92718" w:rsidP="00A92718">
      <w:pPr>
        <w:pStyle w:val="a4"/>
        <w:jc w:val="center"/>
        <w:rPr>
          <w:sz w:val="38"/>
          <w:szCs w:val="40"/>
          <w:rtl/>
        </w:rPr>
      </w:pPr>
    </w:p>
    <w:p w:rsidR="00A92718" w:rsidRDefault="00A92718" w:rsidP="00176AF5">
      <w:pPr>
        <w:pStyle w:val="a4"/>
        <w:jc w:val="center"/>
        <w:rPr>
          <w:rtl/>
        </w:rPr>
      </w:pPr>
      <w:r>
        <w:rPr>
          <w:rFonts w:hint="cs"/>
          <w:rtl/>
        </w:rPr>
        <w:t xml:space="preserve">כתיבה: עו"ד </w:t>
      </w:r>
      <w:r w:rsidR="00176AF5">
        <w:rPr>
          <w:rFonts w:hint="cs"/>
          <w:rtl/>
        </w:rPr>
        <w:t>גלעד נוה, ממונה (חקיקה ומחקר משפטי)</w:t>
      </w:r>
    </w:p>
    <w:p w:rsidR="00A92718" w:rsidRDefault="00A92718" w:rsidP="00A92718">
      <w:pPr>
        <w:pStyle w:val="a4"/>
        <w:jc w:val="center"/>
        <w:rPr>
          <w:rtl/>
        </w:rPr>
      </w:pPr>
      <w:r>
        <w:rPr>
          <w:rFonts w:hint="cs"/>
          <w:rtl/>
        </w:rPr>
        <w:t>אישור: עו"ד הודיה קין, ממונה בכירה (חקיקה ומחקר משפטי)</w:t>
      </w:r>
    </w:p>
    <w:p w:rsidR="00A92718" w:rsidRPr="007033C3" w:rsidRDefault="00A92718" w:rsidP="00A92718">
      <w:pPr>
        <w:pStyle w:val="a4"/>
        <w:jc w:val="center"/>
        <w:rPr>
          <w:sz w:val="72"/>
          <w:szCs w:val="72"/>
          <w:rtl/>
        </w:rPr>
      </w:pPr>
    </w:p>
    <w:p w:rsidR="00A92718" w:rsidRPr="005A74AD" w:rsidRDefault="00A92718" w:rsidP="00A92718">
      <w:pPr>
        <w:pStyle w:val="a4"/>
        <w:jc w:val="center"/>
        <w:rPr>
          <w:color w:val="000060"/>
          <w:rtl/>
        </w:rPr>
      </w:pPr>
      <w:r w:rsidRPr="005A74AD">
        <w:rPr>
          <w:color w:val="000060"/>
          <w:rtl/>
        </w:rPr>
        <w:t>מסמך זה הוא סקירה משפטית משווה ואינו חוות דעת משפטית</w:t>
      </w:r>
    </w:p>
    <w:p w:rsidR="003C150D" w:rsidRDefault="000B6947" w:rsidP="003C150D">
      <w:pPr>
        <w:pStyle w:val="aff0"/>
      </w:pPr>
      <w:r w:rsidRPr="00FA6DE4">
        <w:rPr>
          <w:rtl/>
        </w:rPr>
        <w:br w:type="page"/>
      </w:r>
      <w:r w:rsidR="003C150D">
        <w:rPr>
          <w:rFonts w:hint="cs"/>
          <w:rtl/>
        </w:rPr>
        <w:t>תמצית</w:t>
      </w:r>
    </w:p>
    <w:p w:rsidR="003C150D" w:rsidRDefault="003C150D" w:rsidP="003C150D">
      <w:pPr>
        <w:pStyle w:val="a4"/>
        <w:rPr>
          <w:rtl/>
        </w:rPr>
      </w:pPr>
      <w:r>
        <w:rPr>
          <w:rFonts w:hint="cs"/>
          <w:rtl/>
        </w:rPr>
        <w:t xml:space="preserve">מסמך זה נכתב לבקשת הייעוץ המשפטי של הוועדה המשותפת לוועדת הכנסת ולוועדת החוקה, חוק ומשפט לדיון בהצעת חוק יסוד: ישראל - מדינת הלאום של העם היהודי (להלן: הוועדה), ועניינו </w:t>
      </w:r>
      <w:r>
        <w:rPr>
          <w:rFonts w:hint="cs"/>
          <w:b/>
          <w:bCs/>
          <w:rtl/>
        </w:rPr>
        <w:t xml:space="preserve">סקירה משווה של </w:t>
      </w:r>
      <w:r>
        <w:rPr>
          <w:rFonts w:hint="cs"/>
          <w:rtl/>
        </w:rPr>
        <w:t xml:space="preserve"> </w:t>
      </w:r>
      <w:r>
        <w:rPr>
          <w:rFonts w:hint="cs"/>
          <w:b/>
          <w:bCs/>
          <w:rtl/>
        </w:rPr>
        <w:t>סעיפי מבוא בחוקות ובמסמכים חוקתיים אחרים ברחבי העולם, כמו גם מעמד המבוא לחוקה</w:t>
      </w:r>
      <w:r>
        <w:rPr>
          <w:rFonts w:hint="cs"/>
          <w:rtl/>
        </w:rPr>
        <w:t xml:space="preserve">. </w:t>
      </w:r>
    </w:p>
    <w:p w:rsidR="003C150D" w:rsidRDefault="003C150D" w:rsidP="003C150D">
      <w:pPr>
        <w:pStyle w:val="a4"/>
        <w:rPr>
          <w:rtl/>
        </w:rPr>
      </w:pPr>
      <w:r>
        <w:rPr>
          <w:rFonts w:hint="cs"/>
          <w:rtl/>
        </w:rPr>
        <w:t xml:space="preserve">המסמך כולל שני חלקים עיקריים: חלק המציג רקע נורמטיבי וכללי בדבר המבוא לחוקה, מאפייניו ומעמדו המשפטי; וכן חלק של סקירה משווה הבוחן את הוראות המבוא בחקיקה של מדינות שונות, ובפרט את יחס הפסיקה להוראות אלה (ככל שלמבוא יש מעמד משפטי כלשהו). </w:t>
      </w:r>
    </w:p>
    <w:p w:rsidR="003C150D" w:rsidRDefault="003C150D" w:rsidP="009430EA">
      <w:pPr>
        <w:pStyle w:val="a4"/>
        <w:rPr>
          <w:rtl/>
        </w:rPr>
      </w:pPr>
      <w:r>
        <w:rPr>
          <w:rFonts w:hint="cs"/>
          <w:rtl/>
        </w:rPr>
        <w:t xml:space="preserve">מטבע הדברים, המסמך מתמקד אך ורק במדינות שיש בהן חוקה או חוקים בסיסיים (חוקי יסוד). כמו כן, בהתאם לבקשת הייעוץ המשפטי לוועדה, במסמך נסקרו הדמוקרטיות החדשות במזרח אירופה, מדינות לאום דמוקרטיות שדומות במאפייניהן למדינת ישראל ואשר מתמודדות לעיתים עם אתגרים דומים מבחינה חוקתית, מדינית ופוליטית וכן מדינות אשר נבחרו להדגים היבטים שונים שהוצגו בחלק של הרקע הנורמטיבי. כך, במסגרת המסמך נסקרו המדינות שלהלן: </w:t>
      </w:r>
      <w:r>
        <w:rPr>
          <w:rFonts w:hint="cs"/>
          <w:spacing w:val="-2"/>
          <w:rtl/>
        </w:rPr>
        <w:t>גרמניה, הונגריה, צ'כיה, יוון, פולין, מקדוניה, סלובקיה, סרביה, לטביה, אסטוניה, אוקראינה ודרום אפריקה</w:t>
      </w:r>
      <w:r>
        <w:rPr>
          <w:rFonts w:hint="cs"/>
          <w:rtl/>
        </w:rPr>
        <w:t>.</w:t>
      </w:r>
    </w:p>
    <w:p w:rsidR="003C150D" w:rsidRDefault="003C150D" w:rsidP="003C150D">
      <w:pPr>
        <w:pStyle w:val="a4"/>
        <w:rPr>
          <w:rtl/>
        </w:rPr>
      </w:pPr>
      <w:r>
        <w:rPr>
          <w:rFonts w:hint="cs"/>
          <w:rtl/>
        </w:rPr>
        <w:t>מהסקירה עולות הנקודות שלהלן:</w:t>
      </w:r>
    </w:p>
    <w:p w:rsidR="003C150D" w:rsidRDefault="003C150D" w:rsidP="00911E73">
      <w:pPr>
        <w:pStyle w:val="a4"/>
        <w:numPr>
          <w:ilvl w:val="0"/>
          <w:numId w:val="23"/>
        </w:numPr>
      </w:pPr>
      <w:r>
        <w:rPr>
          <w:rFonts w:hint="cs"/>
          <w:rtl/>
        </w:rPr>
        <w:t>ככלל, מקובל כי המבוא לחוקה מיועד להיות מעין הצהרה מקדימה לגוף החוקה. ככזה הוא מהווה שילוב של מסמך משפטי ומסמך טקסי וסמלי. יש מדינות שהמבוא של חוקתן נוטה לצד הטקסי ויש מדינות שבהן המבוא נוטה לצד המשפטי. נטייה זו מתבטאת הן בתוכן המבוא והן בצורת הניסוח שלו (צורת הצגת הטקסט, שימוש בשפה פורמלית או עממית</w:t>
      </w:r>
      <w:r w:rsidR="00381DA5">
        <w:rPr>
          <w:rFonts w:hint="cs"/>
          <w:rtl/>
        </w:rPr>
        <w:t>,</w:t>
      </w:r>
      <w:r>
        <w:rPr>
          <w:rFonts w:hint="cs"/>
          <w:rtl/>
        </w:rPr>
        <w:t xml:space="preserve"> בשפה המעוררת השראה חיובית או </w:t>
      </w:r>
      <w:r w:rsidR="00911E73">
        <w:rPr>
          <w:rFonts w:hint="cs"/>
          <w:rtl/>
        </w:rPr>
        <w:t xml:space="preserve">כזו שמתארת מאבקים, מלחמה, או קשיים אחרים </w:t>
      </w:r>
      <w:r>
        <w:rPr>
          <w:rFonts w:hint="cs"/>
          <w:rtl/>
        </w:rPr>
        <w:t>וכדומה).</w:t>
      </w:r>
    </w:p>
    <w:p w:rsidR="003C150D" w:rsidRPr="005C6ECA" w:rsidRDefault="003C150D" w:rsidP="005F7B2F">
      <w:pPr>
        <w:pStyle w:val="a4"/>
        <w:numPr>
          <w:ilvl w:val="0"/>
          <w:numId w:val="23"/>
        </w:numPr>
      </w:pPr>
      <w:r w:rsidRPr="005C6ECA">
        <w:rPr>
          <w:rFonts w:hint="cs"/>
          <w:rtl/>
        </w:rPr>
        <w:t xml:space="preserve">בין מאפייניו השכיחים יותר של המבוא לחוקה ניתן למצוא את השימוש באזכורים של נרטיבים היסטוריים או נרטיבים אחרים, </w:t>
      </w:r>
      <w:r w:rsidR="005F7B2F">
        <w:rPr>
          <w:rFonts w:hint="cs"/>
          <w:rtl/>
        </w:rPr>
        <w:t>ציון</w:t>
      </w:r>
      <w:r w:rsidRPr="005C6ECA">
        <w:rPr>
          <w:rFonts w:hint="cs"/>
          <w:rtl/>
        </w:rPr>
        <w:t xml:space="preserve"> מקורות הסמכות לחקיקת החוקה (בין אם הם מקומיים-מוסדיים, תיאורטיים-מופשטים, או אפילו כאלה שמבוססים על החלטות ואירועים בינלאומיים). </w:t>
      </w:r>
      <w:r w:rsidR="00285408" w:rsidRPr="005C6ECA">
        <w:rPr>
          <w:rFonts w:hint="cs"/>
          <w:rtl/>
        </w:rPr>
        <w:t xml:space="preserve">כמו כן, </w:t>
      </w:r>
      <w:r w:rsidRPr="005C6ECA">
        <w:rPr>
          <w:rFonts w:hint="cs"/>
          <w:rtl/>
        </w:rPr>
        <w:t>לעיתים קרובות ניתן למצוא במבוא ביטוי למטרות-על של המחוקקים, או לעקרונות יסוד שמאפיינים את החוקה או את המדינה.</w:t>
      </w:r>
    </w:p>
    <w:p w:rsidR="003C150D" w:rsidRPr="005C6ECA" w:rsidRDefault="003C150D" w:rsidP="005F7B2F">
      <w:pPr>
        <w:pStyle w:val="a4"/>
        <w:numPr>
          <w:ilvl w:val="0"/>
          <w:numId w:val="23"/>
        </w:numPr>
      </w:pPr>
      <w:r w:rsidRPr="000F3D3B">
        <w:rPr>
          <w:rFonts w:hint="cs"/>
          <w:spacing w:val="-2"/>
          <w:rtl/>
        </w:rPr>
        <w:t xml:space="preserve">באשר </w:t>
      </w:r>
      <w:r w:rsidR="005F7B2F" w:rsidRPr="000F3D3B">
        <w:rPr>
          <w:rFonts w:hint="cs"/>
          <w:spacing w:val="-2"/>
          <w:rtl/>
        </w:rPr>
        <w:t xml:space="preserve">למקור סמכות כאמור שהוא </w:t>
      </w:r>
      <w:r w:rsidR="005C6ECA" w:rsidRPr="000F3D3B">
        <w:rPr>
          <w:rFonts w:hint="cs"/>
          <w:spacing w:val="-2"/>
          <w:rtl/>
        </w:rPr>
        <w:t>ה</w:t>
      </w:r>
      <w:r w:rsidR="00911E73" w:rsidRPr="000F3D3B">
        <w:rPr>
          <w:rFonts w:hint="cs"/>
          <w:spacing w:val="-2"/>
          <w:rtl/>
        </w:rPr>
        <w:t xml:space="preserve">קהילה </w:t>
      </w:r>
      <w:r w:rsidR="005C6ECA" w:rsidRPr="000F3D3B">
        <w:rPr>
          <w:rFonts w:hint="cs"/>
          <w:spacing w:val="-2"/>
          <w:rtl/>
        </w:rPr>
        <w:t>ה</w:t>
      </w:r>
      <w:r w:rsidR="00911E73" w:rsidRPr="000F3D3B">
        <w:rPr>
          <w:rFonts w:hint="cs"/>
          <w:spacing w:val="-2"/>
          <w:rtl/>
        </w:rPr>
        <w:t>פוליטית</w:t>
      </w:r>
      <w:r w:rsidR="005C6ECA" w:rsidRPr="000F3D3B">
        <w:rPr>
          <w:rFonts w:hint="cs"/>
          <w:spacing w:val="-2"/>
          <w:rtl/>
        </w:rPr>
        <w:t xml:space="preserve"> </w:t>
      </w:r>
      <w:r w:rsidR="005F7B2F" w:rsidRPr="000F3D3B">
        <w:rPr>
          <w:rFonts w:hint="cs"/>
          <w:spacing w:val="-2"/>
          <w:rtl/>
        </w:rPr>
        <w:t>שבשמה מכוננים את החוקה</w:t>
      </w:r>
      <w:r w:rsidR="005C6ECA" w:rsidRPr="005C6ECA">
        <w:rPr>
          <w:rFonts w:hint="cs"/>
          <w:spacing w:val="-2"/>
          <w:rtl/>
        </w:rPr>
        <w:t>,</w:t>
      </w:r>
      <w:r w:rsidR="00911E73" w:rsidRPr="005C6ECA">
        <w:rPr>
          <w:rFonts w:hint="cs"/>
          <w:spacing w:val="-2"/>
          <w:rtl/>
        </w:rPr>
        <w:t xml:space="preserve"> </w:t>
      </w:r>
      <w:r w:rsidRPr="005C6ECA">
        <w:rPr>
          <w:rFonts w:hint="cs"/>
          <w:rtl/>
        </w:rPr>
        <w:t>נהוגים סוגים שונים של הפניות</w:t>
      </w:r>
      <w:r w:rsidRPr="005C6ECA">
        <w:rPr>
          <w:rFonts w:hint="cs"/>
          <w:spacing w:val="-2"/>
          <w:rtl/>
        </w:rPr>
        <w:t xml:space="preserve">, כגון: </w:t>
      </w:r>
      <w:r w:rsidRPr="005C6ECA">
        <w:rPr>
          <w:spacing w:val="-2"/>
          <w:szCs w:val="22"/>
        </w:rPr>
        <w:t>nation</w:t>
      </w:r>
      <w:r w:rsidRPr="005C6ECA">
        <w:rPr>
          <w:rFonts w:hint="cs"/>
          <w:spacing w:val="-2"/>
          <w:rtl/>
        </w:rPr>
        <w:t xml:space="preserve">, </w:t>
      </w:r>
      <w:r w:rsidRPr="005C6ECA">
        <w:rPr>
          <w:spacing w:val="-2"/>
          <w:szCs w:val="22"/>
        </w:rPr>
        <w:t>people</w:t>
      </w:r>
      <w:r w:rsidRPr="005C6ECA">
        <w:rPr>
          <w:rFonts w:hint="cs"/>
          <w:spacing w:val="-2"/>
          <w:rtl/>
        </w:rPr>
        <w:t>,</w:t>
      </w:r>
      <w:r w:rsidRPr="005C6ECA">
        <w:rPr>
          <w:rFonts w:hint="cs"/>
          <w:spacing w:val="-2"/>
        </w:rPr>
        <w:t xml:space="preserve"> </w:t>
      </w:r>
      <w:r w:rsidRPr="005C6ECA">
        <w:rPr>
          <w:spacing w:val="-2"/>
          <w:szCs w:val="22"/>
        </w:rPr>
        <w:t>citizen</w:t>
      </w:r>
      <w:r w:rsidRPr="005C6ECA">
        <w:rPr>
          <w:spacing w:val="-2"/>
          <w:lang w:val="en-GB"/>
        </w:rPr>
        <w:t xml:space="preserve"> </w:t>
      </w:r>
      <w:r w:rsidRPr="005C6ECA">
        <w:rPr>
          <w:rFonts w:hint="cs"/>
          <w:spacing w:val="-2"/>
          <w:rtl/>
          <w:lang w:val="en-GB"/>
        </w:rPr>
        <w:t xml:space="preserve">וכדומה. </w:t>
      </w:r>
      <w:r w:rsidRPr="005C6ECA">
        <w:rPr>
          <w:rFonts w:hint="cs"/>
          <w:spacing w:val="-2"/>
          <w:rtl/>
        </w:rPr>
        <w:t xml:space="preserve">לסוג </w:t>
      </w:r>
      <w:r w:rsidR="005C6ECA" w:rsidRPr="005C6ECA">
        <w:rPr>
          <w:rFonts w:hint="cs"/>
          <w:spacing w:val="-2"/>
          <w:rtl/>
        </w:rPr>
        <w:t>התיאור</w:t>
      </w:r>
      <w:r w:rsidRPr="005C6ECA">
        <w:rPr>
          <w:rFonts w:hint="cs"/>
          <w:spacing w:val="-2"/>
          <w:rtl/>
        </w:rPr>
        <w:t xml:space="preserve"> </w:t>
      </w:r>
      <w:r w:rsidR="005F7B2F">
        <w:rPr>
          <w:rFonts w:hint="cs"/>
          <w:spacing w:val="-2"/>
          <w:rtl/>
        </w:rPr>
        <w:t xml:space="preserve">של הקהילה </w:t>
      </w:r>
      <w:r w:rsidRPr="005C6ECA">
        <w:rPr>
          <w:rFonts w:hint="cs"/>
          <w:spacing w:val="-2"/>
          <w:rtl/>
        </w:rPr>
        <w:t>וללשו</w:t>
      </w:r>
      <w:r w:rsidR="005C6ECA" w:rsidRPr="005C6ECA">
        <w:rPr>
          <w:rFonts w:hint="cs"/>
          <w:spacing w:val="-2"/>
          <w:rtl/>
        </w:rPr>
        <w:t>נו</w:t>
      </w:r>
      <w:r w:rsidRPr="005C6ECA">
        <w:rPr>
          <w:rFonts w:hint="cs"/>
          <w:spacing w:val="-2"/>
          <w:rtl/>
        </w:rPr>
        <w:t xml:space="preserve"> עשוי להתלוות "מטען ערכי" (משפטי או אחר). </w:t>
      </w:r>
      <w:r w:rsidR="005C6ECA" w:rsidRPr="005C6ECA">
        <w:rPr>
          <w:rFonts w:hint="cs"/>
          <w:spacing w:val="-2"/>
          <w:rtl/>
        </w:rPr>
        <w:t xml:space="preserve">תיאורים </w:t>
      </w:r>
      <w:r w:rsidRPr="005C6ECA">
        <w:rPr>
          <w:rFonts w:hint="cs"/>
          <w:spacing w:val="-2"/>
          <w:rtl/>
        </w:rPr>
        <w:t>אלה יכול</w:t>
      </w:r>
      <w:r w:rsidR="005C6ECA" w:rsidRPr="005C6ECA">
        <w:rPr>
          <w:rFonts w:hint="cs"/>
          <w:spacing w:val="-2"/>
          <w:rtl/>
        </w:rPr>
        <w:t>ים</w:t>
      </w:r>
      <w:r w:rsidRPr="005C6ECA">
        <w:rPr>
          <w:rFonts w:hint="cs"/>
          <w:spacing w:val="-2"/>
          <w:rtl/>
        </w:rPr>
        <w:t xml:space="preserve"> להיחשב כאמירות מהותיות לא רק לגבי מקור הסמכות </w:t>
      </w:r>
      <w:r w:rsidR="00285408" w:rsidRPr="005C6ECA">
        <w:rPr>
          <w:rFonts w:hint="cs"/>
          <w:spacing w:val="-2"/>
          <w:rtl/>
        </w:rPr>
        <w:t xml:space="preserve">לחקיקת החוקה </w:t>
      </w:r>
      <w:r w:rsidRPr="005C6ECA">
        <w:rPr>
          <w:rFonts w:hint="cs"/>
          <w:spacing w:val="-2"/>
          <w:rtl/>
        </w:rPr>
        <w:t xml:space="preserve">עצמו, אלא גם לגבי זהות הגורמים שנכללים במקור זה ומעמדם בתוך החברה. כך, המונחים השכיחים שמשמשים לתיאור </w:t>
      </w:r>
      <w:r w:rsidR="00285408" w:rsidRPr="005C6ECA">
        <w:rPr>
          <w:rFonts w:hint="cs"/>
          <w:spacing w:val="-2"/>
          <w:rtl/>
        </w:rPr>
        <w:t>הקהילה הפוליטית</w:t>
      </w:r>
      <w:r w:rsidRPr="005C6ECA">
        <w:rPr>
          <w:rFonts w:hint="cs"/>
          <w:spacing w:val="-2"/>
          <w:rtl/>
        </w:rPr>
        <w:t xml:space="preserve"> </w:t>
      </w:r>
      <w:r w:rsidRPr="005C6ECA">
        <w:rPr>
          <w:rFonts w:hint="cs"/>
          <w:spacing w:val="-2"/>
          <w:rtl/>
          <w:lang w:val="en-GB"/>
        </w:rPr>
        <w:t xml:space="preserve">יכולים להיות בעלי משמעות שמושפעת מהקשרים חברתיים, היסטוריים ואחרים של מונחים אלה והם אף יתפרשו בהתאם לכך. לאור זאת, כפי שגם יוצג להלן, יש לקחת בחשבון את ההקשרים האמורים בעת ההשוואה למדינות הזרות. </w:t>
      </w:r>
      <w:r w:rsidRPr="005C6ECA">
        <w:rPr>
          <w:rFonts w:hint="cs"/>
          <w:spacing w:val="-2"/>
          <w:rtl/>
        </w:rPr>
        <w:t xml:space="preserve">כמו כן, בהקשר של השימוש במונחים אלה יודגש, כי לעיתים קרובות מתבצע מעין איזון חוקתי במבוא לחוקה או בגוף החוקה עצמו כאשר </w:t>
      </w:r>
      <w:r w:rsidR="005C6ECA" w:rsidRPr="005C6ECA">
        <w:rPr>
          <w:rFonts w:hint="cs"/>
          <w:spacing w:val="-2"/>
          <w:rtl/>
        </w:rPr>
        <w:t>התיאור הוא</w:t>
      </w:r>
      <w:r w:rsidRPr="005C6ECA">
        <w:rPr>
          <w:rFonts w:hint="cs"/>
          <w:spacing w:val="-2"/>
          <w:rtl/>
        </w:rPr>
        <w:t xml:space="preserve"> </w:t>
      </w:r>
      <w:r w:rsidR="005C6ECA" w:rsidRPr="005C6ECA">
        <w:rPr>
          <w:rFonts w:hint="cs"/>
          <w:spacing w:val="-2"/>
          <w:rtl/>
        </w:rPr>
        <w:t>ש</w:t>
      </w:r>
      <w:r w:rsidRPr="005C6ECA">
        <w:rPr>
          <w:rFonts w:hint="cs"/>
          <w:spacing w:val="-2"/>
          <w:rtl/>
        </w:rPr>
        <w:t>ל</w:t>
      </w:r>
      <w:r w:rsidR="005C6ECA" w:rsidRPr="005C6ECA">
        <w:rPr>
          <w:rFonts w:hint="cs"/>
          <w:spacing w:val="-2"/>
          <w:rtl/>
        </w:rPr>
        <w:t xml:space="preserve"> </w:t>
      </w:r>
      <w:r w:rsidR="003733F4" w:rsidRPr="005C6ECA">
        <w:rPr>
          <w:rFonts w:hint="cs"/>
          <w:spacing w:val="-2"/>
          <w:rtl/>
        </w:rPr>
        <w:t>קהילה פוליטית ספציפית</w:t>
      </w:r>
      <w:r w:rsidRPr="005C6ECA">
        <w:rPr>
          <w:rFonts w:hint="cs"/>
          <w:spacing w:val="-2"/>
          <w:rtl/>
        </w:rPr>
        <w:t xml:space="preserve">. לדוגמה, כאשר </w:t>
      </w:r>
      <w:r w:rsidR="005C6ECA" w:rsidRPr="005C6ECA">
        <w:rPr>
          <w:rFonts w:hint="cs"/>
          <w:spacing w:val="-2"/>
          <w:rtl/>
        </w:rPr>
        <w:t xml:space="preserve">במבוא לחוקה </w:t>
      </w:r>
      <w:r w:rsidRPr="005C6ECA">
        <w:rPr>
          <w:rFonts w:hint="cs"/>
          <w:spacing w:val="-2"/>
          <w:rtl/>
        </w:rPr>
        <w:t xml:space="preserve">נעשית הפניה לעם או לאומה ספציפיים עשוי להתבצע מעין "איזון" בדמות הבטחת </w:t>
      </w:r>
      <w:r w:rsidRPr="005C6ECA">
        <w:rPr>
          <w:rFonts w:hint="cs"/>
          <w:b/>
          <w:bCs/>
          <w:spacing w:val="-2"/>
          <w:rtl/>
        </w:rPr>
        <w:t>שוויון זכויות למיעוטים אתניים</w:t>
      </w:r>
      <w:r w:rsidRPr="005C6ECA">
        <w:rPr>
          <w:rFonts w:hint="cs"/>
          <w:spacing w:val="-2"/>
          <w:rtl/>
        </w:rPr>
        <w:t xml:space="preserve">, או </w:t>
      </w:r>
      <w:r w:rsidRPr="005C6ECA">
        <w:rPr>
          <w:rFonts w:hint="cs"/>
          <w:b/>
          <w:bCs/>
          <w:spacing w:val="-2"/>
          <w:rtl/>
        </w:rPr>
        <w:t>הבטחת זכויות פרט</w:t>
      </w:r>
      <w:r w:rsidRPr="005C6ECA">
        <w:rPr>
          <w:rFonts w:hint="cs"/>
          <w:spacing w:val="-2"/>
          <w:rtl/>
        </w:rPr>
        <w:t xml:space="preserve"> כאלה ואחרות </w:t>
      </w:r>
      <w:r w:rsidRPr="005C6ECA">
        <w:rPr>
          <w:rFonts w:hint="cs"/>
          <w:b/>
          <w:bCs/>
          <w:spacing w:val="-2"/>
          <w:rtl/>
        </w:rPr>
        <w:t>בגוף החוקה</w:t>
      </w:r>
      <w:r w:rsidRPr="005C6ECA">
        <w:rPr>
          <w:rFonts w:hint="cs"/>
          <w:spacing w:val="-2"/>
          <w:rtl/>
        </w:rPr>
        <w:t xml:space="preserve"> או </w:t>
      </w:r>
      <w:r w:rsidRPr="005C6ECA">
        <w:rPr>
          <w:rFonts w:hint="cs"/>
          <w:b/>
          <w:bCs/>
          <w:spacing w:val="-2"/>
          <w:rtl/>
        </w:rPr>
        <w:t>במבוא לחוקה</w:t>
      </w:r>
      <w:r w:rsidRPr="005C6ECA">
        <w:rPr>
          <w:rFonts w:hint="cs"/>
          <w:spacing w:val="-2"/>
          <w:rtl/>
        </w:rPr>
        <w:t xml:space="preserve">. לחילופין, האיזון לעיתים מתבצע כך שבמקביל לאזכור </w:t>
      </w:r>
      <w:r w:rsidR="003733F4" w:rsidRPr="005C6ECA">
        <w:rPr>
          <w:rFonts w:hint="cs"/>
          <w:spacing w:val="-2"/>
          <w:rtl/>
        </w:rPr>
        <w:t xml:space="preserve">קהילה פוליטית ספציפית </w:t>
      </w:r>
      <w:r w:rsidRPr="005C6ECA">
        <w:rPr>
          <w:rFonts w:hint="cs"/>
          <w:b/>
          <w:bCs/>
          <w:spacing w:val="-2"/>
          <w:rtl/>
        </w:rPr>
        <w:t>מאוזכרות גם קבוצות מיעוטים</w:t>
      </w:r>
      <w:r w:rsidRPr="005C6ECA">
        <w:rPr>
          <w:rFonts w:hint="cs"/>
          <w:spacing w:val="-2"/>
          <w:rtl/>
        </w:rPr>
        <w:t xml:space="preserve"> </w:t>
      </w:r>
      <w:r w:rsidRPr="005C6ECA">
        <w:rPr>
          <w:rFonts w:hint="cs"/>
          <w:b/>
          <w:bCs/>
          <w:spacing w:val="-2"/>
          <w:rtl/>
        </w:rPr>
        <w:t>לאומיות</w:t>
      </w:r>
      <w:r w:rsidRPr="005C6ECA">
        <w:rPr>
          <w:rFonts w:hint="cs"/>
          <w:spacing w:val="-2"/>
          <w:rtl/>
        </w:rPr>
        <w:t xml:space="preserve"> כמי שנוטלות אף הן חלק בהצהרה על כינון החוקה, או כמי שפועלות </w:t>
      </w:r>
      <w:r w:rsidRPr="005C6ECA">
        <w:rPr>
          <w:rFonts w:hint="cs"/>
          <w:b/>
          <w:bCs/>
          <w:spacing w:val="-2"/>
          <w:rtl/>
        </w:rPr>
        <w:t>בשותפות</w:t>
      </w:r>
      <w:r w:rsidRPr="005C6ECA">
        <w:rPr>
          <w:rFonts w:hint="cs"/>
          <w:spacing w:val="-2"/>
          <w:rtl/>
        </w:rPr>
        <w:t xml:space="preserve"> להקמת המדינה או שותפות לערכיה</w:t>
      </w:r>
      <w:r w:rsidRPr="005C6ECA">
        <w:rPr>
          <w:rFonts w:hint="cs"/>
          <w:rtl/>
        </w:rPr>
        <w:t>.</w:t>
      </w:r>
    </w:p>
    <w:p w:rsidR="003C150D" w:rsidRDefault="003C150D" w:rsidP="00381DA5">
      <w:pPr>
        <w:pStyle w:val="a4"/>
        <w:numPr>
          <w:ilvl w:val="0"/>
          <w:numId w:val="23"/>
        </w:numPr>
      </w:pPr>
      <w:r>
        <w:rPr>
          <w:rFonts w:hint="cs"/>
          <w:rtl/>
        </w:rPr>
        <w:t xml:space="preserve">בהיותו חלק אינטגרלי מהחוקה, </w:t>
      </w:r>
      <w:r w:rsidRPr="000F3D3B">
        <w:rPr>
          <w:rFonts w:hint="cs"/>
          <w:b/>
          <w:bCs/>
          <w:rtl/>
        </w:rPr>
        <w:t>התפקיד והמעמד של המבוא חורגים לעיתים מתפקיד או ממעמד שהוא טקסי-סמלי בלבד</w:t>
      </w:r>
      <w:r>
        <w:rPr>
          <w:rFonts w:hint="cs"/>
          <w:rtl/>
        </w:rPr>
        <w:t>, כך שניתנים למבוא גם תפקידים ומעמד שהם משפטיים מחייבים. במרבית המדינות שנסקרו שבהן ניתן למבוא מעמד משפטי, ה</w:t>
      </w:r>
      <w:r w:rsidR="00381DA5">
        <w:rPr>
          <w:rFonts w:hint="cs"/>
          <w:rtl/>
        </w:rPr>
        <w:t>מ</w:t>
      </w:r>
      <w:r>
        <w:rPr>
          <w:rFonts w:hint="cs"/>
          <w:rtl/>
        </w:rPr>
        <w:t xml:space="preserve">תבטא בכך שהמבוא משמש </w:t>
      </w:r>
      <w:r w:rsidRPr="000F3D3B">
        <w:rPr>
          <w:rFonts w:hint="cs"/>
          <w:b/>
          <w:bCs/>
          <w:rtl/>
        </w:rPr>
        <w:t>ככלי פרשני מנחה</w:t>
      </w:r>
      <w:r>
        <w:rPr>
          <w:rFonts w:hint="cs"/>
          <w:rtl/>
        </w:rPr>
        <w:t xml:space="preserve">. לעומת זאת, בחלק מהמדינות שנבדקו נמצא כי למבוא ניתן </w:t>
      </w:r>
      <w:r w:rsidRPr="000F3D3B">
        <w:rPr>
          <w:rFonts w:hint="cs"/>
          <w:b/>
          <w:bCs/>
          <w:rtl/>
        </w:rPr>
        <w:t>מעמד מיוחד המאפשר לו להיות מקור נורמטיבי לזכויות ולחובות ברי אכיפה</w:t>
      </w:r>
      <w:r>
        <w:rPr>
          <w:rFonts w:hint="cs"/>
          <w:rtl/>
        </w:rPr>
        <w:t>. יחד עם זאת, לא תמיד קיימת התאמה בין כוונת המחוקק בדבר מעמדו ותפקידו של המבוא ובין הפרשנות שניתנת למבוא בידי גופים שונים.</w:t>
      </w:r>
    </w:p>
    <w:p w:rsidR="003C150D" w:rsidRDefault="003C150D" w:rsidP="003C150D">
      <w:pPr>
        <w:pStyle w:val="a4"/>
        <w:rPr>
          <w:b/>
          <w:bCs/>
        </w:rPr>
      </w:pPr>
      <w:r>
        <w:rPr>
          <w:rFonts w:hint="cs"/>
          <w:rtl/>
        </w:rPr>
        <w:t xml:space="preserve"> </w:t>
      </w:r>
    </w:p>
    <w:p w:rsidR="003C150D" w:rsidRDefault="003C150D" w:rsidP="003C150D">
      <w:pPr>
        <w:bidi w:val="0"/>
        <w:spacing w:before="0" w:after="0" w:line="240" w:lineRule="auto"/>
        <w:jc w:val="left"/>
        <w:rPr>
          <w:b/>
          <w:bCs/>
          <w:sz w:val="22"/>
          <w:rtl/>
          <w:lang w:eastAsia="en-US"/>
        </w:rPr>
      </w:pPr>
      <w:r>
        <w:rPr>
          <w:rFonts w:hint="cs"/>
          <w:b/>
          <w:bCs/>
          <w:rtl/>
        </w:rPr>
        <w:br w:type="page"/>
      </w:r>
    </w:p>
    <w:p w:rsidR="003C150D" w:rsidRDefault="003C150D" w:rsidP="003C150D">
      <w:pPr>
        <w:pStyle w:val="1"/>
        <w:numPr>
          <w:ilvl w:val="0"/>
          <w:numId w:val="22"/>
        </w:numPr>
      </w:pPr>
      <w:r>
        <w:rPr>
          <w:rFonts w:hint="cs"/>
          <w:rtl/>
        </w:rPr>
        <w:t xml:space="preserve">המבוא, מאפייניו ומעמדו המשפטי - רקע כללי </w:t>
      </w:r>
    </w:p>
    <w:p w:rsidR="003C150D" w:rsidRDefault="003C150D" w:rsidP="003C150D">
      <w:pPr>
        <w:rPr>
          <w:spacing w:val="-2"/>
          <w:rtl/>
        </w:rPr>
      </w:pPr>
      <w:r>
        <w:rPr>
          <w:rFonts w:hint="cs"/>
          <w:spacing w:val="-2"/>
          <w:rtl/>
        </w:rPr>
        <w:t>"חוקה" (</w:t>
      </w:r>
      <w:r>
        <w:rPr>
          <w:spacing w:val="-2"/>
          <w:sz w:val="22"/>
          <w:szCs w:val="22"/>
        </w:rPr>
        <w:t>constitution</w:t>
      </w:r>
      <w:r>
        <w:rPr>
          <w:rFonts w:hint="cs"/>
          <w:spacing w:val="-2"/>
          <w:rtl/>
        </w:rPr>
        <w:t>)</w:t>
      </w:r>
      <w:r>
        <w:rPr>
          <w:rStyle w:val="ac"/>
          <w:spacing w:val="-2"/>
          <w:rtl/>
        </w:rPr>
        <w:footnoteReference w:id="1"/>
      </w:r>
      <w:r>
        <w:rPr>
          <w:rFonts w:hint="cs"/>
          <w:spacing w:val="-2"/>
          <w:rtl/>
        </w:rPr>
        <w:t xml:space="preserve"> מוגדרת באופן מילוני </w:t>
      </w:r>
      <w:r>
        <w:rPr>
          <w:rFonts w:hint="cs"/>
          <w:b/>
          <w:bCs/>
          <w:spacing w:val="-2"/>
          <w:rtl/>
        </w:rPr>
        <w:t>כמכלול העקרונות והחוקים הבסיסיים של אומה, מדינה או קבוצה חברתית אחרת, אשר קובעים את הסמכויות והחובות של הממשלה ומבטיחים זכויות מסוימות לאזרחים</w:t>
      </w:r>
      <w:r>
        <w:rPr>
          <w:rFonts w:hint="cs"/>
          <w:spacing w:val="-2"/>
          <w:rtl/>
        </w:rPr>
        <w:t>. בהגדרה מעט אחרת</w:t>
      </w:r>
      <w:r w:rsidR="00381DA5">
        <w:rPr>
          <w:rFonts w:hint="cs"/>
          <w:spacing w:val="-2"/>
          <w:rtl/>
        </w:rPr>
        <w:t>,</w:t>
      </w:r>
      <w:r>
        <w:rPr>
          <w:rFonts w:hint="cs"/>
          <w:spacing w:val="-2"/>
          <w:rtl/>
        </w:rPr>
        <w:t xml:space="preserve"> חוקה היא מסמך שמהווה את מכלול הכללים של ארגון פוליטי או חברתי.</w:t>
      </w:r>
      <w:r>
        <w:rPr>
          <w:rStyle w:val="ac"/>
          <w:spacing w:val="-2"/>
          <w:rtl/>
        </w:rPr>
        <w:footnoteReference w:id="2"/>
      </w:r>
      <w:r>
        <w:rPr>
          <w:rFonts w:hint="cs"/>
          <w:spacing w:val="-2"/>
          <w:rtl/>
        </w:rPr>
        <w:t xml:space="preserve"> כך, מבחינה תיאורטית-משפטית נהוג לראות בחוקה כמעין </w:t>
      </w:r>
      <w:r>
        <w:rPr>
          <w:rFonts w:hint="cs"/>
          <w:b/>
          <w:bCs/>
          <w:spacing w:val="-2"/>
          <w:rtl/>
        </w:rPr>
        <w:t>ביטוי או הגדרה של זהות הלאום, מטרותיו וערכיו, ולעיתים אף סוג של "רוח הקהילה"</w:t>
      </w:r>
      <w:r>
        <w:rPr>
          <w:rFonts w:hint="cs"/>
          <w:spacing w:val="-2"/>
          <w:rtl/>
        </w:rPr>
        <w:t>.</w:t>
      </w:r>
      <w:r>
        <w:rPr>
          <w:rStyle w:val="ac"/>
          <w:spacing w:val="-2"/>
          <w:rtl/>
        </w:rPr>
        <w:footnoteReference w:id="3"/>
      </w:r>
      <w:r>
        <w:rPr>
          <w:rFonts w:hint="cs"/>
          <w:spacing w:val="-2"/>
          <w:rtl/>
        </w:rPr>
        <w:t xml:space="preserve"> </w:t>
      </w:r>
      <w:r>
        <w:rPr>
          <w:rFonts w:hint="cs"/>
          <w:spacing w:val="-2"/>
          <w:rtl/>
          <w:lang w:val="en-GB"/>
        </w:rPr>
        <w:t xml:space="preserve">בתחום המחקר של </w:t>
      </w:r>
      <w:r>
        <w:rPr>
          <w:rFonts w:hint="cs"/>
          <w:spacing w:val="-2"/>
          <w:rtl/>
        </w:rPr>
        <w:t>משפט חוקתי השוואתי מקובלת ההנחה כי חוקות מתבססות לעיתים קרובות על מקורות היסטוריים ומשפטיים דומים. כתוצאה מכך, חוקות שונות ברחבי העולם עשויות לכלול מאפיינים דומים, שבהם מאפיינים רוחביים-תוכניים בפרט בד בבד עם מאפיינים חיצוניים-צורניים.</w:t>
      </w:r>
      <w:r>
        <w:rPr>
          <w:rStyle w:val="ac"/>
          <w:spacing w:val="-2"/>
          <w:rtl/>
        </w:rPr>
        <w:footnoteReference w:id="4"/>
      </w:r>
      <w:r>
        <w:rPr>
          <w:rFonts w:hint="cs"/>
          <w:spacing w:val="-2"/>
          <w:rtl/>
        </w:rPr>
        <w:t xml:space="preserve"> </w:t>
      </w:r>
    </w:p>
    <w:p w:rsidR="003C150D" w:rsidRDefault="003C150D" w:rsidP="003C150D">
      <w:pPr>
        <w:rPr>
          <w:spacing w:val="-2"/>
          <w:rtl/>
        </w:rPr>
      </w:pPr>
      <w:r>
        <w:rPr>
          <w:rFonts w:hint="cs"/>
          <w:spacing w:val="-2"/>
          <w:rtl/>
        </w:rPr>
        <w:t xml:space="preserve">כך, מבחינה צורנית, </w:t>
      </w:r>
      <w:r>
        <w:rPr>
          <w:rFonts w:hint="cs"/>
          <w:b/>
          <w:bCs/>
          <w:spacing w:val="-2"/>
          <w:rtl/>
        </w:rPr>
        <w:t>אחד הרכיבים השכיחים</w:t>
      </w:r>
      <w:r>
        <w:rPr>
          <w:rFonts w:hint="cs"/>
          <w:spacing w:val="-2"/>
          <w:rtl/>
        </w:rPr>
        <w:t xml:space="preserve"> יותר במסמכים חוקתיים הוא המבוא לחוקה (</w:t>
      </w:r>
      <w:r>
        <w:rPr>
          <w:spacing w:val="-2"/>
          <w:sz w:val="22"/>
          <w:szCs w:val="22"/>
        </w:rPr>
        <w:t>Preamble</w:t>
      </w:r>
      <w:r>
        <w:rPr>
          <w:rFonts w:hint="cs"/>
          <w:spacing w:val="-2"/>
          <w:rtl/>
        </w:rPr>
        <w:t xml:space="preserve">). המבוא משמש מעין </w:t>
      </w:r>
      <w:r>
        <w:rPr>
          <w:rFonts w:hint="cs"/>
          <w:b/>
          <w:bCs/>
          <w:spacing w:val="-2"/>
          <w:rtl/>
        </w:rPr>
        <w:t>פתיח או הקדמה לחוקה</w:t>
      </w:r>
      <w:r>
        <w:rPr>
          <w:rFonts w:hint="cs"/>
          <w:spacing w:val="-2"/>
          <w:rtl/>
        </w:rPr>
        <w:t xml:space="preserve">. </w:t>
      </w:r>
      <w:r>
        <w:rPr>
          <w:rFonts w:hint="cs"/>
          <w:b/>
          <w:bCs/>
          <w:spacing w:val="-2"/>
          <w:rtl/>
        </w:rPr>
        <w:t>לעיתים קרובות המבוא נושא כותרת רשמית שמבדילה אותו מיתר חלקי המסמך</w:t>
      </w:r>
      <w:r>
        <w:rPr>
          <w:rFonts w:hint="cs"/>
          <w:spacing w:val="-2"/>
          <w:rtl/>
        </w:rPr>
        <w:t xml:space="preserve"> (כגון: "מבוא", או כותרת חלופית אחרת), ולעיתים המבוא </w:t>
      </w:r>
      <w:r>
        <w:rPr>
          <w:rFonts w:hint="cs"/>
          <w:b/>
          <w:bCs/>
          <w:spacing w:val="-2"/>
          <w:rtl/>
        </w:rPr>
        <w:t>נטול כותרת אך מתוך תוכנו ומיקומו בטקסט ניתן להבין כי הוא משמש לצורך מתן הצהרות פותחות או מקדימות לגוף החוקה</w:t>
      </w:r>
      <w:r>
        <w:rPr>
          <w:rFonts w:hint="cs"/>
          <w:spacing w:val="-2"/>
          <w:rtl/>
        </w:rPr>
        <w:t>.</w:t>
      </w:r>
      <w:r>
        <w:rPr>
          <w:rStyle w:val="ac"/>
          <w:spacing w:val="-2"/>
          <w:rtl/>
        </w:rPr>
        <w:footnoteReference w:id="5"/>
      </w:r>
      <w:r>
        <w:rPr>
          <w:rFonts w:hint="cs"/>
          <w:spacing w:val="-2"/>
          <w:rtl/>
        </w:rPr>
        <w:t xml:space="preserve"> </w:t>
      </w:r>
    </w:p>
    <w:p w:rsidR="003C150D" w:rsidRDefault="003C150D" w:rsidP="003C150D">
      <w:pPr>
        <w:rPr>
          <w:spacing w:val="-2"/>
          <w:rtl/>
        </w:rPr>
      </w:pPr>
      <w:r>
        <w:rPr>
          <w:rFonts w:hint="cs"/>
          <w:spacing w:val="-2"/>
          <w:rtl/>
        </w:rPr>
        <w:t>זיהוי המבוא נעשה בדרך-כלל באמצעים טכניים (באמצעות כותרת סעיפיו ומיקומם בטקסט), עם זאת ניתן לזהות את חלקי המבוא גם באמצעות מדד תוכני-מהותי לפי מאפיינים שכיחים החוזרים על עצמם (ראו הרחבה להלן).</w:t>
      </w:r>
      <w:r>
        <w:rPr>
          <w:rStyle w:val="ac"/>
          <w:spacing w:val="-2"/>
          <w:rtl/>
        </w:rPr>
        <w:footnoteReference w:id="6"/>
      </w:r>
      <w:r>
        <w:rPr>
          <w:rFonts w:hint="cs"/>
          <w:spacing w:val="-2"/>
          <w:rtl/>
        </w:rPr>
        <w:t xml:space="preserve"> ככלל, המבוא </w:t>
      </w:r>
      <w:r>
        <w:rPr>
          <w:rFonts w:hint="cs"/>
          <w:b/>
          <w:bCs/>
          <w:spacing w:val="-2"/>
          <w:rtl/>
        </w:rPr>
        <w:t>נחשב לאחד החלקים היציבים ביותר בחוקות והוא משתנה או מתעדכן רק לעיתים רחוקות</w:t>
      </w:r>
      <w:r>
        <w:rPr>
          <w:rFonts w:hint="cs"/>
          <w:spacing w:val="-2"/>
          <w:rtl/>
        </w:rPr>
        <w:t xml:space="preserve"> (בין היתר בשל המאפיינים השכיחים והייחודיים של המבוא).</w:t>
      </w:r>
      <w:r>
        <w:rPr>
          <w:rStyle w:val="ac"/>
          <w:spacing w:val="-2"/>
          <w:rtl/>
        </w:rPr>
        <w:footnoteReference w:id="7"/>
      </w:r>
      <w:r>
        <w:rPr>
          <w:rFonts w:hint="cs"/>
          <w:spacing w:val="-2"/>
          <w:rtl/>
        </w:rPr>
        <w:t xml:space="preserve"> </w:t>
      </w:r>
    </w:p>
    <w:p w:rsidR="003C150D" w:rsidRDefault="003C150D" w:rsidP="003C150D">
      <w:pPr>
        <w:rPr>
          <w:spacing w:val="-2"/>
          <w:rtl/>
        </w:rPr>
      </w:pPr>
      <w:r>
        <w:rPr>
          <w:rFonts w:hint="cs"/>
          <w:spacing w:val="-2"/>
          <w:rtl/>
        </w:rPr>
        <w:t xml:space="preserve">מבחינה היסטורית, </w:t>
      </w:r>
      <w:r>
        <w:rPr>
          <w:rFonts w:hint="cs"/>
          <w:b/>
          <w:bCs/>
          <w:spacing w:val="-2"/>
          <w:rtl/>
        </w:rPr>
        <w:t>הרעיון של מבוא לדברי חקיקה הוא רעיון עתיק יומין</w:t>
      </w:r>
      <w:r>
        <w:rPr>
          <w:rFonts w:hint="cs"/>
          <w:spacing w:val="-2"/>
          <w:rtl/>
        </w:rPr>
        <w:t>, שאחד ממקורותיו הרעיוניים ביוון. ביוון העתיקה עלתה הדרישה הפילוסופית-משפטית כי המחוקק לא רק יורה על דרכי הפעולה המותרות והאסורות באמצעות החקיקה, אלא גם ישכנע את הקורא בצדקת חוקיו.</w:t>
      </w:r>
      <w:r>
        <w:rPr>
          <w:rStyle w:val="ac"/>
          <w:spacing w:val="-2"/>
          <w:rtl/>
        </w:rPr>
        <w:footnoteReference w:id="8"/>
      </w:r>
      <w:r>
        <w:rPr>
          <w:rFonts w:hint="cs"/>
          <w:spacing w:val="-2"/>
          <w:rtl/>
        </w:rPr>
        <w:t xml:space="preserve"> במובנים רבים המבוא משמש עבור המחוקק גם כאמצעי או ככלי לניהול דיאלוג ושיח עם הרשות השופטת (ובפרט בהקשר של קביעת ערכים בסיסיים ומטרות חוקתיות).</w:t>
      </w:r>
      <w:r>
        <w:rPr>
          <w:rStyle w:val="ac"/>
          <w:spacing w:val="-2"/>
          <w:rtl/>
        </w:rPr>
        <w:footnoteReference w:id="9"/>
      </w:r>
      <w:r>
        <w:rPr>
          <w:rFonts w:hint="cs"/>
          <w:spacing w:val="-2"/>
          <w:rtl/>
        </w:rPr>
        <w:t xml:space="preserve"> רעיונות אלה תקפים</w:t>
      </w:r>
      <w:r>
        <w:rPr>
          <w:rFonts w:hint="cs"/>
          <w:b/>
          <w:bCs/>
          <w:spacing w:val="-2"/>
          <w:rtl/>
        </w:rPr>
        <w:t xml:space="preserve"> </w:t>
      </w:r>
      <w:r>
        <w:rPr>
          <w:rFonts w:hint="cs"/>
          <w:spacing w:val="-2"/>
          <w:rtl/>
        </w:rPr>
        <w:t>גם בימינו</w:t>
      </w:r>
      <w:r>
        <w:rPr>
          <w:rFonts w:hint="cs"/>
          <w:b/>
          <w:bCs/>
          <w:spacing w:val="-2"/>
          <w:rtl/>
        </w:rPr>
        <w:t xml:space="preserve"> וביטוי לרעיון של "שכנוע" בחלקי המבוא של דברי חקיקה ניתן למצוא גם בחקיקה מודרנית, ובתוך כך גם בחוקות מודרניות</w:t>
      </w:r>
      <w:r>
        <w:rPr>
          <w:rFonts w:hint="cs"/>
          <w:spacing w:val="-2"/>
          <w:rtl/>
        </w:rPr>
        <w:t>.</w:t>
      </w:r>
      <w:r>
        <w:rPr>
          <w:rStyle w:val="ac"/>
          <w:spacing w:val="-2"/>
          <w:rtl/>
        </w:rPr>
        <w:footnoteReference w:id="10"/>
      </w:r>
      <w:r>
        <w:rPr>
          <w:rFonts w:hint="cs"/>
          <w:spacing w:val="-2"/>
          <w:rtl/>
        </w:rPr>
        <w:t xml:space="preserve"> בהקשר זה יוער, כי חוקת ארה"ב היא אחד המקורות המודרניים הידועים ביותר העושה שימוש במבוא כדי להסביר ולפרט את הרעיונות המרכזיים שמעוגנים בחוקה ובאים לידי ביטוי באמצעותה.</w:t>
      </w:r>
      <w:r>
        <w:rPr>
          <w:rStyle w:val="ac"/>
          <w:spacing w:val="-2"/>
          <w:rtl/>
        </w:rPr>
        <w:footnoteReference w:id="11"/>
      </w:r>
      <w:r>
        <w:rPr>
          <w:rFonts w:hint="cs"/>
          <w:spacing w:val="-2"/>
          <w:rtl/>
        </w:rPr>
        <w:t xml:space="preserve"> </w:t>
      </w:r>
    </w:p>
    <w:p w:rsidR="003C150D" w:rsidRDefault="003C150D" w:rsidP="003C150D">
      <w:pPr>
        <w:rPr>
          <w:spacing w:val="-2"/>
          <w:rtl/>
        </w:rPr>
      </w:pPr>
      <w:r>
        <w:rPr>
          <w:rFonts w:hint="cs"/>
          <w:spacing w:val="-2"/>
          <w:rtl/>
        </w:rPr>
        <w:t>יש שמסווגים חוקות לשלושה מודלים בסיסיים, בין היתר, בהתאם לתוכן המבוא שלהן. מודלים אלה אומנם אינם "טהורים" וכל חוקה יכולה לכלול מאפיינים שונים מכל אחד מהמודלים השונים, אך במקרים רבים ניתן לזהות נטייה של חוקות ספציפיות למודל כזה או אחר:</w:t>
      </w:r>
      <w:r>
        <w:rPr>
          <w:rStyle w:val="ac"/>
          <w:spacing w:val="-2"/>
          <w:rtl/>
        </w:rPr>
        <w:footnoteReference w:id="12"/>
      </w:r>
      <w:r>
        <w:rPr>
          <w:rFonts w:hint="cs"/>
          <w:spacing w:val="-2"/>
          <w:rtl/>
        </w:rPr>
        <w:t xml:space="preserve"> </w:t>
      </w:r>
    </w:p>
    <w:p w:rsidR="003C150D" w:rsidRDefault="003C150D" w:rsidP="009430EA">
      <w:pPr>
        <w:pStyle w:val="afff4"/>
        <w:numPr>
          <w:ilvl w:val="0"/>
          <w:numId w:val="24"/>
        </w:numPr>
        <w:rPr>
          <w:spacing w:val="-2"/>
          <w:rtl/>
        </w:rPr>
      </w:pPr>
      <w:r>
        <w:rPr>
          <w:rFonts w:hint="cs"/>
          <w:b/>
          <w:bCs/>
          <w:spacing w:val="-2"/>
          <w:u w:val="single"/>
          <w:rtl/>
        </w:rPr>
        <w:t>המודל ה</w:t>
      </w:r>
      <w:r w:rsidR="009430EA">
        <w:rPr>
          <w:rFonts w:hint="cs"/>
          <w:b/>
          <w:bCs/>
          <w:spacing w:val="-2"/>
          <w:u w:val="single"/>
          <w:rtl/>
        </w:rPr>
        <w:t>נפוץ במשפט המקובל</w:t>
      </w:r>
      <w:r w:rsidR="00F74C1F">
        <w:rPr>
          <w:rFonts w:hint="cs"/>
          <w:b/>
          <w:bCs/>
          <w:spacing w:val="-2"/>
          <w:u w:val="single"/>
          <w:rtl/>
        </w:rPr>
        <w:t xml:space="preserve"> (</w:t>
      </w:r>
      <w:r w:rsidR="00F74C1F">
        <w:rPr>
          <w:b/>
          <w:bCs/>
          <w:spacing w:val="-2"/>
          <w:u w:val="single"/>
        </w:rPr>
        <w:t>common law</w:t>
      </w:r>
      <w:r w:rsidR="00F74C1F">
        <w:rPr>
          <w:rFonts w:hint="cs"/>
          <w:b/>
          <w:bCs/>
          <w:spacing w:val="-2"/>
          <w:u w:val="single"/>
          <w:rtl/>
        </w:rPr>
        <w:t>)</w:t>
      </w:r>
      <w:r>
        <w:rPr>
          <w:rFonts w:hint="cs"/>
          <w:spacing w:val="-2"/>
          <w:rtl/>
        </w:rPr>
        <w:t>:</w:t>
      </w:r>
      <w:r w:rsidR="00F74C1F">
        <w:rPr>
          <w:rStyle w:val="ac"/>
          <w:spacing w:val="-2"/>
          <w:rtl/>
        </w:rPr>
        <w:footnoteReference w:id="13"/>
      </w:r>
      <w:r>
        <w:rPr>
          <w:rFonts w:hint="cs"/>
          <w:spacing w:val="-2"/>
          <w:rtl/>
        </w:rPr>
        <w:t xml:space="preserve"> נקודת המוצא של מודל זה היא זו של </w:t>
      </w:r>
      <w:r>
        <w:rPr>
          <w:rFonts w:hint="cs"/>
          <w:b/>
          <w:bCs/>
          <w:spacing w:val="-2"/>
          <w:rtl/>
        </w:rPr>
        <w:t>חשש מפני ריכוז אפשרי של עוצמה שלטונית בלתי מרוסנת בידי המדינה</w:t>
      </w:r>
      <w:r>
        <w:rPr>
          <w:rFonts w:hint="cs"/>
          <w:spacing w:val="-2"/>
          <w:rtl/>
        </w:rPr>
        <w:t xml:space="preserve"> (</w:t>
      </w:r>
      <w:r>
        <w:rPr>
          <w:spacing w:val="-2"/>
          <w:sz w:val="22"/>
          <w:szCs w:val="22"/>
        </w:rPr>
        <w:t>oppressive concentration of authority</w:t>
      </w:r>
      <w:r>
        <w:rPr>
          <w:rFonts w:hint="cs"/>
          <w:spacing w:val="-2"/>
          <w:rtl/>
        </w:rPr>
        <w:t xml:space="preserve">). לאור זאת, במודל זה נקבעות במסמכים החוקתיים </w:t>
      </w:r>
      <w:r>
        <w:rPr>
          <w:rFonts w:hint="cs"/>
          <w:b/>
          <w:bCs/>
          <w:spacing w:val="-2"/>
          <w:rtl/>
        </w:rPr>
        <w:t>מגבלות שונות על עוצמת המדינה ובדרך-כלל גם מעוגנות זכויות אדם וזכויות אזרחיות (וזאת במטרה להגביל את עוצמת המדינה)</w:t>
      </w:r>
      <w:r>
        <w:rPr>
          <w:rFonts w:hint="cs"/>
          <w:spacing w:val="-2"/>
          <w:rtl/>
        </w:rPr>
        <w:t xml:space="preserve">. ביטויים שכיחים במבוא לחוקות מסוג זה כוללים מונחים מתחום זכויות האדם, הדגשת חירויות שונות, חופש וכדומה. </w:t>
      </w:r>
    </w:p>
    <w:p w:rsidR="003C150D" w:rsidRDefault="003C150D" w:rsidP="00F74C1F">
      <w:pPr>
        <w:pStyle w:val="afff4"/>
        <w:numPr>
          <w:ilvl w:val="0"/>
          <w:numId w:val="24"/>
        </w:numPr>
        <w:rPr>
          <w:spacing w:val="-2"/>
        </w:rPr>
      </w:pPr>
      <w:r>
        <w:rPr>
          <w:rFonts w:hint="cs"/>
          <w:b/>
          <w:bCs/>
          <w:spacing w:val="-2"/>
          <w:u w:val="single"/>
          <w:rtl/>
        </w:rPr>
        <w:t>המודל הקונטיננטלי</w:t>
      </w:r>
      <w:r w:rsidR="00F74C1F" w:rsidRPr="00F74C1F">
        <w:rPr>
          <w:rFonts w:hint="cs"/>
          <w:b/>
          <w:bCs/>
          <w:spacing w:val="-2"/>
          <w:u w:val="single"/>
          <w:rtl/>
        </w:rPr>
        <w:t xml:space="preserve"> (</w:t>
      </w:r>
      <w:r w:rsidR="00F74C1F" w:rsidRPr="00F74C1F">
        <w:rPr>
          <w:b/>
          <w:bCs/>
          <w:spacing w:val="-2"/>
          <w:u w:val="single"/>
        </w:rPr>
        <w:t>civil law</w:t>
      </w:r>
      <w:r w:rsidR="00F74C1F" w:rsidRPr="00F74C1F">
        <w:rPr>
          <w:rFonts w:hint="cs"/>
          <w:b/>
          <w:bCs/>
          <w:spacing w:val="-2"/>
          <w:u w:val="single"/>
          <w:rtl/>
        </w:rPr>
        <w:t>)</w:t>
      </w:r>
      <w:r>
        <w:rPr>
          <w:rFonts w:hint="cs"/>
          <w:spacing w:val="-2"/>
          <w:rtl/>
        </w:rPr>
        <w:t>:</w:t>
      </w:r>
      <w:r w:rsidR="00285408">
        <w:rPr>
          <w:rStyle w:val="ac"/>
          <w:spacing w:val="-2"/>
          <w:rtl/>
        </w:rPr>
        <w:footnoteReference w:id="14"/>
      </w:r>
      <w:r>
        <w:rPr>
          <w:rFonts w:hint="cs"/>
          <w:spacing w:val="-2"/>
          <w:rtl/>
        </w:rPr>
        <w:t xml:space="preserve"> לעומת המודל </w:t>
      </w:r>
      <w:r w:rsidR="009430EA">
        <w:rPr>
          <w:rFonts w:hint="cs"/>
          <w:spacing w:val="-2"/>
          <w:rtl/>
        </w:rPr>
        <w:t>הנפוץ במשפט המקובל</w:t>
      </w:r>
      <w:r>
        <w:rPr>
          <w:rFonts w:hint="cs"/>
          <w:spacing w:val="-2"/>
          <w:rtl/>
        </w:rPr>
        <w:t xml:space="preserve">, נקודת המוצא של המודל הקהילתי היא כזו שבמסגרתה המדינה נחשבת מעין </w:t>
      </w:r>
      <w:r>
        <w:rPr>
          <w:rFonts w:hint="cs"/>
          <w:b/>
          <w:bCs/>
          <w:spacing w:val="-2"/>
          <w:rtl/>
        </w:rPr>
        <w:t>גילום פיזי של הקהילה</w:t>
      </w:r>
      <w:r>
        <w:rPr>
          <w:rFonts w:hint="cs"/>
          <w:spacing w:val="-2"/>
          <w:rtl/>
        </w:rPr>
        <w:t xml:space="preserve"> (</w:t>
      </w:r>
      <w:r>
        <w:rPr>
          <w:spacing w:val="-2"/>
          <w:sz w:val="22"/>
          <w:szCs w:val="22"/>
        </w:rPr>
        <w:t>community</w:t>
      </w:r>
      <w:r>
        <w:rPr>
          <w:rFonts w:hint="cs"/>
          <w:spacing w:val="-2"/>
          <w:rtl/>
        </w:rPr>
        <w:t xml:space="preserve">), ומעין </w:t>
      </w:r>
      <w:r>
        <w:rPr>
          <w:rFonts w:hint="cs"/>
          <w:b/>
          <w:bCs/>
          <w:spacing w:val="-2"/>
          <w:rtl/>
        </w:rPr>
        <w:t>כלי</w:t>
      </w:r>
      <w:r>
        <w:rPr>
          <w:rFonts w:hint="cs"/>
          <w:spacing w:val="-2"/>
          <w:rtl/>
        </w:rPr>
        <w:t xml:space="preserve"> (</w:t>
      </w:r>
      <w:r>
        <w:rPr>
          <w:spacing w:val="-2"/>
          <w:sz w:val="22"/>
          <w:szCs w:val="22"/>
        </w:rPr>
        <w:t>vehicle</w:t>
      </w:r>
      <w:r>
        <w:rPr>
          <w:rFonts w:hint="cs"/>
          <w:spacing w:val="-2"/>
          <w:rtl/>
        </w:rPr>
        <w:t xml:space="preserve">) </w:t>
      </w:r>
      <w:r>
        <w:rPr>
          <w:rFonts w:hint="cs"/>
          <w:b/>
          <w:bCs/>
          <w:spacing w:val="-2"/>
          <w:rtl/>
        </w:rPr>
        <w:t>להשגת מטרות קהילתיות משותפות</w:t>
      </w:r>
      <w:r>
        <w:rPr>
          <w:rFonts w:hint="cs"/>
          <w:spacing w:val="-2"/>
          <w:rtl/>
        </w:rPr>
        <w:t xml:space="preserve"> (ובפרט הבעת "רצון משותף" של הציבור). לאור זאת, במסמכים חוקתיים שנוטים למודל זה ניתן פעמים רבות דגש על </w:t>
      </w:r>
      <w:r>
        <w:rPr>
          <w:rFonts w:hint="cs"/>
          <w:b/>
          <w:bCs/>
          <w:spacing w:val="-2"/>
          <w:rtl/>
        </w:rPr>
        <w:t>הזהות המשותפת של אזרחי המדינה, ההיבטים השונים של החברות בקהילה וכן על סמלי המדינה</w:t>
      </w:r>
      <w:r>
        <w:rPr>
          <w:rFonts w:hint="cs"/>
          <w:spacing w:val="-2"/>
          <w:rtl/>
        </w:rPr>
        <w:t xml:space="preserve">. מסמכים חוקתיים מסוג זה נוטים להדגיש יותר מטרות קולקטיביות של הקהילה, זכויות חיוביות של האזרחים וכן את חובות שיתוף הפעולה עם מנגנוני המדינה במטרה להשיג את המטרות המשותפות. </w:t>
      </w:r>
    </w:p>
    <w:p w:rsidR="003C150D" w:rsidRDefault="003C150D" w:rsidP="003C150D">
      <w:pPr>
        <w:pStyle w:val="afff4"/>
        <w:numPr>
          <w:ilvl w:val="0"/>
          <w:numId w:val="24"/>
        </w:numPr>
        <w:rPr>
          <w:spacing w:val="-2"/>
        </w:rPr>
      </w:pPr>
      <w:r>
        <w:rPr>
          <w:rFonts w:hint="cs"/>
          <w:b/>
          <w:bCs/>
          <w:spacing w:val="-2"/>
          <w:u w:val="single"/>
          <w:rtl/>
        </w:rPr>
        <w:t>המודל האוניברסלי</w:t>
      </w:r>
      <w:r>
        <w:rPr>
          <w:rFonts w:hint="cs"/>
          <w:spacing w:val="-2"/>
          <w:rtl/>
        </w:rPr>
        <w:t xml:space="preserve">: מודל נוסף, שהפך לנפוץ בעיקר לאחר מלחמת העולם השנייה ובדמוקרטיות החדשות, הוא המודל האוניברסלי. מודל זה הוא </w:t>
      </w:r>
      <w:r>
        <w:rPr>
          <w:rFonts w:hint="cs"/>
          <w:b/>
          <w:bCs/>
          <w:spacing w:val="-2"/>
          <w:rtl/>
        </w:rPr>
        <w:t>מודל שמניח את יסודות הלגיטימציה של המדינה על שילוב בין אדני המשפט החוקתי והמשפט הבינלאומי</w:t>
      </w:r>
      <w:r>
        <w:rPr>
          <w:rFonts w:hint="cs"/>
          <w:spacing w:val="-2"/>
          <w:rtl/>
        </w:rPr>
        <w:t xml:space="preserve"> </w:t>
      </w:r>
      <w:r>
        <w:rPr>
          <w:rFonts w:hint="cs"/>
          <w:b/>
          <w:bCs/>
          <w:spacing w:val="-2"/>
          <w:rtl/>
        </w:rPr>
        <w:t>יחדיו</w:t>
      </w:r>
      <w:r>
        <w:rPr>
          <w:rFonts w:hint="cs"/>
          <w:spacing w:val="-2"/>
          <w:rtl/>
        </w:rPr>
        <w:t xml:space="preserve">. כך, במסמכים מסוג זה, בדרך-כלל, נפוצים יותר ביטויים של </w:t>
      </w:r>
      <w:r>
        <w:rPr>
          <w:rFonts w:hint="cs"/>
          <w:b/>
          <w:bCs/>
          <w:spacing w:val="-2"/>
          <w:rtl/>
        </w:rPr>
        <w:t>מחויבות המדינה לארגונים בינלאומיים שונים, נעשות הפניות לגופים אלה, או הפניות לעקרונות-על מהמשפט הבינלאומי בערבוב עם עקרונות חוקתיים מקומיים שונים</w:t>
      </w:r>
      <w:r>
        <w:rPr>
          <w:rFonts w:hint="cs"/>
          <w:spacing w:val="-2"/>
          <w:rtl/>
        </w:rPr>
        <w:t xml:space="preserve">. כמו כן, במסמכים מסוג זה נפוצה יותר ההסתמכות על </w:t>
      </w:r>
      <w:r>
        <w:rPr>
          <w:rFonts w:hint="cs"/>
          <w:b/>
          <w:bCs/>
          <w:spacing w:val="-2"/>
          <w:rtl/>
        </w:rPr>
        <w:t>מושגים ורעיונות מופשטים מהמשפט הבינלאומי וכן אזכור אמנות מרכזיות</w:t>
      </w:r>
      <w:r>
        <w:rPr>
          <w:rFonts w:hint="cs"/>
          <w:spacing w:val="-2"/>
          <w:rtl/>
        </w:rPr>
        <w:t>.</w:t>
      </w:r>
    </w:p>
    <w:p w:rsidR="003C150D" w:rsidRDefault="003C150D" w:rsidP="003C150D">
      <w:pPr>
        <w:rPr>
          <w:spacing w:val="-2"/>
          <w:rtl/>
        </w:rPr>
      </w:pPr>
      <w:r>
        <w:rPr>
          <w:rFonts w:hint="cs"/>
          <w:spacing w:val="-2"/>
          <w:rtl/>
        </w:rPr>
        <w:t>כאמור לעיל, בניתוח השוואתי של חוקות יש כמה מאפיינים שכיחים (או נקודות השוואה מחקריות) שחוזרים על עצמם לעיתים קרובות, וביניהם:</w:t>
      </w:r>
      <w:r>
        <w:rPr>
          <w:rStyle w:val="ac"/>
          <w:spacing w:val="-2"/>
          <w:rtl/>
        </w:rPr>
        <w:footnoteReference w:id="15"/>
      </w:r>
      <w:r>
        <w:rPr>
          <w:rFonts w:hint="cs"/>
          <w:spacing w:val="-2"/>
          <w:rtl/>
        </w:rPr>
        <w:t xml:space="preserve"> </w:t>
      </w:r>
    </w:p>
    <w:p w:rsidR="003C150D" w:rsidRDefault="003C150D" w:rsidP="00C26D15">
      <w:pPr>
        <w:pStyle w:val="afff4"/>
        <w:numPr>
          <w:ilvl w:val="0"/>
          <w:numId w:val="25"/>
        </w:numPr>
        <w:rPr>
          <w:spacing w:val="-2"/>
          <w:rtl/>
        </w:rPr>
      </w:pPr>
      <w:r>
        <w:rPr>
          <w:rFonts w:hint="cs"/>
          <w:b/>
          <w:bCs/>
          <w:spacing w:val="-2"/>
          <w:u w:val="single"/>
          <w:rtl/>
        </w:rPr>
        <w:t>אזכור מקור הסמכות לחקיקה - העם כריבון</w:t>
      </w:r>
      <w:r>
        <w:rPr>
          <w:rFonts w:hint="cs"/>
          <w:spacing w:val="-2"/>
          <w:rtl/>
        </w:rPr>
        <w:t xml:space="preserve">: לעיתים קרובות מוזכר במבוא לחוקה </w:t>
      </w:r>
      <w:r>
        <w:rPr>
          <w:rFonts w:hint="cs"/>
          <w:b/>
          <w:bCs/>
          <w:spacing w:val="-2"/>
          <w:rtl/>
        </w:rPr>
        <w:t>הריבון כמקור לסמכות כינון החוקה</w:t>
      </w:r>
      <w:r>
        <w:rPr>
          <w:rFonts w:hint="cs"/>
          <w:spacing w:val="-2"/>
          <w:rtl/>
        </w:rPr>
        <w:t xml:space="preserve">. זאת, בין אם הריבון האמור הוא </w:t>
      </w:r>
      <w:r>
        <w:rPr>
          <w:rFonts w:hint="cs"/>
          <w:b/>
          <w:bCs/>
          <w:spacing w:val="-2"/>
          <w:rtl/>
        </w:rPr>
        <w:t>לאום או עם ספציפי, כלל אזרחי המדינה, גופים או מוסדות לאומי</w:t>
      </w:r>
      <w:r w:rsidR="00F93CB1">
        <w:rPr>
          <w:rFonts w:hint="cs"/>
          <w:b/>
          <w:bCs/>
          <w:spacing w:val="-2"/>
          <w:rtl/>
        </w:rPr>
        <w:t>י</w:t>
      </w:r>
      <w:r>
        <w:rPr>
          <w:rFonts w:hint="cs"/>
          <w:b/>
          <w:bCs/>
          <w:spacing w:val="-2"/>
          <w:rtl/>
        </w:rPr>
        <w:t>ם נבחרים וכדומה</w:t>
      </w:r>
      <w:r>
        <w:rPr>
          <w:rFonts w:hint="cs"/>
          <w:spacing w:val="-2"/>
          <w:rtl/>
        </w:rPr>
        <w:t xml:space="preserve">. כך, יש שנעשה שימוש בהפניה כללית ומופשטת ל"עם" כדי לתאר את מקור הסמכות לקביעת החוקה (לדוגמה בחוקת ארה"ב: </w:t>
      </w:r>
      <w:r>
        <w:rPr>
          <w:spacing w:val="-2"/>
          <w:sz w:val="22"/>
          <w:szCs w:val="22"/>
        </w:rPr>
        <w:t>"</w:t>
      </w:r>
      <w:r>
        <w:rPr>
          <w:b/>
          <w:bCs/>
          <w:spacing w:val="-2"/>
          <w:sz w:val="22"/>
          <w:szCs w:val="22"/>
        </w:rPr>
        <w:t>We the people</w:t>
      </w:r>
      <w:r>
        <w:rPr>
          <w:spacing w:val="-2"/>
          <w:sz w:val="22"/>
          <w:szCs w:val="22"/>
        </w:rPr>
        <w:t>"</w:t>
      </w:r>
      <w:r>
        <w:rPr>
          <w:rFonts w:hint="cs"/>
          <w:spacing w:val="-2"/>
          <w:rtl/>
        </w:rPr>
        <w:t xml:space="preserve">). לחילופין, לעיתים, נעשה שימוש בהפניה לאומה ספציפית ולא לרעיון המופשט של "עם" (לדוגמה בחוקת </w:t>
      </w:r>
      <w:r w:rsidR="00381DA5">
        <w:rPr>
          <w:rFonts w:hint="cs"/>
          <w:spacing w:val="-2"/>
          <w:rtl/>
        </w:rPr>
        <w:t>ליטא</w:t>
      </w:r>
      <w:r>
        <w:rPr>
          <w:rFonts w:hint="cs"/>
          <w:spacing w:val="-2"/>
          <w:rtl/>
        </w:rPr>
        <w:t>:</w:t>
      </w:r>
      <w:r>
        <w:rPr>
          <w:spacing w:val="-2"/>
          <w:sz w:val="22"/>
          <w:szCs w:val="22"/>
        </w:rPr>
        <w:t>"</w:t>
      </w:r>
      <w:r>
        <w:rPr>
          <w:b/>
          <w:bCs/>
          <w:spacing w:val="-2"/>
          <w:sz w:val="22"/>
          <w:szCs w:val="22"/>
        </w:rPr>
        <w:t>The Lithuanian Nation</w:t>
      </w:r>
      <w:r>
        <w:rPr>
          <w:b/>
          <w:bCs/>
          <w:sz w:val="22"/>
          <w:szCs w:val="22"/>
        </w:rPr>
        <w:t xml:space="preserve"> </w:t>
      </w:r>
      <w:r>
        <w:rPr>
          <w:b/>
          <w:bCs/>
          <w:spacing w:val="-2"/>
          <w:sz w:val="22"/>
          <w:szCs w:val="22"/>
        </w:rPr>
        <w:t>- having established the State of Lithuania many centuries ago</w:t>
      </w:r>
      <w:r>
        <w:rPr>
          <w:spacing w:val="-2"/>
          <w:sz w:val="22"/>
          <w:szCs w:val="22"/>
        </w:rPr>
        <w:t>"</w:t>
      </w:r>
      <w:r>
        <w:rPr>
          <w:rFonts w:hint="cs"/>
          <w:spacing w:val="-2"/>
          <w:rtl/>
        </w:rPr>
        <w:t>). מעבר לכך, לעיתים, נעשה שימוש בנוסח כללי יותר שעוסק דווקא באזרחי המדינה ולא בלאום ספציפי או בעם ספציפי. לדוגמה</w:t>
      </w:r>
      <w:r w:rsidR="00C26D15">
        <w:rPr>
          <w:rFonts w:hint="cs"/>
          <w:spacing w:val="-2"/>
          <w:rtl/>
        </w:rPr>
        <w:t>,</w:t>
      </w:r>
      <w:r>
        <w:rPr>
          <w:rFonts w:hint="cs"/>
          <w:spacing w:val="-2"/>
          <w:rtl/>
        </w:rPr>
        <w:t xml:space="preserve"> בחוקת סרביה מוזכרים (מסיבות שונות, ראו להלן) אזרחי המדינה: </w:t>
      </w:r>
      <w:r>
        <w:rPr>
          <w:spacing w:val="-2"/>
          <w:sz w:val="22"/>
          <w:szCs w:val="22"/>
        </w:rPr>
        <w:t>"</w:t>
      </w:r>
      <w:r>
        <w:rPr>
          <w:b/>
          <w:bCs/>
          <w:spacing w:val="-2"/>
          <w:sz w:val="22"/>
          <w:szCs w:val="22"/>
        </w:rPr>
        <w:t>the citizens of Serbia adopt</w:t>
      </w:r>
      <w:r>
        <w:rPr>
          <w:spacing w:val="-2"/>
          <w:sz w:val="22"/>
          <w:szCs w:val="22"/>
        </w:rPr>
        <w:t>"</w:t>
      </w:r>
      <w:r w:rsidR="00C26D15">
        <w:rPr>
          <w:rFonts w:hint="cs"/>
          <w:spacing w:val="-2"/>
          <w:rtl/>
        </w:rPr>
        <w:t>,</w:t>
      </w:r>
      <w:r>
        <w:rPr>
          <w:rFonts w:hint="cs"/>
          <w:spacing w:val="-2"/>
          <w:rtl/>
        </w:rPr>
        <w:t xml:space="preserve"> </w:t>
      </w:r>
      <w:r w:rsidR="00C26D15">
        <w:rPr>
          <w:rFonts w:hint="cs"/>
          <w:spacing w:val="-2"/>
          <w:rtl/>
        </w:rPr>
        <w:t xml:space="preserve">וגם </w:t>
      </w:r>
      <w:r>
        <w:rPr>
          <w:rFonts w:hint="cs"/>
          <w:spacing w:val="-2"/>
          <w:rtl/>
        </w:rPr>
        <w:t xml:space="preserve">בחוקת פולין נעשה שימוש בנוסח כללי </w:t>
      </w:r>
      <w:r w:rsidR="00C26D15">
        <w:rPr>
          <w:rFonts w:hint="cs"/>
          <w:spacing w:val="-2"/>
          <w:rtl/>
        </w:rPr>
        <w:t xml:space="preserve">יותר (בעקבות פשרות שונות) </w:t>
      </w:r>
      <w:r>
        <w:rPr>
          <w:rFonts w:hint="cs"/>
          <w:spacing w:val="-2"/>
          <w:rtl/>
        </w:rPr>
        <w:t xml:space="preserve">שמדגיש כי המקור הוא דווקא </w:t>
      </w:r>
      <w:r>
        <w:rPr>
          <w:rFonts w:hint="cs"/>
          <w:b/>
          <w:bCs/>
          <w:spacing w:val="-2"/>
          <w:u w:val="single"/>
          <w:rtl/>
        </w:rPr>
        <w:t>כלל</w:t>
      </w:r>
      <w:r>
        <w:rPr>
          <w:rFonts w:hint="cs"/>
          <w:spacing w:val="-2"/>
          <w:rtl/>
        </w:rPr>
        <w:t xml:space="preserve"> האזרחים במדינה: </w:t>
      </w:r>
      <w:r>
        <w:rPr>
          <w:spacing w:val="-2"/>
          <w:sz w:val="22"/>
          <w:szCs w:val="22"/>
        </w:rPr>
        <w:t>"</w:t>
      </w:r>
      <w:r>
        <w:rPr>
          <w:b/>
          <w:bCs/>
          <w:spacing w:val="-2"/>
          <w:sz w:val="22"/>
          <w:szCs w:val="22"/>
        </w:rPr>
        <w:t>We, the Polish Nation - all citizens of the Republic</w:t>
      </w:r>
      <w:r>
        <w:rPr>
          <w:spacing w:val="-2"/>
          <w:sz w:val="22"/>
          <w:szCs w:val="22"/>
        </w:rPr>
        <w:t>"</w:t>
      </w:r>
      <w:r>
        <w:rPr>
          <w:rFonts w:hint="cs"/>
          <w:spacing w:val="-2"/>
          <w:rtl/>
        </w:rPr>
        <w:t>. כמו כן, לעיתים, ההפניה היא לגופים או למוסדות נבחרים שמייצגים את העם כריבון,</w:t>
      </w:r>
      <w:r>
        <w:rPr>
          <w:rStyle w:val="ac"/>
          <w:spacing w:val="-2"/>
          <w:rtl/>
        </w:rPr>
        <w:footnoteReference w:id="16"/>
      </w:r>
      <w:r>
        <w:rPr>
          <w:rFonts w:hint="cs"/>
          <w:spacing w:val="-2"/>
          <w:rtl/>
        </w:rPr>
        <w:t xml:space="preserve"> ולעיתים אף אין התייחסות כלשהי למקור הסמכות לחקיקה.</w:t>
      </w:r>
      <w:r>
        <w:rPr>
          <w:rStyle w:val="ac"/>
          <w:spacing w:val="-2"/>
        </w:rPr>
        <w:footnoteReference w:id="17"/>
      </w:r>
      <w:r>
        <w:rPr>
          <w:rFonts w:hint="cs"/>
          <w:spacing w:val="-2"/>
          <w:rtl/>
        </w:rPr>
        <w:t xml:space="preserve"> </w:t>
      </w:r>
    </w:p>
    <w:p w:rsidR="003C150D" w:rsidRDefault="003C150D" w:rsidP="000F3D3B">
      <w:pPr>
        <w:pStyle w:val="afff4"/>
        <w:rPr>
          <w:spacing w:val="-2"/>
        </w:rPr>
      </w:pPr>
      <w:r>
        <w:rPr>
          <w:rFonts w:hint="cs"/>
          <w:spacing w:val="-2"/>
          <w:rtl/>
        </w:rPr>
        <w:t xml:space="preserve">כפי שניתן להבין, </w:t>
      </w:r>
      <w:r>
        <w:rPr>
          <w:rFonts w:hint="cs"/>
          <w:b/>
          <w:bCs/>
          <w:spacing w:val="-2"/>
          <w:rtl/>
        </w:rPr>
        <w:t>לסוג ההפניה וללשון ההפניה למקורות הסמכות עשוי להתלוות "מטען ערכי" (משפטי או אחר), והפניות אלה יכולות להיחשב כאמירות מהותיות לא רק לגבי מקור הסמכות עצמו, אלא גם לגבי זהות הגורמים שנכללים במקור זה</w:t>
      </w:r>
      <w:r>
        <w:rPr>
          <w:rFonts w:hint="cs"/>
          <w:spacing w:val="-2"/>
          <w:rtl/>
        </w:rPr>
        <w:t xml:space="preserve"> </w:t>
      </w:r>
      <w:r>
        <w:rPr>
          <w:rFonts w:hint="cs"/>
          <w:b/>
          <w:bCs/>
          <w:spacing w:val="-2"/>
          <w:rtl/>
        </w:rPr>
        <w:t>ומעמדם בתוך החברה</w:t>
      </w:r>
      <w:r>
        <w:rPr>
          <w:rFonts w:hint="cs"/>
          <w:spacing w:val="-2"/>
          <w:rtl/>
        </w:rPr>
        <w:t>.</w:t>
      </w:r>
      <w:r>
        <w:rPr>
          <w:rStyle w:val="ac"/>
          <w:spacing w:val="-2"/>
          <w:rtl/>
        </w:rPr>
        <w:footnoteReference w:id="18"/>
      </w:r>
      <w:r>
        <w:rPr>
          <w:rFonts w:hint="cs"/>
          <w:spacing w:val="-2"/>
          <w:rtl/>
        </w:rPr>
        <w:t xml:space="preserve"> כך, המונחים השכיחים שמשמשים לתיאור </w:t>
      </w:r>
      <w:r w:rsidRPr="000F3D3B">
        <w:rPr>
          <w:rFonts w:hint="cs"/>
          <w:b/>
          <w:bCs/>
          <w:spacing w:val="-2"/>
          <w:rtl/>
        </w:rPr>
        <w:t xml:space="preserve">מקור סמכות </w:t>
      </w:r>
      <w:r w:rsidR="005F7B2F" w:rsidRPr="000F3D3B">
        <w:rPr>
          <w:rFonts w:hint="cs"/>
          <w:b/>
          <w:bCs/>
          <w:spacing w:val="-2"/>
          <w:rtl/>
        </w:rPr>
        <w:t>שהוא קהילה פוליטית</w:t>
      </w:r>
      <w:r w:rsidR="005F7B2F">
        <w:rPr>
          <w:rFonts w:hint="cs"/>
          <w:spacing w:val="-2"/>
          <w:rtl/>
        </w:rPr>
        <w:t xml:space="preserve"> </w:t>
      </w:r>
      <w:r>
        <w:rPr>
          <w:rFonts w:hint="cs"/>
          <w:spacing w:val="-2"/>
          <w:rtl/>
        </w:rPr>
        <w:t>במבוא לחוקה (</w:t>
      </w:r>
      <w:r>
        <w:rPr>
          <w:spacing w:val="-2"/>
          <w:sz w:val="22"/>
          <w:szCs w:val="22"/>
        </w:rPr>
        <w:t>nation</w:t>
      </w:r>
      <w:r>
        <w:rPr>
          <w:rFonts w:hint="cs"/>
          <w:spacing w:val="-2"/>
          <w:rtl/>
        </w:rPr>
        <w:t xml:space="preserve">, </w:t>
      </w:r>
      <w:r>
        <w:rPr>
          <w:spacing w:val="-2"/>
          <w:sz w:val="22"/>
          <w:szCs w:val="22"/>
        </w:rPr>
        <w:t>people</w:t>
      </w:r>
      <w:r>
        <w:rPr>
          <w:rFonts w:hint="cs"/>
          <w:spacing w:val="-2"/>
          <w:rtl/>
        </w:rPr>
        <w:t>,</w:t>
      </w:r>
      <w:r>
        <w:rPr>
          <w:rFonts w:hint="cs"/>
          <w:spacing w:val="-2"/>
        </w:rPr>
        <w:t xml:space="preserve"> </w:t>
      </w:r>
      <w:r>
        <w:rPr>
          <w:spacing w:val="-2"/>
          <w:sz w:val="22"/>
          <w:szCs w:val="22"/>
        </w:rPr>
        <w:t>citizen</w:t>
      </w:r>
      <w:r w:rsidR="005F7B2F">
        <w:rPr>
          <w:rFonts w:hint="cs"/>
          <w:spacing w:val="-2"/>
          <w:rtl/>
          <w:lang w:val="en-GB"/>
        </w:rPr>
        <w:t xml:space="preserve"> </w:t>
      </w:r>
      <w:r>
        <w:rPr>
          <w:rFonts w:hint="cs"/>
          <w:spacing w:val="-2"/>
          <w:rtl/>
          <w:lang w:val="en-GB"/>
        </w:rPr>
        <w:t xml:space="preserve">וכדומה) יכולים להיות </w:t>
      </w:r>
      <w:r>
        <w:rPr>
          <w:rFonts w:hint="cs"/>
          <w:b/>
          <w:bCs/>
          <w:spacing w:val="-2"/>
          <w:rtl/>
          <w:lang w:val="en-GB"/>
        </w:rPr>
        <w:t>בעלי משמעות שמושפעת מהקשרים חברתיים, תרבותיים, היסטוריים ואחרים של מונחים אלה והם אף יתפרשו בהתאם להם</w:t>
      </w:r>
      <w:r>
        <w:rPr>
          <w:rFonts w:hint="cs"/>
          <w:spacing w:val="-2"/>
          <w:rtl/>
          <w:lang w:val="en-GB"/>
        </w:rPr>
        <w:t xml:space="preserve">. לאור זאת, כפי שגם יוצג בפרק הסקירה המשווה, יש לקחת בחשבון את ההקשרים האמורים בעת ההשוואה למדינות הזרות. </w:t>
      </w:r>
      <w:r w:rsidR="000F3D3B">
        <w:rPr>
          <w:spacing w:val="-2"/>
          <w:rtl/>
          <w:lang w:val="en-GB"/>
        </w:rPr>
        <w:br/>
      </w:r>
      <w:r>
        <w:rPr>
          <w:rFonts w:hint="cs"/>
          <w:spacing w:val="-2"/>
          <w:rtl/>
        </w:rPr>
        <w:t xml:space="preserve">כמו כן, בהקשר של השימוש במונחים אלה יודגש, כי לעיתים קרובות מתבצע מעין איזון חוקתי במבוא לחוקה או בגוף החוקה עצמו כאשר ההפניה היא </w:t>
      </w:r>
      <w:r w:rsidR="000F3D3B">
        <w:rPr>
          <w:rFonts w:hint="cs"/>
          <w:spacing w:val="-2"/>
          <w:rtl/>
        </w:rPr>
        <w:t>לקהילה פוליטית</w:t>
      </w:r>
      <w:r>
        <w:rPr>
          <w:rFonts w:hint="cs"/>
          <w:spacing w:val="-2"/>
          <w:rtl/>
        </w:rPr>
        <w:t xml:space="preserve"> ספציפי</w:t>
      </w:r>
      <w:r w:rsidR="000F3D3B">
        <w:rPr>
          <w:rFonts w:hint="cs"/>
          <w:spacing w:val="-2"/>
          <w:rtl/>
        </w:rPr>
        <w:t>ת</w:t>
      </w:r>
      <w:r>
        <w:rPr>
          <w:rFonts w:hint="cs"/>
          <w:spacing w:val="-2"/>
          <w:rtl/>
        </w:rPr>
        <w:t xml:space="preserve">. לדוגמה, כאשר נעשית הפניה לעם או לאומה ספציפיים עשוי להתבצע מעין "איזון" בדמות הבטחת </w:t>
      </w:r>
      <w:r>
        <w:rPr>
          <w:rFonts w:hint="cs"/>
          <w:b/>
          <w:bCs/>
          <w:spacing w:val="-2"/>
          <w:rtl/>
        </w:rPr>
        <w:t>שוויון זכויות למיעוטים אתניים</w:t>
      </w:r>
      <w:r>
        <w:rPr>
          <w:rFonts w:hint="cs"/>
          <w:spacing w:val="-2"/>
          <w:rtl/>
        </w:rPr>
        <w:t xml:space="preserve">, או </w:t>
      </w:r>
      <w:r>
        <w:rPr>
          <w:rFonts w:hint="cs"/>
          <w:b/>
          <w:bCs/>
          <w:spacing w:val="-2"/>
          <w:rtl/>
        </w:rPr>
        <w:t>הבטחת זכויות פרט</w:t>
      </w:r>
      <w:r>
        <w:rPr>
          <w:rFonts w:hint="cs"/>
          <w:spacing w:val="-2"/>
          <w:rtl/>
        </w:rPr>
        <w:t xml:space="preserve"> כאלה ואחרות </w:t>
      </w:r>
      <w:r>
        <w:rPr>
          <w:rFonts w:hint="cs"/>
          <w:b/>
          <w:bCs/>
          <w:spacing w:val="-2"/>
          <w:rtl/>
        </w:rPr>
        <w:t>בגוף החוקה</w:t>
      </w:r>
      <w:r>
        <w:rPr>
          <w:rFonts w:hint="cs"/>
          <w:spacing w:val="-2"/>
          <w:rtl/>
        </w:rPr>
        <w:t xml:space="preserve"> או </w:t>
      </w:r>
      <w:r>
        <w:rPr>
          <w:rFonts w:hint="cs"/>
          <w:b/>
          <w:bCs/>
          <w:spacing w:val="-2"/>
          <w:rtl/>
        </w:rPr>
        <w:t>במבוא לחוקה</w:t>
      </w:r>
      <w:r>
        <w:rPr>
          <w:rFonts w:hint="cs"/>
          <w:spacing w:val="-2"/>
          <w:rtl/>
        </w:rPr>
        <w:t xml:space="preserve">. לחילופין, האיזון יכול גם להתבצע כך שבמקביל לאזכור </w:t>
      </w:r>
      <w:r w:rsidR="000F3D3B">
        <w:rPr>
          <w:rFonts w:hint="cs"/>
          <w:spacing w:val="-2"/>
          <w:rtl/>
        </w:rPr>
        <w:t>קהילה פוליטית ספציפית</w:t>
      </w:r>
      <w:r>
        <w:rPr>
          <w:rFonts w:hint="cs"/>
          <w:spacing w:val="-2"/>
          <w:rtl/>
        </w:rPr>
        <w:t xml:space="preserve"> </w:t>
      </w:r>
      <w:r>
        <w:rPr>
          <w:rFonts w:hint="cs"/>
          <w:b/>
          <w:bCs/>
          <w:spacing w:val="-2"/>
          <w:rtl/>
        </w:rPr>
        <w:t>מאוזכרות גם קבוצות מיעוטים</w:t>
      </w:r>
      <w:r>
        <w:rPr>
          <w:rFonts w:hint="cs"/>
          <w:spacing w:val="-2"/>
          <w:rtl/>
        </w:rPr>
        <w:t xml:space="preserve"> </w:t>
      </w:r>
      <w:r>
        <w:rPr>
          <w:rFonts w:hint="cs"/>
          <w:b/>
          <w:bCs/>
          <w:spacing w:val="-2"/>
          <w:rtl/>
        </w:rPr>
        <w:t>לאומיות</w:t>
      </w:r>
      <w:r>
        <w:rPr>
          <w:rFonts w:hint="cs"/>
          <w:spacing w:val="-2"/>
          <w:rtl/>
        </w:rPr>
        <w:t xml:space="preserve"> כמי שנוטלות אף הן חלק בהצהרה על כינון החוקה, או כמי שפועלות </w:t>
      </w:r>
      <w:r>
        <w:rPr>
          <w:rFonts w:hint="cs"/>
          <w:b/>
          <w:bCs/>
          <w:spacing w:val="-2"/>
          <w:rtl/>
        </w:rPr>
        <w:t>בשותפות</w:t>
      </w:r>
      <w:r>
        <w:rPr>
          <w:rFonts w:hint="cs"/>
          <w:spacing w:val="-2"/>
          <w:rtl/>
        </w:rPr>
        <w:t xml:space="preserve"> להקמת המדינה או שותפות לערכיה.</w:t>
      </w:r>
      <w:r>
        <w:rPr>
          <w:rStyle w:val="ac"/>
          <w:spacing w:val="-2"/>
        </w:rPr>
        <w:footnoteReference w:id="19"/>
      </w:r>
    </w:p>
    <w:p w:rsidR="003C150D" w:rsidRDefault="003C150D" w:rsidP="009430EA">
      <w:pPr>
        <w:pStyle w:val="afff4"/>
        <w:numPr>
          <w:ilvl w:val="0"/>
          <w:numId w:val="25"/>
        </w:numPr>
        <w:rPr>
          <w:spacing w:val="-2"/>
        </w:rPr>
      </w:pPr>
      <w:r>
        <w:rPr>
          <w:rFonts w:hint="cs"/>
          <w:b/>
          <w:bCs/>
          <w:spacing w:val="-2"/>
          <w:u w:val="single"/>
          <w:rtl/>
        </w:rPr>
        <w:t>אזכור נרטיב היסטורי</w:t>
      </w:r>
      <w:r>
        <w:rPr>
          <w:rFonts w:hint="cs"/>
          <w:spacing w:val="-2"/>
          <w:rtl/>
        </w:rPr>
        <w:t xml:space="preserve">: כאמור, בחוקות לעיתים נעשות </w:t>
      </w:r>
      <w:r>
        <w:rPr>
          <w:rFonts w:hint="cs"/>
          <w:b/>
          <w:bCs/>
          <w:spacing w:val="-2"/>
          <w:rtl/>
        </w:rPr>
        <w:t>הפניות לנרטיבים היסטוריים</w:t>
      </w:r>
      <w:r>
        <w:rPr>
          <w:rFonts w:hint="cs"/>
          <w:spacing w:val="-2"/>
          <w:rtl/>
        </w:rPr>
        <w:t xml:space="preserve">. כך, פעמים רבות, המבוא לחוקה כולל אף הוא </w:t>
      </w:r>
      <w:r>
        <w:rPr>
          <w:rFonts w:hint="cs"/>
          <w:b/>
          <w:bCs/>
          <w:spacing w:val="-2"/>
          <w:rtl/>
        </w:rPr>
        <w:t>סקירה של אירועים היסטוריים מהעבר המשותף של הקהילה, הלאום, העם וכדומה</w:t>
      </w:r>
      <w:r>
        <w:rPr>
          <w:rFonts w:hint="cs"/>
          <w:spacing w:val="-2"/>
          <w:rtl/>
        </w:rPr>
        <w:t xml:space="preserve">. כפי שהוצג לעיל, הפניות מסוג זה אל נרטיב היסטורי מקובלות בדרך כלל דווקא במודל הקהילתי, אך ניתן למצוא אותן גם בסוגים אחרים של חוקות (לרבות אלה שמשתייכות למודל </w:t>
      </w:r>
      <w:r w:rsidR="009430EA">
        <w:rPr>
          <w:rFonts w:hint="cs"/>
          <w:spacing w:val="-2"/>
          <w:rtl/>
        </w:rPr>
        <w:t>הנפוץ במשפט המקובל</w:t>
      </w:r>
      <w:r>
        <w:rPr>
          <w:rFonts w:hint="cs"/>
          <w:spacing w:val="-2"/>
          <w:rtl/>
        </w:rPr>
        <w:t xml:space="preserve">). ככלל, אזכורים מסוג זה של הנרטיב המשותף </w:t>
      </w:r>
      <w:r>
        <w:rPr>
          <w:rFonts w:hint="cs"/>
          <w:b/>
          <w:bCs/>
          <w:spacing w:val="-2"/>
          <w:rtl/>
        </w:rPr>
        <w:t>מיועדים לגבש ולאחד, או לעצב זהות מופשטת משותפת</w:t>
      </w:r>
      <w:r>
        <w:rPr>
          <w:rFonts w:hint="cs"/>
          <w:spacing w:val="-2"/>
          <w:rtl/>
        </w:rPr>
        <w:t>. הביטוי לכך בנוסח המבוא הוא בדרך-כלל בדמות ציון אירועים שהשפיעו על הקמת המדינה, כינון החוקה, או על אופיים של אלה.</w:t>
      </w:r>
      <w:r>
        <w:rPr>
          <w:rStyle w:val="ac"/>
          <w:spacing w:val="-2"/>
          <w:rtl/>
        </w:rPr>
        <w:footnoteReference w:id="20"/>
      </w:r>
    </w:p>
    <w:p w:rsidR="003C150D" w:rsidRDefault="003C150D" w:rsidP="00F93CB1">
      <w:pPr>
        <w:pStyle w:val="afff4"/>
        <w:numPr>
          <w:ilvl w:val="0"/>
          <w:numId w:val="25"/>
        </w:numPr>
        <w:rPr>
          <w:spacing w:val="-2"/>
        </w:rPr>
      </w:pPr>
      <w:r>
        <w:rPr>
          <w:rFonts w:hint="cs"/>
          <w:b/>
          <w:bCs/>
          <w:spacing w:val="-2"/>
          <w:u w:val="single"/>
          <w:rtl/>
        </w:rPr>
        <w:t>אזכור מטרות-על</w:t>
      </w:r>
      <w:r>
        <w:rPr>
          <w:rFonts w:hint="cs"/>
          <w:spacing w:val="-2"/>
          <w:rtl/>
        </w:rPr>
        <w:t xml:space="preserve">: לעיתים יש במבוא לחוקה </w:t>
      </w:r>
      <w:r>
        <w:rPr>
          <w:rFonts w:hint="cs"/>
          <w:b/>
          <w:bCs/>
          <w:spacing w:val="-2"/>
          <w:rtl/>
        </w:rPr>
        <w:t>תיאור של התכליות המרכזיות שלשמן היא נקבעה</w:t>
      </w:r>
      <w:r>
        <w:rPr>
          <w:rFonts w:hint="cs"/>
          <w:spacing w:val="-2"/>
          <w:rtl/>
        </w:rPr>
        <w:t xml:space="preserve">. מטרות אלה יכולות להיות </w:t>
      </w:r>
      <w:r>
        <w:rPr>
          <w:rFonts w:hint="cs"/>
          <w:b/>
          <w:bCs/>
          <w:spacing w:val="-2"/>
          <w:rtl/>
        </w:rPr>
        <w:t>מטרות אוניברסליות</w:t>
      </w:r>
      <w:r>
        <w:rPr>
          <w:rFonts w:hint="cs"/>
          <w:spacing w:val="-2"/>
          <w:rtl/>
        </w:rPr>
        <w:t xml:space="preserve"> (כגון: קידום הצדק, האחווה, זכויות אדם וכדומה), </w:t>
      </w:r>
      <w:r>
        <w:rPr>
          <w:rFonts w:hint="cs"/>
          <w:b/>
          <w:bCs/>
          <w:spacing w:val="-2"/>
          <w:rtl/>
        </w:rPr>
        <w:t>מטרות ממשלתיות</w:t>
      </w:r>
      <w:r>
        <w:rPr>
          <w:rFonts w:hint="cs"/>
          <w:spacing w:val="-2"/>
          <w:rtl/>
        </w:rPr>
        <w:t>-</w:t>
      </w:r>
      <w:r>
        <w:rPr>
          <w:rFonts w:hint="cs"/>
          <w:b/>
          <w:bCs/>
          <w:spacing w:val="-2"/>
          <w:rtl/>
        </w:rPr>
        <w:t>קהילתיות</w:t>
      </w:r>
      <w:r>
        <w:rPr>
          <w:rFonts w:hint="cs"/>
          <w:spacing w:val="-2"/>
          <w:rtl/>
        </w:rPr>
        <w:t xml:space="preserve"> (דוגמת: יצירת פדרציה של מדינות וכדומה), </w:t>
      </w:r>
      <w:r>
        <w:rPr>
          <w:rFonts w:hint="cs"/>
          <w:b/>
          <w:bCs/>
          <w:spacing w:val="-2"/>
          <w:rtl/>
        </w:rPr>
        <w:t>מטרות כלכליות</w:t>
      </w:r>
      <w:r>
        <w:rPr>
          <w:rFonts w:hint="cs"/>
          <w:spacing w:val="-2"/>
          <w:rtl/>
        </w:rPr>
        <w:t>-</w:t>
      </w:r>
      <w:r w:rsidR="00F93CB1">
        <w:rPr>
          <w:rFonts w:hint="cs"/>
          <w:b/>
          <w:bCs/>
          <w:spacing w:val="-2"/>
          <w:rtl/>
        </w:rPr>
        <w:t>חברתיות</w:t>
      </w:r>
      <w:r>
        <w:rPr>
          <w:rFonts w:hint="cs"/>
          <w:spacing w:val="-2"/>
          <w:rtl/>
        </w:rPr>
        <w:t xml:space="preserve"> (דוגמת יצירת מדינה סוציאליסטית) ועוד.</w:t>
      </w:r>
      <w:r>
        <w:rPr>
          <w:rStyle w:val="ac"/>
          <w:spacing w:val="-2"/>
          <w:rtl/>
        </w:rPr>
        <w:footnoteReference w:id="21"/>
      </w:r>
      <w:r>
        <w:rPr>
          <w:rFonts w:hint="cs"/>
          <w:spacing w:val="-2"/>
          <w:rtl/>
        </w:rPr>
        <w:t xml:space="preserve"> </w:t>
      </w:r>
    </w:p>
    <w:p w:rsidR="003C150D" w:rsidRDefault="003C150D" w:rsidP="003C150D">
      <w:pPr>
        <w:pStyle w:val="afff4"/>
        <w:numPr>
          <w:ilvl w:val="0"/>
          <w:numId w:val="25"/>
        </w:numPr>
        <w:rPr>
          <w:spacing w:val="-2"/>
        </w:rPr>
      </w:pPr>
      <w:r>
        <w:rPr>
          <w:rFonts w:hint="cs"/>
          <w:b/>
          <w:bCs/>
          <w:spacing w:val="-2"/>
          <w:u w:val="single"/>
          <w:rtl/>
        </w:rPr>
        <w:t>קביעת עקרונות יסוד, ערכים ושאיפות</w:t>
      </w:r>
      <w:r>
        <w:rPr>
          <w:rFonts w:hint="cs"/>
          <w:spacing w:val="-2"/>
          <w:rtl/>
        </w:rPr>
        <w:t xml:space="preserve">: נושא מרכזי זה מהווה מעין </w:t>
      </w:r>
      <w:r>
        <w:rPr>
          <w:rFonts w:hint="cs"/>
          <w:b/>
          <w:bCs/>
          <w:spacing w:val="-2"/>
          <w:rtl/>
        </w:rPr>
        <w:t xml:space="preserve">הצהרת כוונות של המדינה בדבר עקרונותיה וערכיה </w:t>
      </w:r>
      <w:r>
        <w:rPr>
          <w:rFonts w:hint="cs"/>
          <w:spacing w:val="-2"/>
          <w:rtl/>
        </w:rPr>
        <w:t>ולעיתים קרובות הוא משתלב עם מטרות-העל. בין אם הדבר מתבטא בהצהרות שנוגעות לתרבות, או למורשת של המדינה, או למאפיינים אחרים דוגמת הרכבה הדמוגרפי, ובין אם הוא מתבטא בערכים אוניברסליים כערכי היסוד של המדינה (כגון: מחויבות לזכויות אדם, חירות, כבוד, שוויון, צדק וכדומה). לעיתים, נושא זה מתבטא גם במחויבות המדינה לעקרונות ולמקורות בינלאומיים (אמנות בינלאומיות, אמנת האום וכדומה) ולעיתים הוא גם מתבטא בהצגת עקרונות היסוד של המשטר (צורת ההקמה של המדינה וכדומה).</w:t>
      </w:r>
      <w:r>
        <w:rPr>
          <w:rStyle w:val="ac"/>
          <w:spacing w:val="-2"/>
          <w:rtl/>
        </w:rPr>
        <w:footnoteReference w:id="22"/>
      </w:r>
    </w:p>
    <w:p w:rsidR="003C150D" w:rsidRDefault="003C150D" w:rsidP="003C150D">
      <w:pPr>
        <w:pStyle w:val="afff4"/>
        <w:numPr>
          <w:ilvl w:val="0"/>
          <w:numId w:val="25"/>
        </w:numPr>
        <w:rPr>
          <w:spacing w:val="-2"/>
        </w:rPr>
      </w:pPr>
      <w:r>
        <w:rPr>
          <w:rFonts w:hint="cs"/>
          <w:b/>
          <w:bCs/>
          <w:spacing w:val="-2"/>
          <w:u w:val="single"/>
          <w:rtl/>
        </w:rPr>
        <w:t>אזכורים דתיים</w:t>
      </w:r>
      <w:r>
        <w:rPr>
          <w:rFonts w:hint="cs"/>
          <w:spacing w:val="-2"/>
          <w:rtl/>
        </w:rPr>
        <w:t xml:space="preserve">: נושא נוסף שמקבל לעיתים ביטוי במבוא הוא אזכורים של </w:t>
      </w:r>
      <w:r>
        <w:rPr>
          <w:rFonts w:hint="cs"/>
          <w:b/>
          <w:bCs/>
          <w:spacing w:val="-2"/>
          <w:rtl/>
        </w:rPr>
        <w:t>האל או הדת</w:t>
      </w:r>
      <w:r>
        <w:rPr>
          <w:rFonts w:hint="cs"/>
          <w:spacing w:val="-2"/>
          <w:rtl/>
        </w:rPr>
        <w:t xml:space="preserve">. במקרים מסוימים מדובר </w:t>
      </w:r>
      <w:r>
        <w:rPr>
          <w:rFonts w:hint="cs"/>
          <w:b/>
          <w:bCs/>
          <w:spacing w:val="-2"/>
          <w:rtl/>
        </w:rPr>
        <w:t>בהצגת יסודות תיאולוגים כלליים</w:t>
      </w:r>
      <w:r>
        <w:rPr>
          <w:rFonts w:hint="cs"/>
          <w:spacing w:val="-2"/>
          <w:rtl/>
        </w:rPr>
        <w:t xml:space="preserve"> (הקמה של המדינה "בחסדי האל", או הצגת ברכה דתית אחרת להקמת המדינה וכדומה).</w:t>
      </w:r>
      <w:r>
        <w:rPr>
          <w:rStyle w:val="ac"/>
          <w:spacing w:val="-2"/>
          <w:rtl/>
        </w:rPr>
        <w:footnoteReference w:id="23"/>
      </w:r>
      <w:r>
        <w:rPr>
          <w:rFonts w:hint="cs"/>
          <w:spacing w:val="-2"/>
          <w:rtl/>
        </w:rPr>
        <w:t xml:space="preserve"> יתרה מכך, </w:t>
      </w:r>
      <w:r>
        <w:rPr>
          <w:rFonts w:hint="cs"/>
          <w:b/>
          <w:bCs/>
          <w:spacing w:val="-2"/>
          <w:rtl/>
        </w:rPr>
        <w:t>יש חוקות שבהן האל הוא בגדר מקור הסמכות המכונן</w:t>
      </w:r>
      <w:r>
        <w:rPr>
          <w:rFonts w:hint="cs"/>
          <w:spacing w:val="-2"/>
          <w:rtl/>
        </w:rPr>
        <w:t>.</w:t>
      </w:r>
      <w:r>
        <w:rPr>
          <w:rStyle w:val="ac"/>
          <w:spacing w:val="-2"/>
          <w:rtl/>
        </w:rPr>
        <w:footnoteReference w:id="24"/>
      </w:r>
      <w:r>
        <w:rPr>
          <w:rFonts w:hint="cs"/>
          <w:spacing w:val="-2"/>
          <w:rtl/>
        </w:rPr>
        <w:t xml:space="preserve"> לעומת זאת, יש מדינות שבהן </w:t>
      </w:r>
      <w:r>
        <w:rPr>
          <w:rFonts w:hint="cs"/>
          <w:b/>
          <w:bCs/>
          <w:spacing w:val="-2"/>
          <w:rtl/>
        </w:rPr>
        <w:t>המבוא דווקא מעגן הפרדת דת ומדינה</w:t>
      </w:r>
      <w:r>
        <w:rPr>
          <w:rFonts w:hint="cs"/>
          <w:spacing w:val="-2"/>
          <w:rtl/>
        </w:rPr>
        <w:t xml:space="preserve"> (להבדיל מעיגון עקרון זה בגוף החוקה, כמו בארה"ב), או לחילופין </w:t>
      </w:r>
      <w:r>
        <w:rPr>
          <w:rFonts w:hint="cs"/>
          <w:b/>
          <w:bCs/>
          <w:spacing w:val="-2"/>
          <w:rtl/>
        </w:rPr>
        <w:t>מצהיר על היות המדינה חילונית</w:t>
      </w:r>
      <w:r>
        <w:rPr>
          <w:rStyle w:val="ac"/>
          <w:spacing w:val="-2"/>
          <w:rtl/>
        </w:rPr>
        <w:footnoteReference w:id="25"/>
      </w:r>
      <w:r>
        <w:rPr>
          <w:rFonts w:hint="cs"/>
          <w:spacing w:val="-2"/>
          <w:rtl/>
        </w:rPr>
        <w:t>.</w:t>
      </w:r>
      <w:r>
        <w:rPr>
          <w:rStyle w:val="ac"/>
          <w:spacing w:val="-2"/>
          <w:rtl/>
        </w:rPr>
        <w:footnoteReference w:id="26"/>
      </w:r>
    </w:p>
    <w:p w:rsidR="003C150D" w:rsidRDefault="003C150D" w:rsidP="003C150D">
      <w:pPr>
        <w:pStyle w:val="afff4"/>
        <w:numPr>
          <w:ilvl w:val="0"/>
          <w:numId w:val="25"/>
        </w:numPr>
        <w:rPr>
          <w:spacing w:val="-2"/>
        </w:rPr>
      </w:pPr>
      <w:r>
        <w:rPr>
          <w:rFonts w:hint="cs"/>
          <w:b/>
          <w:bCs/>
          <w:spacing w:val="-2"/>
          <w:u w:val="single"/>
          <w:rtl/>
        </w:rPr>
        <w:t>שפת המבוא</w:t>
      </w:r>
      <w:r>
        <w:rPr>
          <w:rFonts w:hint="cs"/>
          <w:spacing w:val="-2"/>
          <w:rtl/>
        </w:rPr>
        <w:t xml:space="preserve">: מאפיין מעט טכני יותר של המבוא הוא זה שמתמקד </w:t>
      </w:r>
      <w:r>
        <w:rPr>
          <w:rFonts w:hint="cs"/>
          <w:b/>
          <w:bCs/>
          <w:spacing w:val="-2"/>
          <w:rtl/>
        </w:rPr>
        <w:t>בשפת המבוא ובסגנונו</w:t>
      </w:r>
      <w:r>
        <w:rPr>
          <w:rFonts w:hint="cs"/>
          <w:spacing w:val="-2"/>
          <w:rtl/>
        </w:rPr>
        <w:t xml:space="preserve">. כך, בחלק מהחוקות הנוסח במבוא </w:t>
      </w:r>
      <w:r>
        <w:rPr>
          <w:rFonts w:hint="cs"/>
          <w:b/>
          <w:bCs/>
          <w:spacing w:val="-2"/>
          <w:rtl/>
        </w:rPr>
        <w:t>חגיגי וחיובי</w:t>
      </w:r>
      <w:r>
        <w:rPr>
          <w:rFonts w:hint="cs"/>
          <w:spacing w:val="-2"/>
          <w:rtl/>
        </w:rPr>
        <w:t xml:space="preserve">, כולל ביטויים שנועדו לעורר השראה בקרב הקוראים והוא אינו מנוסח בצורה פורמלית כמו יתר חלקי החוקה. לעומת זאת, באחרות נעשה לעיתים שימוש </w:t>
      </w:r>
      <w:r>
        <w:rPr>
          <w:rFonts w:hint="cs"/>
          <w:b/>
          <w:bCs/>
          <w:spacing w:val="-2"/>
          <w:rtl/>
        </w:rPr>
        <w:t>בשפה פורמלית גם בחלקי המבוא, הסגנון שלו עשוי להיות קודר יחסית</w:t>
      </w:r>
      <w:r>
        <w:rPr>
          <w:rFonts w:hint="cs"/>
          <w:spacing w:val="-2"/>
          <w:rtl/>
        </w:rPr>
        <w:t xml:space="preserve"> ואף לכלול מונחים וביטויים שנחשבים שליליים, כמו: מאבק, סכנות, הקרבה וכדומה.</w:t>
      </w:r>
      <w:r>
        <w:rPr>
          <w:rStyle w:val="ac"/>
          <w:spacing w:val="-2"/>
          <w:rtl/>
        </w:rPr>
        <w:footnoteReference w:id="27"/>
      </w:r>
    </w:p>
    <w:p w:rsidR="003C150D" w:rsidRDefault="003C150D" w:rsidP="003C150D">
      <w:pPr>
        <w:pStyle w:val="afff4"/>
        <w:numPr>
          <w:ilvl w:val="0"/>
          <w:numId w:val="25"/>
        </w:numPr>
        <w:rPr>
          <w:spacing w:val="-2"/>
        </w:rPr>
      </w:pPr>
      <w:r>
        <w:rPr>
          <w:rFonts w:hint="cs"/>
          <w:b/>
          <w:bCs/>
          <w:spacing w:val="-2"/>
          <w:u w:val="single"/>
          <w:rtl/>
        </w:rPr>
        <w:t>אורך המבוא לחוקה</w:t>
      </w:r>
      <w:r>
        <w:rPr>
          <w:rFonts w:hint="cs"/>
          <w:spacing w:val="-2"/>
          <w:rtl/>
        </w:rPr>
        <w:t xml:space="preserve">: מאפיין טכני נוסף נוגע לאורך המבוא. יש חוקות שבהן המבוא </w:t>
      </w:r>
      <w:r>
        <w:rPr>
          <w:rFonts w:hint="cs"/>
          <w:b/>
          <w:bCs/>
          <w:spacing w:val="-2"/>
          <w:rtl/>
        </w:rPr>
        <w:t>ארוך ומפורט</w:t>
      </w:r>
      <w:r>
        <w:rPr>
          <w:rFonts w:hint="cs"/>
          <w:spacing w:val="-2"/>
          <w:rtl/>
        </w:rPr>
        <w:t xml:space="preserve"> (לדוגמה קרואטיה, הונגריה) ולעומתן יש חוקות שבהן המבוא </w:t>
      </w:r>
      <w:r>
        <w:rPr>
          <w:rFonts w:hint="cs"/>
          <w:b/>
          <w:bCs/>
          <w:spacing w:val="-2"/>
          <w:rtl/>
        </w:rPr>
        <w:t xml:space="preserve">קצר מאוד </w:t>
      </w:r>
      <w:r>
        <w:rPr>
          <w:rFonts w:hint="cs"/>
          <w:spacing w:val="-2"/>
          <w:rtl/>
        </w:rPr>
        <w:t>(לדוגמה יוון)</w:t>
      </w:r>
      <w:r>
        <w:rPr>
          <w:rFonts w:hint="cs"/>
          <w:b/>
          <w:bCs/>
          <w:spacing w:val="-2"/>
          <w:rtl/>
        </w:rPr>
        <w:t xml:space="preserve"> ולעיתים אף אין מבוא בכלל בחוקות</w:t>
      </w:r>
      <w:r>
        <w:rPr>
          <w:rFonts w:hint="cs"/>
          <w:spacing w:val="-2"/>
          <w:rtl/>
        </w:rPr>
        <w:t>. מחקרים בתחום זה העלו כי במדינות חדשות, ובפרט במשטרים שהוקמו לאחר מהפכה, או במשטרים טוטליטריים שמבקשים "לשווק" את עצמם, אורך המבוא נוטה להיות ארוך יותר לעומת המבוא במדינות אחרות. כמו כן, ככל שבמבוא יש פירוט של אירועים היסטוריים מכוננים יש גם נטייה להארכה במבוא. ברי, כי כל אלה באים בד בבד עם השימוש במבוא לחוקה כסמל, להבדיל מהשימוש בה כטקסט משפטי-פרשני גרידא.</w:t>
      </w:r>
      <w:r>
        <w:rPr>
          <w:rStyle w:val="ac"/>
          <w:spacing w:val="-2"/>
          <w:rtl/>
        </w:rPr>
        <w:footnoteReference w:id="28"/>
      </w:r>
    </w:p>
    <w:p w:rsidR="003C150D" w:rsidRDefault="003C150D" w:rsidP="003C150D">
      <w:pPr>
        <w:pStyle w:val="afff4"/>
        <w:numPr>
          <w:ilvl w:val="0"/>
          <w:numId w:val="25"/>
        </w:numPr>
        <w:rPr>
          <w:spacing w:val="-2"/>
        </w:rPr>
      </w:pPr>
      <w:r>
        <w:rPr>
          <w:rFonts w:hint="cs"/>
          <w:b/>
          <w:bCs/>
          <w:spacing w:val="-2"/>
          <w:u w:val="single"/>
          <w:rtl/>
        </w:rPr>
        <w:t>איזון בין היבטים בינלאומיים ומקומיים</w:t>
      </w:r>
      <w:r>
        <w:rPr>
          <w:rFonts w:hint="cs"/>
          <w:spacing w:val="-2"/>
          <w:rtl/>
        </w:rPr>
        <w:t xml:space="preserve">: נושא נוסף שנדון בספרות המחקרית בעניין מבואות לחוקות נוגע </w:t>
      </w:r>
      <w:r>
        <w:rPr>
          <w:rFonts w:hint="cs"/>
          <w:b/>
          <w:bCs/>
          <w:spacing w:val="-2"/>
          <w:rtl/>
        </w:rPr>
        <w:t>לאיזון שבין היסודות הבינלאומיים</w:t>
      </w:r>
      <w:r>
        <w:rPr>
          <w:rFonts w:hint="cs"/>
          <w:spacing w:val="-2"/>
          <w:rtl/>
        </w:rPr>
        <w:t xml:space="preserve"> (כגון: הפניות לאמנות בינלאומיות, הפניות למוסדות בינלאומיים ולהחלטותיהם, או לאירועים בינלאומיים בעלי חשיבות וכדומה) </w:t>
      </w:r>
      <w:r>
        <w:rPr>
          <w:rFonts w:hint="cs"/>
          <w:b/>
          <w:bCs/>
          <w:spacing w:val="-2"/>
          <w:rtl/>
        </w:rPr>
        <w:t>בהשוואה למבואות המתמקדים בנושאים מקומיים יותר באופיים</w:t>
      </w:r>
      <w:r>
        <w:rPr>
          <w:rFonts w:hint="cs"/>
          <w:spacing w:val="-2"/>
          <w:rtl/>
        </w:rPr>
        <w:t xml:space="preserve"> (דוגמת הנרטיב ההיסטורי המקומי של הקמת המדינה, מקורות הסמכות המקומיים שנוגעים לכינון החוקה ועוד).</w:t>
      </w:r>
      <w:r>
        <w:rPr>
          <w:rStyle w:val="ac"/>
          <w:spacing w:val="-2"/>
          <w:rtl/>
        </w:rPr>
        <w:footnoteReference w:id="29"/>
      </w:r>
    </w:p>
    <w:p w:rsidR="003C150D" w:rsidRDefault="003C150D" w:rsidP="003C150D">
      <w:pPr>
        <w:rPr>
          <w:spacing w:val="-2"/>
          <w:rtl/>
          <w:lang w:val="en-GB"/>
        </w:rPr>
      </w:pPr>
      <w:r>
        <w:rPr>
          <w:rFonts w:hint="cs"/>
          <w:spacing w:val="-2"/>
          <w:rtl/>
        </w:rPr>
        <w:t xml:space="preserve">בנוסף לכך, כפי שיוצג בחלק הסקירה המשווה, למבוא יכולים להיות </w:t>
      </w:r>
      <w:r>
        <w:rPr>
          <w:rFonts w:hint="cs"/>
          <w:b/>
          <w:bCs/>
          <w:spacing w:val="-2"/>
          <w:rtl/>
        </w:rPr>
        <w:t>תפקידים ושימושים משפטיים</w:t>
      </w:r>
      <w:r>
        <w:rPr>
          <w:rFonts w:hint="cs"/>
          <w:spacing w:val="-2"/>
          <w:rtl/>
        </w:rPr>
        <w:t xml:space="preserve"> (בין אם באופן עצמאי-חוקתי ובין אם ככלי פרשני, ראו להלן), אך פעמים רבות הוא </w:t>
      </w:r>
      <w:r>
        <w:rPr>
          <w:rFonts w:hint="cs"/>
          <w:b/>
          <w:bCs/>
          <w:spacing w:val="-2"/>
          <w:rtl/>
        </w:rPr>
        <w:t>משמש דווקא לצרכים פוליטיים, חינוכיים, היסטוריים ואחרים</w:t>
      </w:r>
      <w:r>
        <w:rPr>
          <w:rFonts w:hint="cs"/>
          <w:spacing w:val="-2"/>
          <w:rtl/>
        </w:rPr>
        <w:t xml:space="preserve">. כך, </w:t>
      </w:r>
      <w:r>
        <w:rPr>
          <w:rFonts w:hint="cs"/>
          <w:spacing w:val="-2"/>
          <w:rtl/>
          <w:lang w:val="en-GB"/>
        </w:rPr>
        <w:t>לעיתים קרובות, המבוא משמש דווקא למוקד מחקרי בקרב מלומדים מתחומי מדעי המדינה והחברה, והוא אף מוכר וידוע בתודעה הציבורית הכללית בשל השימושים הלא משפטיים שלו.</w:t>
      </w:r>
      <w:r>
        <w:rPr>
          <w:rStyle w:val="ac"/>
          <w:spacing w:val="-2"/>
          <w:rtl/>
          <w:lang w:val="en-GB"/>
        </w:rPr>
        <w:footnoteReference w:id="30"/>
      </w:r>
      <w:r>
        <w:rPr>
          <w:rFonts w:hint="cs"/>
          <w:spacing w:val="-2"/>
          <w:rtl/>
          <w:lang w:val="en-GB"/>
        </w:rPr>
        <w:t xml:space="preserve"> </w:t>
      </w:r>
    </w:p>
    <w:p w:rsidR="003C150D" w:rsidRDefault="003C150D" w:rsidP="003C150D">
      <w:pPr>
        <w:rPr>
          <w:spacing w:val="-2"/>
          <w:rtl/>
          <w:lang w:val="en-GB"/>
        </w:rPr>
      </w:pPr>
      <w:r>
        <w:rPr>
          <w:rFonts w:hint="cs"/>
          <w:spacing w:val="-2"/>
          <w:rtl/>
          <w:lang w:val="en-GB"/>
        </w:rPr>
        <w:t>באשר לשימושים ולתפקידים המשפטיים השונים של המבוא, יש שלושה מודלים מרכזיים הנוגעים למעמד המשפטי שלו (יוער, כי כמו במקרה של מודלים לחוקות שהוצגו לעיל, גם כאן לא תמיד המבוא לחוקה עונה בהכרח על מודל אחד בלבד, ולעיתים בשיטה ספציפית יכול להיות שבמבוא יבוא לידי ביטוי יותר ממודל אחד):</w:t>
      </w:r>
      <w:r>
        <w:rPr>
          <w:rStyle w:val="ac"/>
          <w:spacing w:val="-2"/>
          <w:rtl/>
          <w:lang w:val="en-GB"/>
        </w:rPr>
        <w:footnoteReference w:id="31"/>
      </w:r>
    </w:p>
    <w:p w:rsidR="003C150D" w:rsidRDefault="003C150D" w:rsidP="003C150D">
      <w:pPr>
        <w:pStyle w:val="afff4"/>
        <w:numPr>
          <w:ilvl w:val="0"/>
          <w:numId w:val="26"/>
        </w:numPr>
        <w:rPr>
          <w:spacing w:val="-2"/>
          <w:rtl/>
          <w:lang w:val="en-GB"/>
        </w:rPr>
      </w:pPr>
      <w:r>
        <w:rPr>
          <w:rFonts w:hint="cs"/>
          <w:b/>
          <w:bCs/>
          <w:spacing w:val="-2"/>
          <w:u w:val="single"/>
          <w:rtl/>
          <w:lang w:val="en-GB"/>
        </w:rPr>
        <w:t>המודל הטקסי</w:t>
      </w:r>
      <w:r>
        <w:rPr>
          <w:rFonts w:hint="cs"/>
          <w:spacing w:val="-2"/>
          <w:rtl/>
          <w:lang w:val="en-GB"/>
        </w:rPr>
        <w:t xml:space="preserve">: מודל זה שם </w:t>
      </w:r>
      <w:r>
        <w:rPr>
          <w:rFonts w:hint="cs"/>
          <w:b/>
          <w:bCs/>
          <w:spacing w:val="-2"/>
          <w:rtl/>
          <w:lang w:val="en-GB"/>
        </w:rPr>
        <w:t>דגש על המשמעויות הטקסיות, הסימבוליות ומעוררות ההשראה של המבוא לחוקה (מעין "רוח החוקה"), וזאת מבלי שניתן לו תוקף משפטי מחייב</w:t>
      </w:r>
      <w:r>
        <w:rPr>
          <w:rFonts w:hint="cs"/>
          <w:spacing w:val="-2"/>
          <w:rtl/>
          <w:lang w:val="en-GB"/>
        </w:rPr>
        <w:t xml:space="preserve">. הלכה למעשה, במודל זה המבוא הוא מעין הצהרת כוונות ערכית, אך </w:t>
      </w:r>
      <w:r>
        <w:rPr>
          <w:rFonts w:hint="cs"/>
          <w:b/>
          <w:bCs/>
          <w:spacing w:val="-2"/>
          <w:rtl/>
          <w:lang w:val="en-GB"/>
        </w:rPr>
        <w:t>לא מקור לזכויות יסוד או כלי פרשני</w:t>
      </w:r>
      <w:r>
        <w:rPr>
          <w:rFonts w:hint="cs"/>
          <w:spacing w:val="-2"/>
          <w:rtl/>
          <w:lang w:val="en-GB"/>
        </w:rPr>
        <w:t xml:space="preserve">. </w:t>
      </w:r>
    </w:p>
    <w:p w:rsidR="003C150D" w:rsidRDefault="003C150D" w:rsidP="003C150D">
      <w:pPr>
        <w:pStyle w:val="afff4"/>
        <w:rPr>
          <w:spacing w:val="-2"/>
          <w:lang w:val="en-GB"/>
        </w:rPr>
      </w:pPr>
      <w:r>
        <w:rPr>
          <w:rFonts w:hint="cs"/>
          <w:spacing w:val="-2"/>
          <w:rtl/>
          <w:lang w:val="en-GB"/>
        </w:rPr>
        <w:t>הדוגמה המובהקת ביותר למודל הטקסי מצויה בארה"ב. אומנם, בארה"ב המבוא לחוקה מהווה מסמך מרכזי בדיונים ציבוריים ובמערכת החינוך, אך אין לו כל תוקף משפטי מחייב והוא נחשב לאחד החלקים של החוקה האמריקנית שכמעט ולא מצוטטים או מאוזכרים בפסיקה.</w:t>
      </w:r>
      <w:r>
        <w:rPr>
          <w:rStyle w:val="ac"/>
          <w:spacing w:val="-2"/>
          <w:rtl/>
          <w:lang w:val="en-GB"/>
        </w:rPr>
        <w:footnoteReference w:id="32"/>
      </w:r>
      <w:r>
        <w:rPr>
          <w:rFonts w:hint="cs"/>
          <w:spacing w:val="-2"/>
          <w:lang w:val="en-GB"/>
        </w:rPr>
        <w:t xml:space="preserve"> </w:t>
      </w:r>
      <w:r>
        <w:rPr>
          <w:rFonts w:hint="cs"/>
          <w:rtl/>
          <w:lang w:val="en-GB"/>
        </w:rPr>
        <w:t>מעבר לכך, בפסיקה האמריקנית אף נקבע מפורשות כי המבוא לחוקה (בניגוד לגוף החוקה עצמו) מעולם לא הוכר כחלק בעל נפקות משפטית מחייבת.</w:t>
      </w:r>
      <w:r>
        <w:rPr>
          <w:rStyle w:val="ac"/>
          <w:rtl/>
          <w:lang w:val="en-GB"/>
        </w:rPr>
        <w:footnoteReference w:id="33"/>
      </w:r>
    </w:p>
    <w:p w:rsidR="003C150D" w:rsidRDefault="003C150D" w:rsidP="003C150D">
      <w:pPr>
        <w:pStyle w:val="afff4"/>
        <w:rPr>
          <w:spacing w:val="-2"/>
          <w:rtl/>
          <w:lang w:val="en-GB"/>
        </w:rPr>
      </w:pPr>
      <w:r>
        <w:rPr>
          <w:rFonts w:hint="cs"/>
          <w:spacing w:val="-2"/>
          <w:rtl/>
          <w:lang w:val="en-GB"/>
        </w:rPr>
        <w:t xml:space="preserve">דוגמה נוספת, אך פחות מובהקת מזו שבארה"ב לשימוש במודל הטקסי, ניתן למצוא בצ'רטר הקנדי ("כתב הזכויות והחירויות הקנדי", </w:t>
      </w:r>
      <w:r>
        <w:rPr>
          <w:spacing w:val="-2"/>
          <w:sz w:val="22"/>
          <w:szCs w:val="22"/>
          <w:lang w:val="en-GB"/>
        </w:rPr>
        <w:t>Canadian Charter of Rights and Freedoms</w:t>
      </w:r>
      <w:r>
        <w:rPr>
          <w:rFonts w:hint="cs"/>
          <w:spacing w:val="-2"/>
          <w:rtl/>
          <w:lang w:val="en-GB"/>
        </w:rPr>
        <w:t xml:space="preserve">). המבוא לצ'רטר הקנדי קצר יחסית וקובע כדלקמן: "מאחר שקנדה מושתתת על עקרונות המכירים </w:t>
      </w:r>
      <w:r>
        <w:rPr>
          <w:rFonts w:hint="cs"/>
          <w:b/>
          <w:bCs/>
          <w:spacing w:val="-2"/>
          <w:rtl/>
          <w:lang w:val="en-GB"/>
        </w:rPr>
        <w:t>בעליונות האל</w:t>
      </w:r>
      <w:r>
        <w:rPr>
          <w:rFonts w:hint="cs"/>
          <w:spacing w:val="-2"/>
          <w:rtl/>
          <w:lang w:val="en-GB"/>
        </w:rPr>
        <w:t xml:space="preserve"> ושלטון החוק" (הדגשה לא במקור).</w:t>
      </w:r>
      <w:r>
        <w:rPr>
          <w:rStyle w:val="ac"/>
          <w:spacing w:val="-2"/>
          <w:rtl/>
          <w:lang w:val="en-GB"/>
        </w:rPr>
        <w:footnoteReference w:id="34"/>
      </w:r>
      <w:r>
        <w:rPr>
          <w:rFonts w:hint="cs"/>
          <w:spacing w:val="-2"/>
          <w:rtl/>
          <w:lang w:val="en-GB"/>
        </w:rPr>
        <w:t xml:space="preserve"> בספרות המקצועית נטען כי הימצאות המילים "עליונות האל" במבוא סותרת את המונח "שלטון החוק" שמופיע אף הוא במבוא וכן סותרת חלקים אחרים בצ'רטר (ובפרט את הגדרת קנדה כחברה חופשית ודמוקרטית). כתוצאה מכך, הפרשנות בספרות המקצועית הייתה כי היחס למבוא צריך להיות כאל טקסט סמלי או טקסי בלבד (ולא כמקור פרשני).</w:t>
      </w:r>
      <w:r>
        <w:rPr>
          <w:rStyle w:val="ac"/>
          <w:spacing w:val="-2"/>
          <w:rtl/>
          <w:lang w:val="en-GB"/>
        </w:rPr>
        <w:footnoteReference w:id="35"/>
      </w:r>
      <w:r>
        <w:rPr>
          <w:rFonts w:hint="cs"/>
          <w:spacing w:val="-2"/>
          <w:rtl/>
          <w:lang w:val="en-GB"/>
        </w:rPr>
        <w:t xml:space="preserve"> עדויות לגישה זו ניתן למצוא בחלקים מהפסיקה הקנדית. כך, בבית המשפט העליון של אונטריו נקבע כי ככלל רק </w:t>
      </w:r>
      <w:r>
        <w:rPr>
          <w:rFonts w:hint="cs"/>
          <w:b/>
          <w:bCs/>
          <w:spacing w:val="-2"/>
          <w:rtl/>
          <w:lang w:val="en-GB"/>
        </w:rPr>
        <w:t>לעיתים נדירות בית המשפט יפנה להוראות המבוא של חוק</w:t>
      </w:r>
      <w:r>
        <w:rPr>
          <w:rFonts w:hint="cs"/>
          <w:spacing w:val="-2"/>
          <w:rtl/>
          <w:lang w:val="en-GB"/>
        </w:rPr>
        <w:t xml:space="preserve"> וכי פנייה כאמור תעשה </w:t>
      </w:r>
      <w:r>
        <w:rPr>
          <w:rFonts w:hint="cs"/>
          <w:b/>
          <w:bCs/>
          <w:spacing w:val="-2"/>
          <w:rtl/>
          <w:lang w:val="en-GB"/>
        </w:rPr>
        <w:t>אך ורק בכדי להבהיר הוראות אופרטיביות עמומות בחוק</w:t>
      </w:r>
      <w:r>
        <w:rPr>
          <w:rFonts w:hint="cs"/>
          <w:spacing w:val="-2"/>
          <w:rtl/>
          <w:lang w:val="en-GB"/>
        </w:rPr>
        <w:t>. לפי בית המשפט העליון של אונטריו עקרון פרשני בסיסי זה חל גם ביחס למבוא בדברי חקיקה חוקתיים (דוגמת המבוא לצ'רטר).</w:t>
      </w:r>
      <w:r>
        <w:rPr>
          <w:rStyle w:val="ac"/>
          <w:spacing w:val="-2"/>
          <w:rtl/>
          <w:lang w:val="en-GB"/>
        </w:rPr>
        <w:footnoteReference w:id="36"/>
      </w:r>
      <w:r>
        <w:rPr>
          <w:rFonts w:hint="cs"/>
          <w:spacing w:val="-2"/>
          <w:rtl/>
          <w:lang w:val="en-GB"/>
        </w:rPr>
        <w:t xml:space="preserve"> בפסק דין אחר שניתן בבריטיש קולומביה נקבע כי על אף שהמונח "עליונות האל" מופיע במבוא לצ'רטר הרי שהוא </w:t>
      </w:r>
      <w:r>
        <w:rPr>
          <w:rFonts w:hint="cs"/>
          <w:b/>
          <w:bCs/>
          <w:spacing w:val="-2"/>
          <w:rtl/>
          <w:lang w:val="en-GB"/>
        </w:rPr>
        <w:t>בגדר "אות מתה" ואסור לבית המשפט "לנפוח חיים" במילים אלה</w:t>
      </w:r>
      <w:r>
        <w:rPr>
          <w:rFonts w:hint="cs"/>
          <w:spacing w:val="-2"/>
          <w:rtl/>
          <w:lang w:val="en-GB"/>
        </w:rPr>
        <w:t>.</w:t>
      </w:r>
      <w:r>
        <w:rPr>
          <w:rStyle w:val="ac"/>
          <w:spacing w:val="-2"/>
          <w:rtl/>
          <w:lang w:val="en-GB"/>
        </w:rPr>
        <w:footnoteReference w:id="37"/>
      </w:r>
      <w:r>
        <w:rPr>
          <w:rFonts w:hint="cs"/>
          <w:spacing w:val="-2"/>
          <w:rtl/>
          <w:lang w:val="en-GB"/>
        </w:rPr>
        <w:t xml:space="preserve"> עם זאת, במקביל לדוגמאות האמורות ניתן למצוא בפסיקה הקנדית גם דוגמאות להתייחסות חיובית לפחות לחלקיו האחרים של המבוא (גם אם התייחסות זו לא מעמידה את המבוא במפורש כמקור פרשני מחייב).</w:t>
      </w:r>
      <w:r>
        <w:rPr>
          <w:rStyle w:val="ac"/>
          <w:spacing w:val="-2"/>
          <w:rtl/>
          <w:lang w:val="en-GB"/>
        </w:rPr>
        <w:footnoteReference w:id="38"/>
      </w:r>
      <w:r>
        <w:rPr>
          <w:rFonts w:hint="cs"/>
          <w:spacing w:val="-2"/>
          <w:rtl/>
          <w:lang w:val="en-GB"/>
        </w:rPr>
        <w:t xml:space="preserve"> כך לדוגמה, בפסק-דין של בית המשפט העליון הקנדי צוין כי הימצאות המונח "שלטון החוק" במבוא היא בגדר </w:t>
      </w:r>
      <w:r>
        <w:rPr>
          <w:rFonts w:hint="cs"/>
          <w:b/>
          <w:bCs/>
          <w:spacing w:val="-2"/>
          <w:rtl/>
          <w:lang w:val="en-GB"/>
        </w:rPr>
        <w:t>חיזוק להכרה בעקרון זה כעקרון חוקתי</w:t>
      </w:r>
      <w:r>
        <w:rPr>
          <w:rFonts w:hint="cs"/>
          <w:spacing w:val="-2"/>
          <w:rtl/>
          <w:lang w:val="en-GB"/>
        </w:rPr>
        <w:t>.</w:t>
      </w:r>
      <w:r>
        <w:rPr>
          <w:rStyle w:val="ac"/>
          <w:spacing w:val="-2"/>
          <w:rtl/>
          <w:lang w:val="en-GB"/>
        </w:rPr>
        <w:footnoteReference w:id="39"/>
      </w:r>
      <w:r>
        <w:rPr>
          <w:rFonts w:hint="cs"/>
          <w:spacing w:val="-2"/>
          <w:rtl/>
          <w:lang w:val="en-GB"/>
        </w:rPr>
        <w:t xml:space="preserve"> </w:t>
      </w:r>
    </w:p>
    <w:p w:rsidR="003C150D" w:rsidRDefault="003C150D" w:rsidP="003C150D">
      <w:pPr>
        <w:pStyle w:val="afff4"/>
        <w:numPr>
          <w:ilvl w:val="0"/>
          <w:numId w:val="26"/>
        </w:numPr>
        <w:rPr>
          <w:spacing w:val="-2"/>
          <w:rtl/>
          <w:lang w:val="en-GB"/>
        </w:rPr>
      </w:pPr>
      <w:r>
        <w:rPr>
          <w:rFonts w:hint="cs"/>
          <w:b/>
          <w:bCs/>
          <w:spacing w:val="-2"/>
          <w:u w:val="single"/>
          <w:rtl/>
          <w:lang w:val="en-GB"/>
        </w:rPr>
        <w:t>המודל הפרשני</w:t>
      </w:r>
      <w:r>
        <w:rPr>
          <w:rFonts w:hint="cs"/>
          <w:spacing w:val="-2"/>
          <w:rtl/>
          <w:lang w:val="en-GB"/>
        </w:rPr>
        <w:t xml:space="preserve">: ככלל, מודל זה מקובל יותר בשיטות המשפט ששייכות למשפחת המשפט המקובל. בשיטות אלה, בדרך-כלל, המבוא לכל דבר חקיקה ייחשב </w:t>
      </w:r>
      <w:r>
        <w:rPr>
          <w:rFonts w:hint="cs"/>
          <w:b/>
          <w:bCs/>
          <w:spacing w:val="-2"/>
          <w:rtl/>
          <w:lang w:val="en-GB"/>
        </w:rPr>
        <w:t>כסוג של "מפתח" (</w:t>
      </w:r>
      <w:r>
        <w:rPr>
          <w:b/>
          <w:bCs/>
          <w:spacing w:val="-2"/>
        </w:rPr>
        <w:t>key</w:t>
      </w:r>
      <w:r>
        <w:rPr>
          <w:rFonts w:hint="cs"/>
          <w:b/>
          <w:bCs/>
          <w:spacing w:val="-2"/>
          <w:rtl/>
          <w:lang w:val="en-GB"/>
        </w:rPr>
        <w:t>) פרשני להבנת החקיקה, אך במקרה של קונפליקט בין הוראות המבוא ובין הוראות גוף החקיקה, גוף החקיקה יצא כשידו על העליונה</w:t>
      </w:r>
      <w:r>
        <w:rPr>
          <w:rFonts w:hint="cs"/>
          <w:spacing w:val="-2"/>
          <w:rtl/>
          <w:lang w:val="en-GB"/>
        </w:rPr>
        <w:t>. יוער, כי כלל פרשני זה לעיתים אף מעוגן בדברי חקיקה פרשניים חיצוניים לחוקה (כלומר, לאו דווקא בחוקה עצמה).</w:t>
      </w:r>
      <w:r>
        <w:rPr>
          <w:rStyle w:val="ac"/>
          <w:spacing w:val="-2"/>
          <w:rtl/>
          <w:lang w:val="en-GB"/>
        </w:rPr>
        <w:footnoteReference w:id="40"/>
      </w:r>
      <w:r>
        <w:rPr>
          <w:rFonts w:hint="cs"/>
          <w:spacing w:val="-2"/>
          <w:rtl/>
          <w:lang w:val="en-GB"/>
        </w:rPr>
        <w:t xml:space="preserve"> כך, בסוג הזה של מודל יש למבוא </w:t>
      </w:r>
      <w:r>
        <w:rPr>
          <w:rFonts w:hint="cs"/>
          <w:b/>
          <w:bCs/>
          <w:spacing w:val="-2"/>
          <w:rtl/>
          <w:lang w:val="en-GB"/>
        </w:rPr>
        <w:t>מעמד פרשני-מנחה</w:t>
      </w:r>
      <w:r>
        <w:rPr>
          <w:rFonts w:hint="cs"/>
          <w:spacing w:val="-2"/>
          <w:rtl/>
          <w:lang w:val="en-GB"/>
        </w:rPr>
        <w:t xml:space="preserve"> בנוסף על הערכים הטקסיים והסמליים דלעיל. הלכה למעשה, במודל זה, בתי המשפט רשאים לשאוב מתוך המבוא עקרונות יסוד לצורך הפרשנות החוקתית וכאשר הם </w:t>
      </w:r>
      <w:r>
        <w:rPr>
          <w:rFonts w:hint="cs"/>
          <w:b/>
          <w:bCs/>
          <w:spacing w:val="-2"/>
          <w:rtl/>
          <w:lang w:val="en-GB"/>
        </w:rPr>
        <w:t>ניצבים בפני כמה פרשנויות אפשריות של הוראה הם מונחים לבחור בזו שמתיישבת באופן הטוב ביותר עם המבוא</w:t>
      </w:r>
      <w:r>
        <w:rPr>
          <w:rFonts w:hint="cs"/>
          <w:spacing w:val="-2"/>
          <w:rtl/>
          <w:lang w:val="en-GB"/>
        </w:rPr>
        <w:t>. במובן זה המבוא הוא מעין "</w:t>
      </w:r>
      <w:r>
        <w:rPr>
          <w:rFonts w:hint="cs"/>
          <w:b/>
          <w:bCs/>
          <w:spacing w:val="-2"/>
          <w:rtl/>
          <w:lang w:val="en-GB"/>
        </w:rPr>
        <w:t>מצפן חוקתי</w:t>
      </w:r>
      <w:r>
        <w:rPr>
          <w:rFonts w:hint="cs"/>
          <w:spacing w:val="-2"/>
          <w:rtl/>
          <w:lang w:val="en-GB"/>
        </w:rPr>
        <w:t>" לפרשנות.</w:t>
      </w:r>
      <w:r>
        <w:rPr>
          <w:rStyle w:val="ac"/>
          <w:spacing w:val="-2"/>
          <w:rtl/>
          <w:lang w:val="en-GB"/>
        </w:rPr>
        <w:footnoteReference w:id="41"/>
      </w:r>
      <w:r>
        <w:rPr>
          <w:rFonts w:hint="cs"/>
          <w:spacing w:val="-2"/>
          <w:rtl/>
          <w:lang w:val="en-GB"/>
        </w:rPr>
        <w:t xml:space="preserve"> </w:t>
      </w:r>
    </w:p>
    <w:p w:rsidR="003C150D" w:rsidRDefault="003C150D" w:rsidP="003C150D">
      <w:pPr>
        <w:pStyle w:val="afff4"/>
        <w:rPr>
          <w:spacing w:val="-2"/>
          <w:lang w:val="en-GB"/>
        </w:rPr>
      </w:pPr>
      <w:r>
        <w:rPr>
          <w:rFonts w:hint="cs"/>
          <w:spacing w:val="-2"/>
          <w:rtl/>
          <w:lang w:val="en-GB"/>
        </w:rPr>
        <w:t>דוגמה לשימוש במודל זה ניתן למצוא במדינות שונות ברחבי העולם. דוגמה מובהקת היא דרום-אפריקה, שבה בתי המשפט, ובית המשפט החוקתי בפרט, עושים שימוש תדיר בסעיף המטרות של החוקה (שנסקר בהרחבה בחלק הסקירה המשווה של מסמך זה) לצורך פרשנות החוקה וחקיקה כללית.</w:t>
      </w:r>
      <w:r>
        <w:rPr>
          <w:rStyle w:val="ac"/>
          <w:spacing w:val="-2"/>
          <w:rtl/>
          <w:lang w:val="en-GB"/>
        </w:rPr>
        <w:footnoteReference w:id="42"/>
      </w:r>
      <w:r>
        <w:rPr>
          <w:rFonts w:hint="cs"/>
          <w:spacing w:val="-2"/>
          <w:rtl/>
          <w:lang w:val="en-GB"/>
        </w:rPr>
        <w:t xml:space="preserve"> דוגמאות נוספות ניתן למצוא באסטוניה, אוקראינה, גרמניה (באופן חלקי) וליטא, שבהן נעשה שימוש בעבר בהוראות המבוא בידי בתי המשפט כדי לבחון דברי חקיקה שונים ולהכריע בדבר חוקתיותם.</w:t>
      </w:r>
      <w:r>
        <w:rPr>
          <w:rStyle w:val="ac"/>
          <w:spacing w:val="-2"/>
          <w:rtl/>
          <w:lang w:val="en-GB"/>
        </w:rPr>
        <w:footnoteReference w:id="43"/>
      </w:r>
      <w:r>
        <w:rPr>
          <w:rFonts w:hint="cs"/>
          <w:spacing w:val="-2"/>
          <w:rtl/>
          <w:lang w:val="en-GB"/>
        </w:rPr>
        <w:t xml:space="preserve"> </w:t>
      </w:r>
    </w:p>
    <w:p w:rsidR="003C150D" w:rsidRDefault="003C150D" w:rsidP="003C150D">
      <w:pPr>
        <w:pStyle w:val="afff4"/>
        <w:numPr>
          <w:ilvl w:val="0"/>
          <w:numId w:val="26"/>
        </w:numPr>
        <w:rPr>
          <w:spacing w:val="-2"/>
          <w:lang w:val="en-GB"/>
        </w:rPr>
      </w:pPr>
      <w:r>
        <w:rPr>
          <w:rFonts w:hint="cs"/>
          <w:b/>
          <w:bCs/>
          <w:spacing w:val="-2"/>
          <w:u w:val="single"/>
          <w:rtl/>
          <w:lang w:val="en-GB"/>
        </w:rPr>
        <w:t>המודל העצמאי (או המהותי)</w:t>
      </w:r>
      <w:r>
        <w:rPr>
          <w:rFonts w:hint="cs"/>
          <w:spacing w:val="-2"/>
          <w:rtl/>
          <w:lang w:val="en-GB"/>
        </w:rPr>
        <w:t xml:space="preserve">: במודל זה המבוא מהווה </w:t>
      </w:r>
      <w:r>
        <w:rPr>
          <w:rFonts w:hint="cs"/>
          <w:b/>
          <w:bCs/>
          <w:spacing w:val="-2"/>
          <w:rtl/>
          <w:lang w:val="en-GB"/>
        </w:rPr>
        <w:t>חלק אינטגרלי מהחוקה ויש לו תוקף משפטי עצמאי ומחייב, בדומה ליתר חלקי החוקה</w:t>
      </w:r>
      <w:r>
        <w:rPr>
          <w:rFonts w:hint="cs"/>
          <w:spacing w:val="-2"/>
          <w:rtl/>
          <w:lang w:val="en-GB"/>
        </w:rPr>
        <w:t>. כך, המבוא משמש לא רק למקור פרשני, אלא יוצר בעצמו זכויות וחובות ברי אכיפה.</w:t>
      </w:r>
    </w:p>
    <w:p w:rsidR="003C150D" w:rsidRDefault="003C150D" w:rsidP="003C150D">
      <w:pPr>
        <w:pStyle w:val="afff4"/>
        <w:rPr>
          <w:spacing w:val="-2"/>
          <w:lang w:val="en-GB"/>
        </w:rPr>
      </w:pPr>
      <w:r>
        <w:rPr>
          <w:rFonts w:hint="cs"/>
          <w:spacing w:val="-2"/>
          <w:rtl/>
          <w:lang w:val="en-GB"/>
        </w:rPr>
        <w:t>דוגמא למודל זה ניתן למצוא במבוא לחוקת הרפובליקה החמישית בצרפת (1958). המבוא לחוקה האמורה מפנה להצהרת זכויות האדם והאזרח שניתנה בתום המהפכה הצרפתית (1789) ולמבוא לחוקת הרפובליקה הרביעית (1946).</w:t>
      </w:r>
      <w:r>
        <w:rPr>
          <w:rStyle w:val="ac"/>
          <w:spacing w:val="-2"/>
          <w:rtl/>
          <w:lang w:val="en-GB"/>
        </w:rPr>
        <w:footnoteReference w:id="44"/>
      </w:r>
      <w:r>
        <w:rPr>
          <w:rFonts w:hint="cs"/>
          <w:spacing w:val="-2"/>
          <w:rtl/>
          <w:lang w:val="en-GB"/>
        </w:rPr>
        <w:t xml:space="preserve"> בחוקה עצמה (חוקת הרפובליקה החמישית) אין עיגון של זכויות אדם (בשל מחלוקות שונות וחשש מביקורת שיפוטית), אולם במקורות שהמבוא מפנה אליהם קיים עיגון משמעותי של זכויות כאמור ואף הפניות לדברי חקיקה מוקדמים עוד יותר שמקנים זכויות כאמור. בשנת 1971 </w:t>
      </w:r>
      <w:r>
        <w:rPr>
          <w:rFonts w:hint="cs"/>
          <w:b/>
          <w:bCs/>
          <w:spacing w:val="-2"/>
          <w:rtl/>
          <w:lang w:val="en-GB"/>
        </w:rPr>
        <w:t>הכירה המועצה החוקתית בצרפת</w:t>
      </w:r>
      <w:r>
        <w:rPr>
          <w:rFonts w:hint="cs"/>
          <w:spacing w:val="-2"/>
          <w:rtl/>
          <w:lang w:val="en-GB"/>
        </w:rPr>
        <w:t xml:space="preserve"> (</w:t>
      </w:r>
      <w:r>
        <w:rPr>
          <w:spacing w:val="-2"/>
          <w:sz w:val="22"/>
          <w:szCs w:val="22"/>
          <w:lang w:val="en-GB"/>
        </w:rPr>
        <w:t>Conseil constitutionnel</w:t>
      </w:r>
      <w:r>
        <w:rPr>
          <w:rFonts w:hint="cs"/>
          <w:spacing w:val="-2"/>
          <w:rtl/>
          <w:lang w:val="en-GB"/>
        </w:rPr>
        <w:t>)</w:t>
      </w:r>
      <w:r>
        <w:rPr>
          <w:rStyle w:val="ac"/>
          <w:spacing w:val="-2"/>
          <w:rtl/>
          <w:lang w:val="en-GB"/>
        </w:rPr>
        <w:footnoteReference w:id="45"/>
      </w:r>
      <w:r>
        <w:rPr>
          <w:rFonts w:hint="cs"/>
          <w:spacing w:val="-2"/>
          <w:rtl/>
          <w:lang w:val="en-GB"/>
        </w:rPr>
        <w:t xml:space="preserve"> במבוא לחוקה משנת 1958 </w:t>
      </w:r>
      <w:r>
        <w:rPr>
          <w:rFonts w:hint="cs"/>
          <w:b/>
          <w:bCs/>
          <w:spacing w:val="-2"/>
          <w:rtl/>
          <w:lang w:val="en-GB"/>
        </w:rPr>
        <w:t>כמקור מחייב ועצמאי לזכויות אדם ואזרח</w:t>
      </w:r>
      <w:r>
        <w:rPr>
          <w:rFonts w:hint="cs"/>
          <w:spacing w:val="-2"/>
          <w:rtl/>
          <w:lang w:val="en-GB"/>
        </w:rPr>
        <w:t xml:space="preserve"> (ובשל ההפניה שבמבוא לחוקה משנת 1958 גם במבוא לחוקה משנת 1946 כמקור כזה). כתוצאה מכך, פסלה המועצה חוק שהיה מנוגד לחופש ההתאגדות שהוכר במבוא לחוקה משנת 1946 (אך לא הוכר בחוקה משנת 1958). הלכה למעשה, </w:t>
      </w:r>
      <w:r>
        <w:rPr>
          <w:rFonts w:hint="cs"/>
          <w:b/>
          <w:bCs/>
          <w:spacing w:val="-2"/>
          <w:rtl/>
          <w:lang w:val="en-GB"/>
        </w:rPr>
        <w:t>ההכרה לא רק הביאה למתן מעמד מיוחד למבוא לחוקה משנת 1958, אלא גם למבוא לחוקה משנת 1946</w:t>
      </w:r>
      <w:r>
        <w:rPr>
          <w:rFonts w:hint="cs"/>
          <w:spacing w:val="-2"/>
          <w:rtl/>
          <w:lang w:val="en-GB"/>
        </w:rPr>
        <w:t xml:space="preserve"> (וכן לחוקים אחרים שהוכרו במבוא לחוקה משנת 1946 שנחקקו בתקופת הרפובליקה השלישית בצרפת</w:t>
      </w:r>
      <w:r>
        <w:rPr>
          <w:rStyle w:val="ac"/>
          <w:spacing w:val="-2"/>
          <w:rtl/>
          <w:lang w:val="en-GB"/>
        </w:rPr>
        <w:footnoteReference w:id="46"/>
      </w:r>
      <w:r>
        <w:rPr>
          <w:rFonts w:hint="cs"/>
          <w:spacing w:val="-2"/>
          <w:rtl/>
          <w:lang w:val="en-GB"/>
        </w:rPr>
        <w:t>).</w:t>
      </w:r>
      <w:r>
        <w:rPr>
          <w:rStyle w:val="ac"/>
          <w:spacing w:val="-2"/>
          <w:rtl/>
          <w:lang w:val="en-GB"/>
        </w:rPr>
        <w:footnoteReference w:id="47"/>
      </w:r>
      <w:r>
        <w:rPr>
          <w:rFonts w:hint="cs"/>
          <w:spacing w:val="-2"/>
          <w:rtl/>
          <w:lang w:val="en-GB"/>
        </w:rPr>
        <w:t xml:space="preserve"> </w:t>
      </w:r>
    </w:p>
    <w:p w:rsidR="003C150D" w:rsidRDefault="003C150D" w:rsidP="003C150D">
      <w:pPr>
        <w:pStyle w:val="afff4"/>
        <w:rPr>
          <w:spacing w:val="-2"/>
          <w:rtl/>
          <w:lang w:val="en-GB"/>
        </w:rPr>
      </w:pPr>
      <w:r>
        <w:rPr>
          <w:rFonts w:hint="cs"/>
          <w:spacing w:val="-2"/>
          <w:rtl/>
          <w:lang w:val="en-GB"/>
        </w:rPr>
        <w:t xml:space="preserve">דוגמה נוספת ניתן למצוא בשימוש במבוא לחוקה בהודו. בתי המשפט בהודו </w:t>
      </w:r>
      <w:r>
        <w:rPr>
          <w:rFonts w:hint="cs"/>
          <w:b/>
          <w:bCs/>
          <w:spacing w:val="-2"/>
          <w:rtl/>
          <w:lang w:val="en-GB"/>
        </w:rPr>
        <w:t>מתייחסים למבוא לחוקה כבעל תפקיד עליון בפרשנות חוקתית וחקיקתית וכחלק אינטגרלי מהחוקה עצמה</w:t>
      </w:r>
      <w:r>
        <w:rPr>
          <w:rFonts w:hint="cs"/>
          <w:spacing w:val="-2"/>
          <w:rtl/>
          <w:lang w:val="en-GB"/>
        </w:rPr>
        <w:t>. כך, חוקים שמנוגדים למבוא לחוקה מוכרזים כבטלים ובתי המשפט מעצבים את צביונה של הודו בהתאם להוראות המבוא (בין היתר כרפובליקה סוציאלית, כמדינה חילונית ועוד).</w:t>
      </w:r>
      <w:r>
        <w:rPr>
          <w:rStyle w:val="ac"/>
          <w:spacing w:val="-2"/>
          <w:rtl/>
          <w:lang w:val="en-GB"/>
        </w:rPr>
        <w:footnoteReference w:id="48"/>
      </w:r>
    </w:p>
    <w:p w:rsidR="003C150D" w:rsidRDefault="003C150D" w:rsidP="003C150D">
      <w:pPr>
        <w:rPr>
          <w:spacing w:val="-2"/>
          <w:rtl/>
          <w:lang w:val="en-GB"/>
        </w:rPr>
      </w:pPr>
    </w:p>
    <w:p w:rsidR="003C150D" w:rsidRDefault="003C150D" w:rsidP="003C150D">
      <w:pPr>
        <w:bidi w:val="0"/>
        <w:spacing w:before="0" w:after="0" w:line="240" w:lineRule="auto"/>
        <w:jc w:val="left"/>
        <w:rPr>
          <w:b/>
          <w:bCs/>
          <w:sz w:val="28"/>
          <w:szCs w:val="28"/>
          <w:rtl/>
        </w:rPr>
      </w:pPr>
      <w:r>
        <w:rPr>
          <w:rFonts w:hint="cs"/>
          <w:rtl/>
        </w:rPr>
        <w:br w:type="page"/>
      </w:r>
    </w:p>
    <w:p w:rsidR="003C150D" w:rsidRDefault="003C150D" w:rsidP="003C150D">
      <w:pPr>
        <w:pStyle w:val="1"/>
        <w:numPr>
          <w:ilvl w:val="0"/>
          <w:numId w:val="22"/>
        </w:numPr>
        <w:rPr>
          <w:rtl/>
        </w:rPr>
      </w:pPr>
      <w:r>
        <w:rPr>
          <w:rFonts w:hint="cs"/>
          <w:rtl/>
        </w:rPr>
        <w:t>סקירה משווה</w:t>
      </w:r>
    </w:p>
    <w:p w:rsidR="003C150D" w:rsidRDefault="003C150D" w:rsidP="003C150D">
      <w:pPr>
        <w:rPr>
          <w:spacing w:val="-2"/>
        </w:rPr>
      </w:pPr>
      <w:r>
        <w:rPr>
          <w:rFonts w:hint="cs"/>
          <w:spacing w:val="-2"/>
          <w:rtl/>
        </w:rPr>
        <w:t xml:space="preserve">בטרם נפנה לסקירת הוראות סעיפי המבוא בחקיקה הזרה נציין כי בהתאם לבקשה שהוגשה לנו בחרנו מלכתחילה לסקור הוראות אלה במדינות שמאפייניהן דומים לאלה של ישראל, או במדינות שנמצא בהן ביטוי למאפיינים השכיחים במבואות לחוקות שהוצגו לעיל, או במדינות ספציפיות שהתבקשנו לסקור במסגרת הבקשה. כך, בסקירה המשווה מוצגות ההוראות הרלוונטיות במדינות שלהלן: גרמניה, הונגריה, צ'כיה, יוון, פולין, מקדוניה, סלובקיה, סרביה, לטביה, אסטוניה, אוקראינה ודרום אפריקה. </w:t>
      </w:r>
    </w:p>
    <w:p w:rsidR="003C150D" w:rsidRDefault="003C150D" w:rsidP="003C150D">
      <w:pPr>
        <w:rPr>
          <w:spacing w:val="-2"/>
          <w:rtl/>
        </w:rPr>
      </w:pPr>
      <w:r>
        <w:rPr>
          <w:rFonts w:hint="cs"/>
          <w:spacing w:val="-2"/>
          <w:rtl/>
        </w:rPr>
        <w:t>עוד יוער, כי במסגרת הסקירה בחרנו להביא את הוראות המבוא המלאות כפי שהן מופיעות בחוקות השונות שנסקרו. זאת, בין היתר, בכדי שהצגתן תעשה בד בבד עם הצגת ההקשר הרעיוני-תוכני שבו הן מופיעות במבוא (ולא במנותק מהקשרים אלה), כמו גם בכדי להבליט את האיזונים שנעשו ביחס להוראות אלה.</w:t>
      </w:r>
    </w:p>
    <w:p w:rsidR="003C150D" w:rsidRDefault="003C150D" w:rsidP="003C150D">
      <w:pPr>
        <w:rPr>
          <w:spacing w:val="-2"/>
          <w:rtl/>
        </w:rPr>
      </w:pPr>
      <w:r>
        <w:rPr>
          <w:rFonts w:hint="cs"/>
          <w:spacing w:val="-2"/>
          <w:rtl/>
        </w:rPr>
        <w:t>מעבר לכך, יוער כי בסקירה נעשה שימוש בתרגומים רשמיים של מקורות זרים, אולם באותם המקומות שבהם תרגומים כאמור לא היו זמינים נעשה שימוש במידע שמצוי בדוחות בינלאומיים, ספרות מקצועית וכן תרגומים לא רשמיים של הסעיפים הרלוונטיים.</w:t>
      </w:r>
    </w:p>
    <w:p w:rsidR="003C150D" w:rsidRDefault="003C150D" w:rsidP="003C150D">
      <w:pPr>
        <w:rPr>
          <w:spacing w:val="-2"/>
          <w:rtl/>
        </w:rPr>
      </w:pPr>
    </w:p>
    <w:p w:rsidR="003C150D" w:rsidRDefault="003C150D" w:rsidP="003C150D">
      <w:pPr>
        <w:pStyle w:val="11"/>
        <w:numPr>
          <w:ilvl w:val="1"/>
          <w:numId w:val="22"/>
        </w:numPr>
        <w:ind w:right="0"/>
        <w:rPr>
          <w:rtl/>
        </w:rPr>
      </w:pPr>
      <w:r>
        <w:rPr>
          <w:rFonts w:hint="cs"/>
          <w:rtl/>
        </w:rPr>
        <w:t>גרמניה</w:t>
      </w:r>
    </w:p>
    <w:p w:rsidR="003C150D" w:rsidRDefault="003C150D" w:rsidP="003C150D">
      <w:pPr>
        <w:pStyle w:val="a4"/>
      </w:pPr>
      <w:r>
        <w:rPr>
          <w:rFonts w:hint="cs"/>
          <w:rtl/>
        </w:rPr>
        <w:t>ככלל, בגרמניה לא נהוגה השיטה של הוספת פסקאות מבוא לדברי חקיקה. החריג המרכזי לכך הוא הנוהג של הוספת מבוא במסמכים חוקתיים.</w:t>
      </w:r>
      <w:r>
        <w:rPr>
          <w:rStyle w:val="ac"/>
          <w:rtl/>
        </w:rPr>
        <w:footnoteReference w:id="49"/>
      </w:r>
      <w:r>
        <w:rPr>
          <w:rFonts w:hint="cs"/>
          <w:rtl/>
        </w:rPr>
        <w:t xml:space="preserve"> כך, בחוק הבסיסי הגרמני (להלן – "החוק הבסיסי"),</w:t>
      </w:r>
      <w:r>
        <w:rPr>
          <w:rStyle w:val="ac"/>
          <w:rtl/>
        </w:rPr>
        <w:footnoteReference w:id="50"/>
      </w:r>
      <w:r>
        <w:rPr>
          <w:rFonts w:hint="cs"/>
          <w:rtl/>
        </w:rPr>
        <w:t xml:space="preserve"> כמו גם בחוקות של המדינות שמרכיבות את הפדרציה הגרמנית (ה-</w:t>
      </w:r>
      <w:r>
        <w:t>Laender</w:t>
      </w:r>
      <w:r>
        <w:rPr>
          <w:rFonts w:hint="cs"/>
          <w:rtl/>
        </w:rPr>
        <w:t>) קבועים פרקי מבוא.</w:t>
      </w:r>
      <w:r>
        <w:rPr>
          <w:rStyle w:val="ac"/>
          <w:rtl/>
        </w:rPr>
        <w:footnoteReference w:id="51"/>
      </w:r>
      <w:r>
        <w:rPr>
          <w:rFonts w:hint="cs"/>
          <w:rtl/>
        </w:rPr>
        <w:t xml:space="preserve"> </w:t>
      </w:r>
    </w:p>
    <w:p w:rsidR="003C150D" w:rsidRDefault="003C150D" w:rsidP="003C150D">
      <w:pPr>
        <w:pStyle w:val="a4"/>
        <w:rPr>
          <w:rtl/>
        </w:rPr>
      </w:pPr>
      <w:r>
        <w:rPr>
          <w:rFonts w:hint="cs"/>
          <w:rtl/>
        </w:rPr>
        <w:t>המבוא לחוק הבסיסי הגרמני קובע כדלקמן:</w:t>
      </w:r>
      <w:r>
        <w:rPr>
          <w:rStyle w:val="ac"/>
          <w:rtl/>
        </w:rPr>
        <w:footnoteReference w:id="52"/>
      </w:r>
      <w:r>
        <w:rPr>
          <w:rFonts w:hint="cs"/>
          <w:rtl/>
        </w:rPr>
        <w:t xml:space="preserve"> </w:t>
      </w:r>
    </w:p>
    <w:p w:rsidR="003C150D" w:rsidRDefault="003C150D" w:rsidP="003C150D">
      <w:pPr>
        <w:pStyle w:val="af0"/>
        <w:rPr>
          <w:rtl/>
        </w:rPr>
      </w:pPr>
      <w:r>
        <w:rPr>
          <w:rFonts w:hint="cs"/>
          <w:rtl/>
        </w:rPr>
        <w:t xml:space="preserve">"מתוך מודעות לאחריותם בפני האל ובפני בני האדם, ומתוך השראה מהחלטתם לקדם שלום עולמי וכשותפים שווים באחדות אירופה, העם הגרמני, מאמץ את החוק הבסיסי (החוקה, </w:t>
      </w:r>
      <w:r>
        <w:t>basic law</w:t>
      </w:r>
      <w:r>
        <w:rPr>
          <w:rFonts w:hint="cs"/>
          <w:rtl/>
        </w:rPr>
        <w:t xml:space="preserve">) באמצעות הפעלת כוח מכונן". עוד נקבע במבוא, כי "גרמנים מהמדינות השונות והמחוזות שמרכיבות את גרמניה השיגו אחדות וחירות בגרמניה כחלק מביטוי עצמי. החוק הבסיסי חל על כל העם הגרמני". </w:t>
      </w:r>
    </w:p>
    <w:p w:rsidR="003C150D" w:rsidRDefault="003C150D" w:rsidP="003C150D">
      <w:pPr>
        <w:pStyle w:val="a4"/>
        <w:rPr>
          <w:rtl/>
        </w:rPr>
      </w:pPr>
      <w:r>
        <w:rPr>
          <w:rFonts w:hint="cs"/>
          <w:rtl/>
        </w:rPr>
        <w:t>ככלל,</w:t>
      </w:r>
      <w:r>
        <w:rPr>
          <w:rFonts w:hint="cs"/>
          <w:b/>
          <w:bCs/>
          <w:rtl/>
        </w:rPr>
        <w:t xml:space="preserve"> היחס למבוא לחוק הבסיסי בפסיקה הגרמנית הוא כאל כלי פרשני, שאומנם לעיתים מחזק את הוראות החוק הבסיסי גופן,</w:t>
      </w:r>
      <w:r>
        <w:rPr>
          <w:rStyle w:val="ac"/>
          <w:rtl/>
        </w:rPr>
        <w:footnoteReference w:id="53"/>
      </w:r>
      <w:r>
        <w:rPr>
          <w:rFonts w:hint="cs"/>
          <w:b/>
          <w:bCs/>
          <w:rtl/>
        </w:rPr>
        <w:t xml:space="preserve"> אך לא כאל מקור לזכויות ברות אכיפה</w:t>
      </w:r>
      <w:r>
        <w:rPr>
          <w:rFonts w:hint="cs"/>
          <w:rtl/>
        </w:rPr>
        <w:t>.</w:t>
      </w:r>
      <w:r>
        <w:rPr>
          <w:rStyle w:val="ac"/>
          <w:rtl/>
        </w:rPr>
        <w:footnoteReference w:id="54"/>
      </w:r>
    </w:p>
    <w:p w:rsidR="003C150D" w:rsidRDefault="003C150D" w:rsidP="003C150D">
      <w:pPr>
        <w:pStyle w:val="a4"/>
        <w:rPr>
          <w:rtl/>
        </w:rPr>
      </w:pPr>
      <w:r>
        <w:rPr>
          <w:rFonts w:hint="cs"/>
          <w:rtl/>
        </w:rPr>
        <w:t>כך לדוגמה, לפני איחוד גרמניה וכינון החוק הבסיסי בנוסחו הנוכחי, בית המשפט החוקתי הפדראלי (במערב גרמניה) דן בעתירה כנגד אמנה שנחתמה בין ממשלת גרמניה המזרחית</w:t>
      </w:r>
      <w:r>
        <w:rPr>
          <w:rFonts w:hint="cs"/>
          <w:b/>
          <w:bCs/>
          <w:rtl/>
        </w:rPr>
        <w:t xml:space="preserve"> </w:t>
      </w:r>
      <w:r>
        <w:rPr>
          <w:rFonts w:hint="cs"/>
          <w:rtl/>
        </w:rPr>
        <w:t>(הרפובליקה הדמוקרטית הגרמנית,</w:t>
      </w:r>
      <w:r>
        <w:rPr>
          <w:rFonts w:hint="cs"/>
          <w:b/>
          <w:bCs/>
          <w:rtl/>
        </w:rPr>
        <w:t xml:space="preserve"> </w:t>
      </w:r>
      <w:r>
        <w:t>German Democratic Republic</w:t>
      </w:r>
      <w:r>
        <w:rPr>
          <w:rFonts w:hint="cs"/>
          <w:rtl/>
        </w:rPr>
        <w:t>, שהייתה תחת השלטון הקומוניסטי)</w:t>
      </w:r>
      <w:r>
        <w:rPr>
          <w:rFonts w:hint="cs"/>
          <w:b/>
          <w:bCs/>
          <w:rtl/>
        </w:rPr>
        <w:t xml:space="preserve"> </w:t>
      </w:r>
      <w:r>
        <w:rPr>
          <w:rFonts w:hint="cs"/>
          <w:rtl/>
        </w:rPr>
        <w:t>וגרמניה המערבית</w:t>
      </w:r>
      <w:r>
        <w:rPr>
          <w:rFonts w:hint="cs"/>
          <w:b/>
          <w:bCs/>
          <w:rtl/>
        </w:rPr>
        <w:t xml:space="preserve"> </w:t>
      </w:r>
      <w:r>
        <w:rPr>
          <w:rFonts w:hint="cs"/>
          <w:rtl/>
        </w:rPr>
        <w:t xml:space="preserve">(הרפובליקה הפדרלית הגרמנית, </w:t>
      </w:r>
      <w:r>
        <w:t>Bundesrepublik Deutschland</w:t>
      </w:r>
      <w:r>
        <w:rPr>
          <w:rFonts w:hint="cs"/>
          <w:rtl/>
        </w:rPr>
        <w:t>, שהייתה מדינה דמוקרטית). העותרת - ממשלת בוואריה,  טענה כי האמנה האמורה לא חוקתית, בין היתר, מכיוון שהיא הייתה מנוגדת להוראות המבוא לחוקה דאז, שכללו התייחסות לאוכלוסיות תחת השלטון במזרח גרמניה ואשר השתתפותן בהליכים הדמוקרטים נמנעה (</w:t>
      </w:r>
      <w:r>
        <w:t>"</w:t>
      </w:r>
      <w:r>
        <w:rPr>
          <w:b/>
          <w:bCs/>
        </w:rPr>
        <w:t>Germans to whom participation was denied</w:t>
      </w:r>
      <w:r>
        <w:t>"</w:t>
      </w:r>
      <w:r>
        <w:rPr>
          <w:rFonts w:hint="cs"/>
          <w:rtl/>
        </w:rPr>
        <w:t xml:space="preserve">). </w:t>
      </w:r>
      <w:r>
        <w:rPr>
          <w:rFonts w:hint="cs"/>
          <w:b/>
          <w:bCs/>
          <w:rtl/>
        </w:rPr>
        <w:t>בית המשפט הפדראלי קבע כי למבוא לחוקה הגרמנית אומנם אין רק חשיבות פוליטית, אלא גם השלכות משפטיות</w:t>
      </w:r>
      <w:r>
        <w:rPr>
          <w:rFonts w:hint="cs"/>
          <w:rtl/>
        </w:rPr>
        <w:t xml:space="preserve">. יחד עם זאת, בית המשפט גם קבע כי </w:t>
      </w:r>
      <w:r>
        <w:rPr>
          <w:rFonts w:hint="cs"/>
          <w:b/>
          <w:bCs/>
          <w:rtl/>
        </w:rPr>
        <w:t>לאורגנים הפוליטיים של גרמניה שיקול דעת רחב לעניין דרך הפעולה הפוליטית המתאימה למימוש החוקה וכי אין להתייחס למבוא כמחייב לפעול בדרך ספציפית</w:t>
      </w:r>
      <w:r>
        <w:rPr>
          <w:rFonts w:hint="cs"/>
          <w:rtl/>
        </w:rPr>
        <w:t>.</w:t>
      </w:r>
      <w:r>
        <w:rPr>
          <w:rStyle w:val="ac"/>
          <w:rtl/>
        </w:rPr>
        <w:footnoteReference w:id="55"/>
      </w:r>
      <w:r>
        <w:rPr>
          <w:rFonts w:hint="cs"/>
          <w:rtl/>
        </w:rPr>
        <w:t xml:space="preserve"> </w:t>
      </w:r>
    </w:p>
    <w:p w:rsidR="003C150D" w:rsidRDefault="003C150D" w:rsidP="003C150D">
      <w:pPr>
        <w:pStyle w:val="a4"/>
        <w:rPr>
          <w:rtl/>
        </w:rPr>
      </w:pPr>
      <w:r>
        <w:rPr>
          <w:rFonts w:hint="cs"/>
          <w:rtl/>
        </w:rPr>
        <w:t xml:space="preserve">מקרה נוסף שבו נדונו הוראות המבוא היה בהקשר של אישור אמנת ליסבון משנת 2009 בידי גרמניה. אמנת ליסבון היא אמנה שנחתמה בין החברות באיחוד האירופי שהרחיבה את סמכויותיו, בין היתר, בתחומי יחסי החוץ והביטחון ועיגנה את המבנה הנוכחי של האיחוד. בפסק-הדין נדונה השאלה האם אישור האמנה בידי גרמניה עומד בסתירה להסדרים החוקתיים שהיו קיימים במדינה. </w:t>
      </w:r>
      <w:r>
        <w:rPr>
          <w:rFonts w:hint="cs"/>
          <w:b/>
          <w:bCs/>
          <w:rtl/>
        </w:rPr>
        <w:t>בית המשפט קבע כי האמנה לא סותרת את הסדר החוקתי או את הריבונות הגרמנית, וזאת, בין היתר, על בסיס הוראות המבוא לחוק הבסיסי</w:t>
      </w:r>
      <w:r>
        <w:rPr>
          <w:rFonts w:hint="cs"/>
          <w:rtl/>
        </w:rPr>
        <w:t>. כך, בקביעתו ציין בית המשפט כי האמנה דווקא עומדת בקנה אחד עם "רצון המבוא" וזאת לנוכח המטרות הכלליות שמופיעות במבוא, וביניהן: קידום השלום העולמי וכן שותפות שווה באחדות אירופה.</w:t>
      </w:r>
      <w:r>
        <w:rPr>
          <w:rStyle w:val="ac"/>
          <w:rtl/>
        </w:rPr>
        <w:footnoteReference w:id="56"/>
      </w:r>
      <w:r>
        <w:rPr>
          <w:rFonts w:hint="cs"/>
          <w:rtl/>
        </w:rPr>
        <w:t xml:space="preserve"> </w:t>
      </w:r>
    </w:p>
    <w:p w:rsidR="003C150D" w:rsidRDefault="003C150D" w:rsidP="003C150D">
      <w:pPr>
        <w:pStyle w:val="a4"/>
        <w:bidi w:val="0"/>
        <w:rPr>
          <w:rtl/>
        </w:rPr>
      </w:pPr>
    </w:p>
    <w:p w:rsidR="003C150D" w:rsidRDefault="003C150D" w:rsidP="003C150D">
      <w:pPr>
        <w:pStyle w:val="11"/>
        <w:keepNext/>
        <w:keepLines/>
        <w:numPr>
          <w:ilvl w:val="1"/>
          <w:numId w:val="22"/>
        </w:numPr>
        <w:ind w:right="0"/>
      </w:pPr>
      <w:r>
        <w:rPr>
          <w:rFonts w:hint="cs"/>
          <w:rtl/>
        </w:rPr>
        <w:t>הונגריה</w:t>
      </w:r>
    </w:p>
    <w:p w:rsidR="003C150D" w:rsidRDefault="003C150D" w:rsidP="003C150D">
      <w:pPr>
        <w:pStyle w:val="a4"/>
      </w:pPr>
      <w:r>
        <w:rPr>
          <w:rFonts w:hint="cs"/>
          <w:rtl/>
        </w:rPr>
        <w:t>חוקת הונגריה הנוכחית היא תולדה של התפתחויות היסטוריות שונות, וביניהן: הכיבוש הסובייטי של המדינה לאחר מלחמת העולם השנייה</w:t>
      </w:r>
      <w:r>
        <w:rPr>
          <w:rFonts w:hint="cs"/>
        </w:rPr>
        <w:t xml:space="preserve"> </w:t>
      </w:r>
      <w:r>
        <w:rPr>
          <w:rFonts w:hint="cs"/>
          <w:rtl/>
        </w:rPr>
        <w:t>שלא אפשר קביעת חוקה דמוקרטית וחופשית, כמו גם החלטת הממשלה ההונגרית משנת 2010 לתקן את החוקה הקודמת שנקבעה כחוקה זמנית. כפי שיוצג, לגבי החוקה החדשה של הונגריה נערך דוח שאומץ בידי ועדת ונציה</w:t>
      </w:r>
      <w:r>
        <w:rPr>
          <w:rStyle w:val="ac"/>
          <w:rtl/>
        </w:rPr>
        <w:footnoteReference w:id="57"/>
      </w:r>
      <w:r>
        <w:rPr>
          <w:rFonts w:hint="cs"/>
          <w:rtl/>
        </w:rPr>
        <w:t xml:space="preserve"> (להלן בחלק זה - הדוח).</w:t>
      </w:r>
      <w:r>
        <w:rPr>
          <w:rStyle w:val="ac"/>
          <w:rtl/>
        </w:rPr>
        <w:footnoteReference w:id="58"/>
      </w:r>
      <w:r>
        <w:rPr>
          <w:rFonts w:hint="cs"/>
          <w:rtl/>
        </w:rPr>
        <w:t xml:space="preserve"> בדוח מנותחת החוקה כולה והליכי החקיקה שקדמו לכינונה, לרבות ביקורת על צורת החקיקה של החוקה (ובפרט העדר שקיפות בהליכים).</w:t>
      </w:r>
      <w:r>
        <w:rPr>
          <w:rStyle w:val="ac"/>
          <w:rtl/>
        </w:rPr>
        <w:footnoteReference w:id="59"/>
      </w:r>
      <w:r>
        <w:rPr>
          <w:rFonts w:hint="cs"/>
          <w:rtl/>
        </w:rPr>
        <w:t xml:space="preserve"> כפי שיוצג להלן, בדוח זה אף ניתנו הערות ספציפיות לנושאים שונים בחוקה, לרבות לעניין המבוא לחוקה ההונגרית החדשה.</w:t>
      </w:r>
    </w:p>
    <w:p w:rsidR="003C150D" w:rsidRDefault="003C150D" w:rsidP="003C150D">
      <w:pPr>
        <w:pStyle w:val="a4"/>
      </w:pPr>
      <w:r>
        <w:rPr>
          <w:rFonts w:hint="cs"/>
          <w:rtl/>
        </w:rPr>
        <w:t>המבוא לחוקת הונגריה מהווה שילוב בין נרטיבים היסטוריים ולאומיים, ערכי יסוד של המדינה, סעיפי מטרה ועוד. כך, המבוא כולל התחייבויות חוקתיות ואחרות בדבר עתיד המדינה וקביעות שונות בדבר אופייה העתידי והרצוי. המבוא, הארוך יחסית (ביחס למבואות אחרים שנסקרו במסמך זה ובאופן כללי), קובע כדלקמן:</w:t>
      </w:r>
      <w:r>
        <w:rPr>
          <w:rStyle w:val="ac"/>
          <w:rtl/>
        </w:rPr>
        <w:footnoteReference w:id="60"/>
      </w:r>
    </w:p>
    <w:p w:rsidR="003C150D" w:rsidRDefault="003C150D" w:rsidP="003C150D">
      <w:pPr>
        <w:pStyle w:val="af0"/>
        <w:rPr>
          <w:rtl/>
        </w:rPr>
      </w:pPr>
      <w:r>
        <w:rPr>
          <w:rFonts w:hint="cs"/>
          <w:rtl/>
        </w:rPr>
        <w:t xml:space="preserve">"אנו, חברי האומה ההונגרית, בתחילת המילניום החדש עם תחושת אחריות כלפי כל הונגרי, מצהירים כדלקמן: </w:t>
      </w:r>
    </w:p>
    <w:p w:rsidR="003C150D" w:rsidRDefault="003C150D" w:rsidP="003C150D">
      <w:pPr>
        <w:pStyle w:val="af0"/>
        <w:rPr>
          <w:rtl/>
        </w:rPr>
      </w:pPr>
      <w:r>
        <w:rPr>
          <w:rFonts w:hint="cs"/>
          <w:rtl/>
        </w:rPr>
        <w:t>אנו גאים במלכנו סטפן הקדוש שבנה את המדינה ההונגרית על יסודות יציבים והפך את ארצנו לחלק מאירופה הנוצרית לפני אלף שנים.</w:t>
      </w:r>
    </w:p>
    <w:p w:rsidR="003C150D" w:rsidRDefault="003C150D" w:rsidP="003C150D">
      <w:pPr>
        <w:pStyle w:val="af0"/>
      </w:pPr>
      <w:r>
        <w:rPr>
          <w:rFonts w:hint="cs"/>
          <w:rtl/>
        </w:rPr>
        <w:t>אנו גאים באבות המייסדים שנלחמו עבור ההישרדות, החירות והעצמאות של המדינה.</w:t>
      </w:r>
    </w:p>
    <w:p w:rsidR="003C150D" w:rsidRDefault="003C150D" w:rsidP="003C150D">
      <w:pPr>
        <w:pStyle w:val="af0"/>
      </w:pPr>
      <w:r>
        <w:rPr>
          <w:rFonts w:hint="cs"/>
          <w:rtl/>
        </w:rPr>
        <w:t>אנו גאים בהישגים האינטלקטואליים היוצאים מן הכלל של העם ההונגרי.</w:t>
      </w:r>
    </w:p>
    <w:p w:rsidR="003C150D" w:rsidRDefault="003C150D" w:rsidP="003C150D">
      <w:pPr>
        <w:pStyle w:val="af0"/>
      </w:pPr>
      <w:r>
        <w:rPr>
          <w:rFonts w:hint="cs"/>
          <w:rtl/>
        </w:rPr>
        <w:t>אנו גאים כי עמנו הגן על אירופה לאורך השנים בסדרת מאבקים והעשיר את הערכים המשותפים של אירופה בכישרון ובחריצות שלו.</w:t>
      </w:r>
    </w:p>
    <w:p w:rsidR="003C150D" w:rsidRDefault="003C150D" w:rsidP="003C150D">
      <w:pPr>
        <w:pStyle w:val="af0"/>
      </w:pPr>
      <w:r>
        <w:rPr>
          <w:rFonts w:hint="cs"/>
          <w:rtl/>
        </w:rPr>
        <w:t>אנו מכירים בתפקיד שהנצרות מילאה בשמירת האומה. אנו מעריכים את המסורות הדתיות השונות של ארצנו.</w:t>
      </w:r>
    </w:p>
    <w:p w:rsidR="003C150D" w:rsidRDefault="003C150D" w:rsidP="003C150D">
      <w:pPr>
        <w:pStyle w:val="af0"/>
      </w:pPr>
      <w:r>
        <w:rPr>
          <w:rFonts w:hint="cs"/>
          <w:rtl/>
        </w:rPr>
        <w:t>אנו מבטיחים לשמר את האחדות הרוחנית והאינטלקטואלית של האומה שנקרעה לגזרים בסערות האלף הקודם. הלאומים שחיים בקרבנו הם חלק מהקהילה הפוליטית ההונגרית ומהווים מרכיב במדינה.</w:t>
      </w:r>
    </w:p>
    <w:p w:rsidR="003C150D" w:rsidRDefault="003C150D" w:rsidP="003C150D">
      <w:pPr>
        <w:pStyle w:val="af0"/>
      </w:pPr>
      <w:r>
        <w:rPr>
          <w:rFonts w:hint="cs"/>
          <w:rtl/>
        </w:rPr>
        <w:t>אנו מחויבים לקידום ולהגנה על המורשת, השפה הייחודית, התרבות ההונגרית, וכן השפה והתרבות של כל הלאומים שחיים בהונגריה, יחד עם כל הנכסים הטבעיים ואלה שהם מעשי ידי אדם באגן הקרפטי (</w:t>
      </w:r>
      <w:r>
        <w:rPr>
          <w:sz w:val="20"/>
          <w:szCs w:val="20"/>
        </w:rPr>
        <w:t>Carpathian Basin</w:t>
      </w:r>
      <w:r>
        <w:rPr>
          <w:rFonts w:hint="cs"/>
          <w:rtl/>
        </w:rPr>
        <w:t>). אנו נושאים באחריות עבור צאצאינו, ולכן נפעל להגן על תנאי החיים למען הדורות הבאים באמצעות שימוש זהיר במשאבים ממשיים, רוחניים וטבעיים.</w:t>
      </w:r>
    </w:p>
    <w:p w:rsidR="003C150D" w:rsidRDefault="003C150D" w:rsidP="003C150D">
      <w:pPr>
        <w:pStyle w:val="af0"/>
      </w:pPr>
      <w:r>
        <w:rPr>
          <w:rFonts w:hint="cs"/>
          <w:rtl/>
        </w:rPr>
        <w:t>אנו מאמינים כי התרבות הלאומית שלנו מהווה תרומה עשירה לגיוון באחדות האירופית.</w:t>
      </w:r>
    </w:p>
    <w:p w:rsidR="003C150D" w:rsidRDefault="003C150D" w:rsidP="003C150D">
      <w:pPr>
        <w:pStyle w:val="af0"/>
      </w:pPr>
      <w:r>
        <w:rPr>
          <w:rFonts w:hint="cs"/>
          <w:rtl/>
        </w:rPr>
        <w:t>אנו מכבדים את החירות של תרבויות ושל לאומים אחרים, ונפעל לשתף פעולה עם כל אומה אחרת ברחבי העולם.</w:t>
      </w:r>
    </w:p>
    <w:p w:rsidR="003C150D" w:rsidRDefault="003C150D" w:rsidP="003C150D">
      <w:pPr>
        <w:pStyle w:val="af0"/>
      </w:pPr>
      <w:r>
        <w:rPr>
          <w:rFonts w:hint="cs"/>
          <w:rtl/>
        </w:rPr>
        <w:t>אנו מאמינים כי הקיום האנושי מבוסס על כבוד אנושי.</w:t>
      </w:r>
    </w:p>
    <w:p w:rsidR="003C150D" w:rsidRDefault="003C150D" w:rsidP="003C150D">
      <w:pPr>
        <w:pStyle w:val="af0"/>
      </w:pPr>
      <w:r>
        <w:rPr>
          <w:rFonts w:hint="cs"/>
          <w:rtl/>
        </w:rPr>
        <w:t>אנו מאמינים כי חירות אישית יכולה להיות שלמה רק תוך שיתוף פעולה עם אחרים.</w:t>
      </w:r>
    </w:p>
    <w:p w:rsidR="003C150D" w:rsidRDefault="003C150D" w:rsidP="003C150D">
      <w:pPr>
        <w:pStyle w:val="af0"/>
      </w:pPr>
      <w:r>
        <w:rPr>
          <w:rFonts w:hint="cs"/>
          <w:rtl/>
        </w:rPr>
        <w:t>אנו מאמינים כי המשפחה והאומה מהווים מסגרת מרכזית לדו-הקיום שלנו וכי ערכי היסוד המלכדים שלנו הם נאמנות, אמונה ואהבה.</w:t>
      </w:r>
    </w:p>
    <w:p w:rsidR="003C150D" w:rsidRDefault="003C150D" w:rsidP="003C150D">
      <w:pPr>
        <w:pStyle w:val="af0"/>
      </w:pPr>
      <w:r>
        <w:rPr>
          <w:rFonts w:hint="cs"/>
          <w:rtl/>
        </w:rPr>
        <w:t>אנו מאמינים כי כוחה של הקהילה והכבוד לכל אדם מבוססים על העמל (</w:t>
      </w:r>
      <w:r>
        <w:rPr>
          <w:sz w:val="20"/>
          <w:szCs w:val="20"/>
        </w:rPr>
        <w:t>labour</w:t>
      </w:r>
      <w:r>
        <w:rPr>
          <w:rFonts w:hint="cs"/>
          <w:rtl/>
        </w:rPr>
        <w:t>), שהוא יציר של המוח האנושי.</w:t>
      </w:r>
    </w:p>
    <w:p w:rsidR="003C150D" w:rsidRDefault="003C150D" w:rsidP="003C150D">
      <w:pPr>
        <w:pStyle w:val="af0"/>
      </w:pPr>
      <w:r>
        <w:rPr>
          <w:rFonts w:hint="cs"/>
          <w:rtl/>
        </w:rPr>
        <w:t>אנו מאמינים כי יש לנו חובה כללית לעזור לפגיעים ולעניים.</w:t>
      </w:r>
    </w:p>
    <w:p w:rsidR="003C150D" w:rsidRDefault="003C150D" w:rsidP="003C150D">
      <w:pPr>
        <w:pStyle w:val="af0"/>
      </w:pPr>
      <w:r>
        <w:rPr>
          <w:rFonts w:hint="cs"/>
          <w:rtl/>
        </w:rPr>
        <w:t>אנו מאמינים כי מטרה משותפת של אזרחים ושל המדינה היא להשיג רווחה, ביטחון, בטיחות, סדר, צדק וחירות גדולים ככל הניתן.</w:t>
      </w:r>
    </w:p>
    <w:p w:rsidR="003C150D" w:rsidRDefault="003C150D" w:rsidP="003C150D">
      <w:pPr>
        <w:pStyle w:val="af0"/>
      </w:pPr>
      <w:r>
        <w:rPr>
          <w:rFonts w:hint="cs"/>
          <w:rtl/>
        </w:rPr>
        <w:t>אנו מאמינים כי דמוקרטיה יכולה להיות אפשרית רק אם המדינה משרתת את אזרחיה ומנהלת את ענייניהם באופן שוויוני, ללא דעה קדומה או שימוש לרעה.</w:t>
      </w:r>
    </w:p>
    <w:p w:rsidR="003C150D" w:rsidRDefault="003C150D" w:rsidP="003C150D">
      <w:pPr>
        <w:pStyle w:val="af0"/>
      </w:pPr>
      <w:r>
        <w:rPr>
          <w:rFonts w:hint="cs"/>
          <w:rtl/>
        </w:rPr>
        <w:t>אנו מכבדים את הישגי החוקה ההיסטורית שלנו ומכבדים את הכתר הקדוש, שמסמל את ההמשכיות של הונגריה כמדינה ואחדות הלאום.</w:t>
      </w:r>
    </w:p>
    <w:p w:rsidR="003C150D" w:rsidRDefault="003C150D" w:rsidP="003C150D">
      <w:pPr>
        <w:pStyle w:val="af0"/>
        <w:rPr>
          <w:rtl/>
        </w:rPr>
      </w:pPr>
      <w:r>
        <w:rPr>
          <w:rFonts w:hint="cs"/>
          <w:rtl/>
        </w:rPr>
        <w:t>אנו לא מכירים בהשעיה של ריבונותנו בשל כיבוש זר. אנו מכחישים כל טענת התיישנות בדבר פשעים לא אנושים שבוצעו כנגד האומה הגרמנית ואזרחיה תחת הדיקטטורות הנאציות (לאומנות סוציאליסטית) והקומוניסטית.</w:t>
      </w:r>
    </w:p>
    <w:p w:rsidR="003C150D" w:rsidRDefault="003C150D" w:rsidP="003C150D">
      <w:pPr>
        <w:pStyle w:val="af0"/>
        <w:rPr>
          <w:rtl/>
        </w:rPr>
      </w:pPr>
      <w:r>
        <w:rPr>
          <w:rFonts w:hint="cs"/>
          <w:rtl/>
        </w:rPr>
        <w:t>אנו לא מכירים בחוקה הקומוניסטית משנת 1949, מאחר והבסיס לה היה שלטון רודני ומצהירים כי היא בטלה.</w:t>
      </w:r>
    </w:p>
    <w:p w:rsidR="003C150D" w:rsidRDefault="003C150D" w:rsidP="003C150D">
      <w:pPr>
        <w:pStyle w:val="af0"/>
        <w:rPr>
          <w:rtl/>
        </w:rPr>
      </w:pPr>
      <w:r>
        <w:rPr>
          <w:rFonts w:hint="cs"/>
          <w:rtl/>
        </w:rPr>
        <w:t>אנו מסכימים עם החברים של הפרלמנט הראשון, שהצהירו כי חירותנו הנוכחית נובעת ממהפכת 1956.</w:t>
      </w:r>
    </w:p>
    <w:p w:rsidR="003C150D" w:rsidRDefault="003C150D" w:rsidP="003C150D">
      <w:pPr>
        <w:pStyle w:val="af0"/>
        <w:rPr>
          <w:rtl/>
        </w:rPr>
      </w:pPr>
      <w:r>
        <w:rPr>
          <w:rFonts w:hint="cs"/>
          <w:rtl/>
        </w:rPr>
        <w:t>אנו קובעים כי מועד חידוש ההגדרה העצמית של מדינתנו, שאבדה ב-19 למרץ 1944, הוא השני במאי 1990, כאשר הוקם גוף שנבחר בבחירות חופשיות. אנו סבורים כי תאריך זה הוא מועד התחילה של הדמוקרטיה החדשה והסדר החוקתי של מדינתנו.</w:t>
      </w:r>
    </w:p>
    <w:p w:rsidR="003C150D" w:rsidRDefault="003C150D" w:rsidP="003C150D">
      <w:pPr>
        <w:pStyle w:val="af0"/>
        <w:rPr>
          <w:rtl/>
        </w:rPr>
      </w:pPr>
      <w:r>
        <w:rPr>
          <w:rFonts w:hint="cs"/>
          <w:rtl/>
        </w:rPr>
        <w:t>אנו מאמינים כי לאחר העשורים של המאה העשרים שהובילו למצב של שחיתות מוסרית, נוצר צורך בהתחדשות רוחנית ואינטלקטואלית.</w:t>
      </w:r>
    </w:p>
    <w:p w:rsidR="003C150D" w:rsidRDefault="003C150D" w:rsidP="003C150D">
      <w:pPr>
        <w:pStyle w:val="af0"/>
        <w:rPr>
          <w:rtl/>
        </w:rPr>
      </w:pPr>
      <w:r>
        <w:rPr>
          <w:rFonts w:hint="cs"/>
          <w:rtl/>
        </w:rPr>
        <w:t>אנו שמים מבטחנו בעתיד שיעוצב יחדיו ובמחויבות הדורות הצעירים. אנו מאמינים כי ילדינו ונכדינו יהפכו את הונגריה לגדולה שוב באמצעות כישוריהם, התמדתם וכוחם המוסרי.</w:t>
      </w:r>
    </w:p>
    <w:p w:rsidR="003C150D" w:rsidRDefault="003C150D" w:rsidP="003C150D">
      <w:pPr>
        <w:pStyle w:val="af0"/>
        <w:rPr>
          <w:rtl/>
        </w:rPr>
      </w:pPr>
      <w:r>
        <w:rPr>
          <w:rFonts w:hint="cs"/>
          <w:rtl/>
        </w:rPr>
        <w:t>החוק הבסיסי שלנו יהיה הבסיס לסדר המשפטי שלנו; ברית בין העבר, ההווה והעתיד ההונגרים; מסגרת חיה המבטאת את רצון העם והצורה שבה אנו רוצים לחיות.</w:t>
      </w:r>
    </w:p>
    <w:p w:rsidR="003C150D" w:rsidRDefault="003C150D" w:rsidP="003C150D">
      <w:pPr>
        <w:pStyle w:val="af0"/>
        <w:rPr>
          <w:rtl/>
        </w:rPr>
      </w:pPr>
      <w:r>
        <w:rPr>
          <w:rFonts w:hint="cs"/>
          <w:rtl/>
        </w:rPr>
        <w:t>אנו, אזרחי הונגריה, מוכנים לקבוע את הסדר של ארצנו באמצעות המאמצים המשותפים של האומה."</w:t>
      </w:r>
    </w:p>
    <w:p w:rsidR="003C150D" w:rsidRDefault="003C150D" w:rsidP="00381DA5">
      <w:pPr>
        <w:pStyle w:val="a4"/>
        <w:rPr>
          <w:rtl/>
        </w:rPr>
      </w:pPr>
      <w:r>
        <w:rPr>
          <w:rFonts w:hint="cs"/>
          <w:rtl/>
        </w:rPr>
        <w:t>במסגרת ההערות הספציפיות בדוח ועדת ונציה הוקדש חלק לנושא המבוא לחוקה ההונגרית החדשה.</w:t>
      </w:r>
      <w:r>
        <w:rPr>
          <w:rStyle w:val="ac"/>
          <w:rtl/>
        </w:rPr>
        <w:footnoteReference w:id="61"/>
      </w:r>
      <w:r>
        <w:rPr>
          <w:rFonts w:hint="cs"/>
          <w:rtl/>
        </w:rPr>
        <w:t xml:space="preserve"> לפי מחברי הדוח, </w:t>
      </w:r>
      <w:r>
        <w:rPr>
          <w:rFonts w:hint="cs"/>
          <w:b/>
          <w:bCs/>
          <w:rtl/>
        </w:rPr>
        <w:t>התכלית המרכזית של מבוא לחוקה היא תכלית פוליטית</w:t>
      </w:r>
      <w:r>
        <w:rPr>
          <w:rFonts w:hint="cs"/>
          <w:rtl/>
        </w:rPr>
        <w:t xml:space="preserve">, וככזה הוא נועד להדגיש את עקרונות וערכי המדינה, כמו גם לספק </w:t>
      </w:r>
      <w:r>
        <w:rPr>
          <w:rFonts w:hint="cs"/>
          <w:b/>
          <w:bCs/>
          <w:rtl/>
        </w:rPr>
        <w:t>"ערבויות" לאוכלוסיית המדינה בדבר אופייה ומאפייניה</w:t>
      </w:r>
      <w:r>
        <w:rPr>
          <w:rFonts w:hint="cs"/>
          <w:rtl/>
        </w:rPr>
        <w:t>.</w:t>
      </w:r>
      <w:r>
        <w:rPr>
          <w:rFonts w:hint="cs"/>
          <w:rtl/>
        </w:rPr>
        <w:br/>
        <w:t>לאור זאת, לפי הדוח, ניתן להבין את הדגש שניתן במבוא על היסודות הלאומיים וההיסטוריים המשותפים בהונגריה, ובתוך כך גם הדגשת היסודות הנוצריים של המדינה. כמו כן, בדוח מצוין</w:t>
      </w:r>
      <w:r w:rsidR="00381DA5">
        <w:rPr>
          <w:rFonts w:hint="cs"/>
          <w:rtl/>
        </w:rPr>
        <w:t xml:space="preserve"> לחיוב הניסיון לאזן יסודות אלה </w:t>
      </w:r>
      <w:r>
        <w:rPr>
          <w:rFonts w:hint="cs"/>
          <w:rtl/>
        </w:rPr>
        <w:t>ב</w:t>
      </w:r>
      <w:r w:rsidR="00381DA5">
        <w:rPr>
          <w:rFonts w:hint="cs"/>
          <w:rtl/>
        </w:rPr>
        <w:t>אמצעות ה</w:t>
      </w:r>
      <w:r>
        <w:rPr>
          <w:rFonts w:hint="cs"/>
          <w:rtl/>
        </w:rPr>
        <w:t>אזכור החיובי של הרצון לשלב את התרבות ההונגרית במגוון החברתי באירופה, כיבוד תרבויות ולאומים אחרים וכן השאיפה לשיתוף פעולה עם אומות אחרות. יחד עם זאת, מכיוון שהוראות החוקה מתייחסות אליה כמכלול מבחינה פרשנית (לרבות חלקי המבוא),</w:t>
      </w:r>
      <w:r>
        <w:rPr>
          <w:rStyle w:val="ac"/>
          <w:rtl/>
        </w:rPr>
        <w:footnoteReference w:id="62"/>
      </w:r>
      <w:r>
        <w:rPr>
          <w:rFonts w:hint="cs"/>
          <w:rtl/>
        </w:rPr>
        <w:t xml:space="preserve"> הרי שלדעת המחברים </w:t>
      </w:r>
      <w:r>
        <w:rPr>
          <w:rFonts w:hint="cs"/>
          <w:b/>
          <w:bCs/>
          <w:rtl/>
        </w:rPr>
        <w:t>ראוי היה לנסח בצורה ברורה ומדויקת יותר חלקים במבוא כפי שמקובל לעשות עם טקסטים משפטיים אחרים</w:t>
      </w:r>
      <w:r>
        <w:rPr>
          <w:rFonts w:hint="cs"/>
          <w:rtl/>
        </w:rPr>
        <w:t>.</w:t>
      </w:r>
      <w:r>
        <w:rPr>
          <w:rStyle w:val="ac"/>
          <w:rtl/>
        </w:rPr>
        <w:footnoteReference w:id="63"/>
      </w:r>
      <w:r>
        <w:rPr>
          <w:rFonts w:hint="cs"/>
          <w:rtl/>
        </w:rPr>
        <w:t xml:space="preserve"> בדוח מצוינות כמה </w:t>
      </w:r>
      <w:r>
        <w:rPr>
          <w:rFonts w:hint="cs"/>
          <w:b/>
          <w:bCs/>
          <w:rtl/>
        </w:rPr>
        <w:t>נקודות ספציפיות במבוא שעלולות לעורר קושי</w:t>
      </w:r>
      <w:r>
        <w:rPr>
          <w:rFonts w:hint="cs"/>
          <w:rtl/>
        </w:rPr>
        <w:t>, וביניהן:</w:t>
      </w:r>
    </w:p>
    <w:p w:rsidR="003C150D" w:rsidRDefault="003C150D" w:rsidP="003C150D">
      <w:pPr>
        <w:pStyle w:val="a4"/>
        <w:numPr>
          <w:ilvl w:val="0"/>
          <w:numId w:val="26"/>
        </w:numPr>
        <w:rPr>
          <w:rtl/>
        </w:rPr>
      </w:pPr>
      <w:r>
        <w:rPr>
          <w:rFonts w:hint="cs"/>
          <w:b/>
          <w:bCs/>
          <w:u w:val="single"/>
          <w:rtl/>
        </w:rPr>
        <w:t>ההצהרה בדבר חוסר ההכרה בחוקה הקומוניסטית משנת 1949</w:t>
      </w:r>
      <w:r>
        <w:rPr>
          <w:rFonts w:hint="cs"/>
          <w:rtl/>
        </w:rPr>
        <w:t xml:space="preserve">: לפי הדוח, אם הצהרה זו לא נוסחה כהצהרה פוליטית גרידא במבוא, אלא במטרה שיהיו לה השלכות משפטיות, הרי שהחוקה הקומוניסטית עלולה להיחשב בטלה </w:t>
      </w:r>
      <w:r>
        <w:t>ex tunc</w:t>
      </w:r>
      <w:r>
        <w:rPr>
          <w:rFonts w:hint="cs"/>
          <w:rtl/>
        </w:rPr>
        <w:t xml:space="preserve"> (מלכתחילה). כתוצאה מכך, בטלותה עשויה להביא גם לבטלות של כל דברי החקיקה שנקבעו מכוחה, לפגיעה בהלכות הפסוקות של בית המשפט החוקתי ההונגרי שהתבססו על החוקה משנת 1949, וכן לפגיעה במבנים החוקתיים של מוסדות השלטון ההונגרי. לפי הדוח, אם לעומת זאת ההצהרה פוליטית בלבד ונועדה להפריד בין המשטר הקומוניסטי הישן ובין המשטר הנוכחי הרי שאין לה השלכות מסוג זה. לפי מחברי הדוח, ניתן למצוא יסודות פרשניים לגישה השנייה במבוא (בכל אותם החלקים שעוסקים במועד השבת ההגדרה העצמית החופשית של הונגריה) וכן מהשיחות שנערכו בין המחברים ובין השלטונות ההונגריים. יחד עם זאת, ראוי היה להקפיד על נוסח ברור יותר בהקשר זה.</w:t>
      </w:r>
    </w:p>
    <w:p w:rsidR="003C150D" w:rsidRDefault="003C150D" w:rsidP="003C150D">
      <w:pPr>
        <w:pStyle w:val="a4"/>
        <w:numPr>
          <w:ilvl w:val="0"/>
          <w:numId w:val="26"/>
        </w:numPr>
      </w:pPr>
      <w:r>
        <w:rPr>
          <w:rFonts w:hint="cs"/>
          <w:b/>
          <w:bCs/>
          <w:u w:val="single"/>
          <w:rtl/>
        </w:rPr>
        <w:t>הגדרת ערכים משותפים</w:t>
      </w:r>
      <w:r>
        <w:rPr>
          <w:rFonts w:hint="cs"/>
          <w:rtl/>
        </w:rPr>
        <w:t xml:space="preserve">: לפי הדוח, אומנם מקובל בפרקי מבוא להגדיר ערכים לאומיים משותפים. יחד עם זאת, </w:t>
      </w:r>
      <w:r>
        <w:rPr>
          <w:rFonts w:hint="cs"/>
          <w:b/>
          <w:bCs/>
          <w:rtl/>
        </w:rPr>
        <w:t>ראוי להימנע מהגדרתם (או קביעתם) של ערכים שיש להם תפיסות והצדקות שונות בחברה</w:t>
      </w:r>
      <w:r>
        <w:rPr>
          <w:rFonts w:hint="cs"/>
          <w:rtl/>
        </w:rPr>
        <w:t>.</w:t>
      </w:r>
      <w:r>
        <w:rPr>
          <w:rStyle w:val="ac"/>
          <w:rtl/>
        </w:rPr>
        <w:footnoteReference w:id="64"/>
      </w:r>
      <w:r>
        <w:rPr>
          <w:rFonts w:hint="cs"/>
          <w:rtl/>
        </w:rPr>
        <w:t xml:space="preserve"> לפי הדוח, ערכים אלה צריכים להיקבע במסגרת של </w:t>
      </w:r>
      <w:r>
        <w:rPr>
          <w:rFonts w:hint="cs"/>
          <w:b/>
          <w:bCs/>
          <w:rtl/>
        </w:rPr>
        <w:t>דיון חברתי ובהליכים דמוקרטיים ומתוך כבוד לזכויות אדם והתחייבויות בינלאומיות</w:t>
      </w:r>
      <w:r>
        <w:rPr>
          <w:rFonts w:hint="cs"/>
          <w:rtl/>
        </w:rPr>
        <w:t>.</w:t>
      </w:r>
      <w:r>
        <w:rPr>
          <w:rStyle w:val="ac"/>
          <w:rtl/>
        </w:rPr>
        <w:footnoteReference w:id="65"/>
      </w:r>
      <w:r>
        <w:rPr>
          <w:rFonts w:hint="cs"/>
          <w:rtl/>
        </w:rPr>
        <w:t xml:space="preserve"> </w:t>
      </w:r>
    </w:p>
    <w:p w:rsidR="003C150D" w:rsidRDefault="003C150D" w:rsidP="003C150D">
      <w:pPr>
        <w:pStyle w:val="a4"/>
        <w:numPr>
          <w:ilvl w:val="0"/>
          <w:numId w:val="26"/>
        </w:numPr>
      </w:pPr>
      <w:r>
        <w:rPr>
          <w:rFonts w:hint="cs"/>
          <w:b/>
          <w:bCs/>
          <w:u w:val="single"/>
          <w:rtl/>
        </w:rPr>
        <w:t>הגדרות טריטוריאליות ויחסי שכנות טובים עם מדינות אחרות ובני לאומים אחרים</w:t>
      </w:r>
      <w:r>
        <w:rPr>
          <w:rFonts w:hint="cs"/>
          <w:rtl/>
        </w:rPr>
        <w:t xml:space="preserve">: לפי הדוח, על מנסחי חוקות </w:t>
      </w:r>
      <w:r>
        <w:rPr>
          <w:rFonts w:hint="cs"/>
          <w:b/>
          <w:bCs/>
          <w:rtl/>
        </w:rPr>
        <w:t>להימנע מהגדרות או מניסוחים חוץ-טריטוריאליים שעלולים להביא לעוינות מצד מדינות שכנות</w:t>
      </w:r>
      <w:r>
        <w:rPr>
          <w:rFonts w:hint="cs"/>
          <w:rtl/>
        </w:rPr>
        <w:t>.</w:t>
      </w:r>
      <w:r>
        <w:rPr>
          <w:rStyle w:val="ac"/>
          <w:rtl/>
        </w:rPr>
        <w:footnoteReference w:id="66"/>
      </w:r>
      <w:r>
        <w:rPr>
          <w:rFonts w:hint="cs"/>
          <w:rtl/>
        </w:rPr>
        <w:t xml:space="preserve"> כך, לפי הדוח, חלק מההצהרות במבוא מבחינות בין האומה ההונגרית בהונגריה ובין לאומים אחרים שחיים בהונגריה, כמו גם קובעות הפניות לבני הלאום ההונגרי שחיים במדינות אחרות. לדעת המחברים, </w:t>
      </w:r>
      <w:r>
        <w:rPr>
          <w:rFonts w:hint="cs"/>
          <w:b/>
          <w:bCs/>
          <w:rtl/>
        </w:rPr>
        <w:t>פרשנות מרחיבה של הצהרות אלה ושל האחריות הנגזרת של הונגריה כתוצאה מהצהרות אלה, עלולה לפגוע ביחסים בין מדינות ואף ליצור מתחים אתניים</w:t>
      </w:r>
      <w:r>
        <w:rPr>
          <w:rFonts w:hint="cs"/>
          <w:rtl/>
        </w:rPr>
        <w:t>.</w:t>
      </w:r>
      <w:r>
        <w:rPr>
          <w:rStyle w:val="ac"/>
          <w:rtl/>
        </w:rPr>
        <w:footnoteReference w:id="67"/>
      </w:r>
    </w:p>
    <w:p w:rsidR="003C150D" w:rsidRDefault="003C150D" w:rsidP="003C150D">
      <w:pPr>
        <w:pStyle w:val="a4"/>
        <w:numPr>
          <w:ilvl w:val="0"/>
          <w:numId w:val="26"/>
        </w:numPr>
      </w:pPr>
      <w:r>
        <w:rPr>
          <w:rFonts w:hint="cs"/>
          <w:b/>
          <w:bCs/>
          <w:u w:val="single"/>
          <w:rtl/>
        </w:rPr>
        <w:t>הריבון או בשם מי החוקה נקבעת</w:t>
      </w:r>
      <w:r>
        <w:rPr>
          <w:rFonts w:hint="cs"/>
          <w:rtl/>
        </w:rPr>
        <w:t xml:space="preserve">: אומנם, בחוקה יש התייחסות גם לבני לאומים אחרים שחיים בהונגריה, אולם הפסקה הפותחת של המבוא, אשר מצהירה על זהות הגורם שבשמו החוקה נקבעת, מתייחסת אך ורק לאומה ההונגרית. לפי הדוח, </w:t>
      </w:r>
      <w:r>
        <w:rPr>
          <w:rFonts w:hint="cs"/>
          <w:b/>
          <w:bCs/>
          <w:rtl/>
        </w:rPr>
        <w:t>ראוי וניתן היה לבחור בנוסח אחר שיבטא את השותפות של כל אזרחי המדינה</w:t>
      </w:r>
      <w:r>
        <w:rPr>
          <w:rFonts w:hint="cs"/>
          <w:rtl/>
        </w:rPr>
        <w:t xml:space="preserve">. זאת, בין היתר, </w:t>
      </w:r>
      <w:r>
        <w:rPr>
          <w:rFonts w:hint="cs"/>
          <w:b/>
          <w:bCs/>
          <w:rtl/>
        </w:rPr>
        <w:t>מכיוון שקביעת החוקה צריכה להיעשות כביטוי של הרצון הדמוקרטי של כלל אזרחי המדינה ולא רק קבוצה אתנית דומיננטית אחת</w:t>
      </w:r>
      <w:r>
        <w:rPr>
          <w:rFonts w:hint="cs"/>
          <w:rtl/>
        </w:rPr>
        <w:t>.</w:t>
      </w:r>
      <w:r>
        <w:rPr>
          <w:rStyle w:val="ac"/>
          <w:rtl/>
        </w:rPr>
        <w:footnoteReference w:id="68"/>
      </w:r>
    </w:p>
    <w:p w:rsidR="003C150D" w:rsidRDefault="003C150D" w:rsidP="003C150D">
      <w:pPr>
        <w:pStyle w:val="a4"/>
      </w:pPr>
      <w:r>
        <w:rPr>
          <w:rFonts w:hint="cs"/>
          <w:rtl/>
        </w:rPr>
        <w:t xml:space="preserve">יודגש, כי למרות הערות אלה, </w:t>
      </w:r>
      <w:r>
        <w:rPr>
          <w:rFonts w:hint="cs"/>
          <w:b/>
          <w:bCs/>
          <w:rtl/>
        </w:rPr>
        <w:t>החוקה והמבוא נותרו כפי שהם מבלי שנעשו בהם תיקונים כלשהם</w:t>
      </w:r>
      <w:r>
        <w:rPr>
          <w:rFonts w:hint="cs"/>
          <w:rtl/>
        </w:rPr>
        <w:t xml:space="preserve">. כמו כן, ככל הנראה לדוח האמור </w:t>
      </w:r>
      <w:r>
        <w:rPr>
          <w:rFonts w:hint="cs"/>
          <w:b/>
          <w:bCs/>
          <w:rtl/>
        </w:rPr>
        <w:t>לא הייתה השפעה ממשית על הונגריה, ובפרט לא הייתה השפעה על השיח הציבורי במדינה, או על פעילות הממשלה</w:t>
      </w:r>
      <w:r>
        <w:rPr>
          <w:rFonts w:hint="cs"/>
          <w:rtl/>
        </w:rPr>
        <w:t>.</w:t>
      </w:r>
      <w:r>
        <w:rPr>
          <w:rStyle w:val="ac"/>
          <w:rtl/>
        </w:rPr>
        <w:footnoteReference w:id="69"/>
      </w:r>
    </w:p>
    <w:p w:rsidR="003C150D" w:rsidRDefault="003C150D" w:rsidP="003C150D">
      <w:pPr>
        <w:pStyle w:val="a4"/>
        <w:rPr>
          <w:rtl/>
        </w:rPr>
      </w:pPr>
    </w:p>
    <w:p w:rsidR="003C150D" w:rsidRDefault="003C150D" w:rsidP="003C150D">
      <w:pPr>
        <w:pStyle w:val="11"/>
        <w:numPr>
          <w:ilvl w:val="1"/>
          <w:numId w:val="22"/>
        </w:numPr>
        <w:ind w:right="0"/>
        <w:rPr>
          <w:rtl/>
        </w:rPr>
      </w:pPr>
      <w:r>
        <w:rPr>
          <w:rFonts w:hint="cs"/>
          <w:rtl/>
        </w:rPr>
        <w:t>צ'כיה</w:t>
      </w:r>
    </w:p>
    <w:p w:rsidR="003C150D" w:rsidRDefault="003C150D" w:rsidP="003C150D">
      <w:pPr>
        <w:pStyle w:val="a4"/>
        <w:rPr>
          <w:rtl/>
        </w:rPr>
      </w:pPr>
      <w:r>
        <w:rPr>
          <w:rFonts w:hint="cs"/>
          <w:rtl/>
        </w:rPr>
        <w:t>המבוא לחוקת צ'כיה (</w:t>
      </w:r>
      <w:r>
        <w:t>Ústava České republiky</w:t>
      </w:r>
      <w:r>
        <w:rPr>
          <w:rFonts w:hint="cs"/>
          <w:szCs w:val="22"/>
          <w:rtl/>
        </w:rPr>
        <w:t xml:space="preserve">, </w:t>
      </w:r>
      <w:r>
        <w:rPr>
          <w:rFonts w:hint="cs"/>
          <w:rtl/>
        </w:rPr>
        <w:t>להלן – החוקה הצ'כית),</w:t>
      </w:r>
      <w:r>
        <w:rPr>
          <w:rStyle w:val="ac"/>
          <w:rtl/>
        </w:rPr>
        <w:footnoteReference w:id="70"/>
      </w:r>
      <w:r>
        <w:rPr>
          <w:rFonts w:hint="cs"/>
          <w:rtl/>
        </w:rPr>
        <w:t xml:space="preserve"> קובע כדלקמן:</w:t>
      </w:r>
      <w:r>
        <w:rPr>
          <w:rStyle w:val="ac"/>
          <w:rtl/>
        </w:rPr>
        <w:footnoteReference w:id="71"/>
      </w:r>
    </w:p>
    <w:p w:rsidR="003C150D" w:rsidRDefault="003C150D" w:rsidP="003C150D">
      <w:pPr>
        <w:pStyle w:val="af0"/>
        <w:rPr>
          <w:rtl/>
        </w:rPr>
      </w:pPr>
      <w:r>
        <w:rPr>
          <w:rFonts w:hint="cs"/>
          <w:rtl/>
        </w:rPr>
        <w:t>"אנו, אזרחי הרפובליקה הצ'כית בבוהמיה, מורביה וסילסיה, במועד השבת העצמאות למדינה הצ'כית, מתוך אמונה במסורות הטובות של הקיום המדיני ארוך הטווח באדמות הכתר הצ'כי וצ'כוסלובקיה, נחושים לבנות, לשמור ולפתח את הרפובליקה הצ'כית ברוח קדושת כבוד האדם והחירות, בהיותה המולדת של אזרחים חופשיים אשר נהנים מזכויות שוות, מודעים לחובותיהם כלפי אחרים ואחריותם כלפי הקהילה, כמדינה חופשית ודמוקרטית שהוקמה על יסוד הכבוד לזכויות אדם ועל עקרונות החברה האזרחית, כחלק ממשפחת הדמוקרטיות של אירופה וברחבי העולם, נחושים לשמור ולפתח יחדיו את העושר התרבותי, הממשי והרוחני שניתן לנו, נחושים לציית לכל העקרונות המוכחים של מדינה הנשלטת בידי שלטון חוק, באמצעות נציגינו שנבחרו באופן חופשי, מאמצים את החוקה של הרפובליקה הצ'כית."</w:t>
      </w:r>
    </w:p>
    <w:p w:rsidR="003C150D" w:rsidRDefault="003C150D" w:rsidP="003C150D">
      <w:pPr>
        <w:pStyle w:val="a4"/>
        <w:rPr>
          <w:rtl/>
        </w:rPr>
      </w:pPr>
      <w:r>
        <w:rPr>
          <w:rFonts w:hint="cs"/>
          <w:rtl/>
        </w:rPr>
        <w:t xml:space="preserve">ככלל, המבוא לחוקה בצ'כיה </w:t>
      </w:r>
      <w:r>
        <w:rPr>
          <w:rFonts w:hint="cs"/>
          <w:b/>
          <w:bCs/>
          <w:rtl/>
        </w:rPr>
        <w:t>לא נחשב כבעל כהשפעה נורמטיבית</w:t>
      </w:r>
      <w:r>
        <w:rPr>
          <w:rFonts w:hint="cs"/>
          <w:rtl/>
        </w:rPr>
        <w:t xml:space="preserve"> (</w:t>
      </w:r>
      <w:r>
        <w:t>direct normative nature</w:t>
      </w:r>
      <w:r>
        <w:rPr>
          <w:rFonts w:hint="cs"/>
          <w:rtl/>
        </w:rPr>
        <w:t xml:space="preserve">). יחד עם זאת, הוא כן נחשב כבעל חשיבות פוליטית ופרשנית ומהווה מעין הצהרה מקדמית שנועדה </w:t>
      </w:r>
      <w:r>
        <w:rPr>
          <w:rFonts w:hint="cs"/>
          <w:b/>
          <w:bCs/>
          <w:rtl/>
        </w:rPr>
        <w:t>להבליט את המורשת המדינית בשטחי צ'כיה השונים ולגלם התחייבויות חוקתיות שונות של המדינה ושל אזרחיה</w:t>
      </w:r>
      <w:r>
        <w:rPr>
          <w:rFonts w:hint="cs"/>
          <w:rtl/>
        </w:rPr>
        <w:t>.</w:t>
      </w:r>
      <w:r>
        <w:rPr>
          <w:rStyle w:val="ac"/>
          <w:rtl/>
        </w:rPr>
        <w:footnoteReference w:id="72"/>
      </w:r>
      <w:r>
        <w:rPr>
          <w:rFonts w:hint="cs"/>
          <w:rtl/>
        </w:rPr>
        <w:t xml:space="preserve"> כך, בין היתר, המבוא לחוקה הצ'כית מגדיר את צ'כיה כמדינה </w:t>
      </w:r>
      <w:r>
        <w:rPr>
          <w:rFonts w:hint="cs"/>
          <w:b/>
          <w:bCs/>
          <w:rtl/>
        </w:rPr>
        <w:t>עצמאית, מאוחדת, דמוקרטית ומבוססת על שלטון החוק שמבטיחה זכויות וחירויות לאינדיבידואלים ולאזרחים כאחד</w:t>
      </w:r>
      <w:r>
        <w:rPr>
          <w:rFonts w:hint="cs"/>
          <w:rtl/>
        </w:rPr>
        <w:t xml:space="preserve"> (התחייבויות אלה אף מקבלות ביטוי בגוף החוקה בדמות מגילת זכויות אדם ומנגנונים חוקתיים שונים נוספים). כל אלה באים לידי ביטוי במבוא באמצעות שימוש במנגנונים ניסוחיים ותוכניים, כגון: השימוש במילים "אזרחי הרפובליקה הצ'כית" כדי להדגיש את השותפות של </w:t>
      </w:r>
      <w:r>
        <w:rPr>
          <w:rFonts w:hint="cs"/>
          <w:b/>
          <w:bCs/>
          <w:rtl/>
        </w:rPr>
        <w:t>כל</w:t>
      </w:r>
      <w:r>
        <w:rPr>
          <w:rFonts w:hint="cs"/>
          <w:rtl/>
        </w:rPr>
        <w:t xml:space="preserve"> אזרחי הרפובליקה, לרבות בני לאומים אחרים, הבטחת עקרונות היסוד הדמוקרטיים של המדינה (היותה "חופשית ודמוקרטית", מבוססת על "עקרונות החברה האזרחית" ועוד).</w:t>
      </w:r>
      <w:r>
        <w:rPr>
          <w:rStyle w:val="ac"/>
          <w:rtl/>
        </w:rPr>
        <w:footnoteReference w:id="73"/>
      </w:r>
      <w:r>
        <w:rPr>
          <w:rFonts w:hint="cs"/>
          <w:rtl/>
        </w:rPr>
        <w:t xml:space="preserve"> </w:t>
      </w:r>
    </w:p>
    <w:p w:rsidR="003C150D" w:rsidRDefault="003C150D" w:rsidP="003C150D">
      <w:pPr>
        <w:pStyle w:val="a4"/>
        <w:rPr>
          <w:rtl/>
        </w:rPr>
      </w:pPr>
    </w:p>
    <w:p w:rsidR="003C150D" w:rsidRDefault="003C150D" w:rsidP="003C150D">
      <w:pPr>
        <w:pStyle w:val="11"/>
        <w:keepNext/>
        <w:keepLines/>
        <w:numPr>
          <w:ilvl w:val="1"/>
          <w:numId w:val="22"/>
        </w:numPr>
        <w:ind w:right="0"/>
        <w:rPr>
          <w:rtl/>
        </w:rPr>
      </w:pPr>
      <w:r>
        <w:rPr>
          <w:rFonts w:hint="cs"/>
          <w:rtl/>
        </w:rPr>
        <w:t>יוון</w:t>
      </w:r>
    </w:p>
    <w:p w:rsidR="003C150D" w:rsidRDefault="003C150D" w:rsidP="003C150D">
      <w:pPr>
        <w:pStyle w:val="a4"/>
        <w:rPr>
          <w:rtl/>
        </w:rPr>
      </w:pPr>
      <w:r>
        <w:rPr>
          <w:rFonts w:hint="cs"/>
          <w:rtl/>
        </w:rPr>
        <w:t>המבוא לחוקת יוון הוא אחד המבואות הקצרים ביותר בעולם המודרני,</w:t>
      </w:r>
      <w:r>
        <w:rPr>
          <w:rStyle w:val="ac"/>
          <w:rtl/>
        </w:rPr>
        <w:footnoteReference w:id="74"/>
      </w:r>
      <w:r>
        <w:rPr>
          <w:rFonts w:hint="cs"/>
          <w:rtl/>
        </w:rPr>
        <w:t xml:space="preserve"> והוא קובע כדלקמן:</w:t>
      </w:r>
    </w:p>
    <w:p w:rsidR="003C150D" w:rsidRDefault="003C150D" w:rsidP="003C150D">
      <w:pPr>
        <w:pStyle w:val="af0"/>
        <w:rPr>
          <w:rtl/>
        </w:rPr>
      </w:pPr>
      <w:r>
        <w:rPr>
          <w:rFonts w:hint="cs"/>
          <w:rtl/>
        </w:rPr>
        <w:t>"הפרלמנט מאשר את החוקה בשם השילוש הקדוש"</w:t>
      </w:r>
      <w:r>
        <w:rPr>
          <w:rFonts w:hint="cs"/>
          <w:b w:val="0"/>
          <w:bCs w:val="0"/>
          <w:rtl/>
        </w:rPr>
        <w:t>.</w:t>
      </w:r>
      <w:r>
        <w:rPr>
          <w:rStyle w:val="ac"/>
          <w:b w:val="0"/>
          <w:bCs w:val="0"/>
          <w:rtl/>
        </w:rPr>
        <w:footnoteReference w:id="75"/>
      </w:r>
      <w:r>
        <w:rPr>
          <w:rFonts w:hint="cs"/>
          <w:sz w:val="24"/>
          <w:szCs w:val="24"/>
          <w:rtl/>
        </w:rPr>
        <w:t xml:space="preserve"> </w:t>
      </w:r>
    </w:p>
    <w:p w:rsidR="003C150D" w:rsidRDefault="003C150D" w:rsidP="009430EA">
      <w:pPr>
        <w:pStyle w:val="a4"/>
        <w:rPr>
          <w:rtl/>
        </w:rPr>
      </w:pPr>
      <w:r>
        <w:rPr>
          <w:rFonts w:hint="cs"/>
          <w:rtl/>
        </w:rPr>
        <w:t xml:space="preserve">המבוא האמור זהה לנוסח של המבוא לחוקה משנת 1844 ובפועל הוא היה קיים בכל הנוסחים של החוקה היוונית בעידן המודרני. </w:t>
      </w:r>
      <w:r>
        <w:rPr>
          <w:rFonts w:hint="cs"/>
          <w:b/>
          <w:bCs/>
          <w:rtl/>
        </w:rPr>
        <w:t>"מקור הסמכות" לכינון החוקה בחוקה היוונית הוא "השילוש הקדוש" ואלמנטים דתיים שונים מהווים נדבך מרכזי לא רק במבוא לחוקה, אלא גם בחוקה עצמה</w:t>
      </w:r>
      <w:r>
        <w:rPr>
          <w:rFonts w:hint="cs"/>
          <w:rtl/>
        </w:rPr>
        <w:t>. דוגמה מרכזית לכך, מצויה בסעיפים 3 ו-13 לחוקה היוונית שאומנם קובעים חירות דתית מחד, אך גם מעגנים את הכנסייה האורתודוכסית כדת השלטת במדינה (</w:t>
      </w:r>
      <w:r>
        <w:t>The prevailing religion in Greece</w:t>
      </w:r>
      <w:r>
        <w:rPr>
          <w:rFonts w:hint="cs"/>
          <w:rtl/>
        </w:rPr>
        <w:t xml:space="preserve">) מאידך. כל אלה מעידים על </w:t>
      </w:r>
      <w:r>
        <w:rPr>
          <w:rFonts w:hint="cs"/>
          <w:b/>
          <w:bCs/>
          <w:rtl/>
        </w:rPr>
        <w:t>ההשפעה המרכזית של הדת ביוון על היבטים שונים בחוקה היוונית, אך לא מייצרים זכויות עצמאיות ברות אכיפה מכוח המבוא לבדו</w:t>
      </w:r>
      <w:r>
        <w:rPr>
          <w:rFonts w:hint="cs"/>
          <w:rtl/>
        </w:rPr>
        <w:t>.</w:t>
      </w:r>
      <w:r>
        <w:rPr>
          <w:rStyle w:val="ac"/>
          <w:rtl/>
        </w:rPr>
        <w:footnoteReference w:id="76"/>
      </w:r>
      <w:r>
        <w:rPr>
          <w:rFonts w:hint="cs"/>
          <w:rtl/>
        </w:rPr>
        <w:t xml:space="preserve"> </w:t>
      </w:r>
    </w:p>
    <w:p w:rsidR="003C150D" w:rsidRDefault="003C150D" w:rsidP="003C150D">
      <w:pPr>
        <w:pStyle w:val="a4"/>
        <w:rPr>
          <w:rtl/>
        </w:rPr>
      </w:pPr>
    </w:p>
    <w:p w:rsidR="003C150D" w:rsidRDefault="003C150D" w:rsidP="003C150D">
      <w:pPr>
        <w:pStyle w:val="11"/>
        <w:numPr>
          <w:ilvl w:val="1"/>
          <w:numId w:val="22"/>
        </w:numPr>
        <w:ind w:right="0"/>
        <w:rPr>
          <w:rtl/>
        </w:rPr>
      </w:pPr>
      <w:r>
        <w:rPr>
          <w:rFonts w:hint="cs"/>
          <w:rtl/>
        </w:rPr>
        <w:t>פולין</w:t>
      </w:r>
    </w:p>
    <w:p w:rsidR="003C150D" w:rsidRDefault="003C150D" w:rsidP="003C150D">
      <w:pPr>
        <w:pStyle w:val="a4"/>
        <w:keepNext/>
        <w:keepLines/>
      </w:pPr>
      <w:r>
        <w:rPr>
          <w:rFonts w:hint="cs"/>
          <w:rtl/>
        </w:rPr>
        <w:t>המבוא לחוקת פולין קובע כדלקמן:</w:t>
      </w:r>
      <w:r>
        <w:rPr>
          <w:rStyle w:val="ac"/>
          <w:rtl/>
        </w:rPr>
        <w:footnoteReference w:id="77"/>
      </w:r>
    </w:p>
    <w:p w:rsidR="003C150D" w:rsidRDefault="003C150D" w:rsidP="003C150D">
      <w:pPr>
        <w:pStyle w:val="af0"/>
        <w:rPr>
          <w:rtl/>
        </w:rPr>
      </w:pPr>
      <w:r>
        <w:rPr>
          <w:rFonts w:hint="cs"/>
          <w:rtl/>
        </w:rPr>
        <w:t>"בהתייחס לעתידה ולקיומה של מולדתנו, שקיבלה בשנת 1989 את האפשרות להגדרה עצמית ודמוקרטית של עתידה, אנו, האומה הפולנית, כל אזרחי הרפובליקה, הן אלה שמאמינים באל כמקור לאמת, צדק, טוב ויופי, כמו גם אלה שלא חולקים באמונה שכזו, אך מכבדים ערכים אוניברסליים שנובעים ממקורות אחרים, שווים בזכויות ובחובות לטובת הטוב המשותף – פולין, אנו חבים תודה לאבותינו על עבודתם, על מאבקם לעצמאות שהושג בהקרבה גדולה, על תרבותנו המושרשת במורשת הנוצרית של האומה ובערכים אנושיים אוניברסליים,</w:t>
      </w:r>
    </w:p>
    <w:p w:rsidR="003C150D" w:rsidRDefault="003C150D" w:rsidP="003C150D">
      <w:pPr>
        <w:pStyle w:val="af0"/>
        <w:rPr>
          <w:rtl/>
        </w:rPr>
      </w:pPr>
      <w:r>
        <w:rPr>
          <w:rFonts w:hint="cs"/>
          <w:rtl/>
        </w:rPr>
        <w:t>מתוך התייחסות למסורות הטובות ביותר של הרפובליקה הראשונה והשנייה, ומחויבות להוריש לדורות העתיד כל מה שיקר ערך ממורשתנו בת אלף השנים. כרוכים בקהילה עם בני ארצנו המפוזרים ברחבי העולם, מודעים לצורך בשיתוף פעולה עם כל המדינות לטובת משפחת העמים, מודעים לניסיון המר כאשר זכויות בסיסיות וזכויות אדם הופרו במולדתנו, מתוך רצון להבטיח את זכויותיהם של כל האזרחים בכל זמן ולהבטיח חריצות ויעילות בעבודת גופים ציבוריים, מתוך הכרה באחריות בפני האל ובפני מצפוננו, אנו מכוננים את החוקה של הרפובליקה של פולין והחוק הבסיסי של המדינה, על בסיס כבוד לחירות ולצדק, שיתוף פעולה בין כוחות ציבוריים, דיאלוג חברתי והעיקרון של סובסידיאריות (</w:t>
      </w:r>
      <w:r>
        <w:rPr>
          <w:rFonts w:cs="Times New Roman"/>
          <w:color w:val="000000"/>
          <w:sz w:val="20"/>
          <w:szCs w:val="20"/>
        </w:rPr>
        <w:t>subsidiarity</w:t>
      </w:r>
      <w:r>
        <w:rPr>
          <w:rFonts w:ascii="Arial" w:hAnsi="Arial" w:cs="Arial"/>
          <w:color w:val="000000"/>
          <w:sz w:val="20"/>
          <w:szCs w:val="20"/>
          <w:rtl/>
        </w:rPr>
        <w:t xml:space="preserve">) </w:t>
      </w:r>
      <w:r>
        <w:rPr>
          <w:rFonts w:hint="cs"/>
          <w:rtl/>
        </w:rPr>
        <w:t>בחיזוק אזרחים והקהילה.</w:t>
      </w:r>
    </w:p>
    <w:p w:rsidR="003C150D" w:rsidRDefault="003C150D" w:rsidP="003C150D">
      <w:pPr>
        <w:pStyle w:val="af0"/>
        <w:rPr>
          <w:sz w:val="20"/>
          <w:szCs w:val="20"/>
          <w:rtl/>
        </w:rPr>
      </w:pPr>
      <w:r>
        <w:rPr>
          <w:rFonts w:hint="cs"/>
          <w:rtl/>
        </w:rPr>
        <w:t>אנו קוראים לכל אלה שיישמו את החוקה הזו לפעול לטובת הרפובליקה השלישית, מתוך כבוד לכבוד האדם, זכויותיו לחירות, מחויבות לסולידריות עם אחרים וכבוד לכל העקרונות הללו כאל יסודות בלתי מעורערים של הרפובליקה של פולין."</w:t>
      </w:r>
    </w:p>
    <w:p w:rsidR="003C150D" w:rsidRDefault="003C150D" w:rsidP="009430EA">
      <w:pPr>
        <w:pStyle w:val="a4"/>
        <w:rPr>
          <w:rtl/>
          <w:lang w:eastAsia="he-IL"/>
        </w:rPr>
      </w:pPr>
      <w:r>
        <w:rPr>
          <w:rFonts w:hint="cs"/>
          <w:rtl/>
          <w:lang w:eastAsia="he-IL"/>
        </w:rPr>
        <w:t xml:space="preserve">המבוא הנוכחי לחוקה הפולנית </w:t>
      </w:r>
      <w:r>
        <w:rPr>
          <w:rFonts w:hint="cs"/>
          <w:b/>
          <w:bCs/>
          <w:rtl/>
          <w:lang w:eastAsia="he-IL"/>
        </w:rPr>
        <w:t>הוא תולדה של דיונים ציבוריים רבים שקדמו לגיבושו ולאישורו בסופו של יום במשאל עם</w:t>
      </w:r>
      <w:r>
        <w:rPr>
          <w:rFonts w:hint="cs"/>
          <w:rtl/>
          <w:lang w:eastAsia="he-IL"/>
        </w:rPr>
        <w:t>.</w:t>
      </w:r>
      <w:r>
        <w:rPr>
          <w:rFonts w:hint="cs"/>
          <w:b/>
          <w:bCs/>
          <w:rtl/>
          <w:lang w:eastAsia="he-IL"/>
        </w:rPr>
        <w:t xml:space="preserve"> </w:t>
      </w:r>
      <w:r>
        <w:rPr>
          <w:rFonts w:hint="cs"/>
          <w:rtl/>
          <w:lang w:eastAsia="he-IL"/>
        </w:rPr>
        <w:t>יודגש, כי במהלך דיונים אלה נדרשו פשרות שונות בין עמדות ותפיסות עולם לאומיות-אתניות-דתיות ובין עמדות ותפיסות עולם ליברליות יותר. הלכה למעשה, ניתן לזהות פשרות רבות במאפיינים שונים של המבוא, וביניהן: זהות מקור הסמכות לכינון החוקה (השימוש במונח "כל אזרחי פולין" ולא במונח הלאומי "האומה הפולנית"), היחס לקהילות מאמינות בד בבד עם ההכרה בקהילות החילוניות ובתפיסות עולמן ועוד.</w:t>
      </w:r>
      <w:r>
        <w:rPr>
          <w:rStyle w:val="ac"/>
          <w:rtl/>
        </w:rPr>
        <w:footnoteReference w:id="78"/>
      </w:r>
      <w:r>
        <w:rPr>
          <w:rFonts w:hint="cs"/>
          <w:rtl/>
          <w:lang w:eastAsia="he-IL"/>
        </w:rPr>
        <w:t xml:space="preserve"> מעבר לכך, יש שסוברים שנוסח המבוא לחוקה הפולנית כפי שאושר בסופו של יום במשאל העם לא מצליח בתפקידיו הטקסיים-חינוכיים (התפקידים הלא משפטיים שלו), וזאת בשל השימוש בלשון </w:t>
      </w:r>
      <w:r w:rsidR="009430EA">
        <w:rPr>
          <w:rFonts w:hint="cs"/>
          <w:rtl/>
          <w:lang w:eastAsia="he-IL"/>
        </w:rPr>
        <w:t>גבוהה</w:t>
      </w:r>
      <w:r>
        <w:rPr>
          <w:rFonts w:hint="cs"/>
          <w:rtl/>
          <w:lang w:eastAsia="he-IL"/>
        </w:rPr>
        <w:t xml:space="preserve"> שלא תמיד ברורה לחלק מבין קוראי החוקה.</w:t>
      </w:r>
      <w:r>
        <w:rPr>
          <w:rStyle w:val="ac"/>
          <w:rtl/>
        </w:rPr>
        <w:footnoteReference w:id="79"/>
      </w:r>
    </w:p>
    <w:p w:rsidR="003C150D" w:rsidRDefault="003C150D" w:rsidP="003C150D">
      <w:pPr>
        <w:pStyle w:val="a4"/>
        <w:rPr>
          <w:rtl/>
          <w:lang w:eastAsia="he-IL"/>
        </w:rPr>
      </w:pPr>
      <w:r>
        <w:rPr>
          <w:rFonts w:hint="cs"/>
          <w:rtl/>
          <w:lang w:eastAsia="he-IL"/>
        </w:rPr>
        <w:t xml:space="preserve">יחד עם זאת, המבוא לחוקה שימש רבות את הטריבונל החוקתי בפולין ( </w:t>
      </w:r>
      <w:r>
        <w:rPr>
          <w:lang w:eastAsia="he-IL"/>
        </w:rPr>
        <w:t>Trybunał Konstytucyjny</w:t>
      </w:r>
      <w:r>
        <w:rPr>
          <w:rFonts w:hint="cs"/>
          <w:rtl/>
          <w:lang w:eastAsia="he-IL"/>
        </w:rPr>
        <w:t>) ככלי פרשני.</w:t>
      </w:r>
      <w:r>
        <w:rPr>
          <w:rStyle w:val="ac"/>
          <w:rtl/>
        </w:rPr>
        <w:footnoteReference w:id="80"/>
      </w:r>
      <w:r>
        <w:rPr>
          <w:rFonts w:hint="cs"/>
          <w:rtl/>
          <w:lang w:eastAsia="he-IL"/>
        </w:rPr>
        <w:t xml:space="preserve"> זאת, בעיקר במקרים שעסקו ביחסים שבין פולין הריבונית ובין מוסדות האיחוד האירופי, וכן בשיתופי פעולה שבין פולין ובין האיחוד האירופי, אך גם במקרים שעסקו במאבק בשחיתות ושיתופי פעולה בין רשויות המדינה השונות.</w:t>
      </w:r>
      <w:r>
        <w:rPr>
          <w:rStyle w:val="ac"/>
          <w:rtl/>
        </w:rPr>
        <w:footnoteReference w:id="81"/>
      </w:r>
      <w:r>
        <w:rPr>
          <w:rFonts w:hint="cs"/>
          <w:rtl/>
          <w:lang w:eastAsia="he-IL"/>
        </w:rPr>
        <w:t xml:space="preserve"> </w:t>
      </w:r>
    </w:p>
    <w:p w:rsidR="003C150D" w:rsidRDefault="003C150D" w:rsidP="003C150D">
      <w:pPr>
        <w:pStyle w:val="a4"/>
        <w:rPr>
          <w:rtl/>
          <w:lang w:eastAsia="he-IL"/>
        </w:rPr>
      </w:pPr>
    </w:p>
    <w:p w:rsidR="003C150D" w:rsidRDefault="003C150D" w:rsidP="003C150D">
      <w:pPr>
        <w:pStyle w:val="11"/>
        <w:keepNext/>
        <w:keepLines/>
        <w:numPr>
          <w:ilvl w:val="1"/>
          <w:numId w:val="22"/>
        </w:numPr>
        <w:ind w:right="0"/>
        <w:rPr>
          <w:rtl/>
        </w:rPr>
      </w:pPr>
      <w:r>
        <w:rPr>
          <w:rFonts w:hint="cs"/>
          <w:rtl/>
        </w:rPr>
        <w:t>מקדוניה</w:t>
      </w:r>
    </w:p>
    <w:p w:rsidR="003C150D" w:rsidRDefault="003C150D" w:rsidP="003C150D">
      <w:pPr>
        <w:pStyle w:val="a4"/>
        <w:rPr>
          <w:rtl/>
        </w:rPr>
      </w:pPr>
      <w:r>
        <w:rPr>
          <w:rFonts w:hint="cs"/>
          <w:rtl/>
        </w:rPr>
        <w:t>המבוא לחוקת מקדוניה קובע כדלקמן:</w:t>
      </w:r>
      <w:r>
        <w:rPr>
          <w:rStyle w:val="ac"/>
          <w:rtl/>
        </w:rPr>
        <w:footnoteReference w:id="82"/>
      </w:r>
    </w:p>
    <w:p w:rsidR="003C150D" w:rsidRDefault="003C150D" w:rsidP="003C150D">
      <w:pPr>
        <w:pStyle w:val="af0"/>
        <w:rPr>
          <w:szCs w:val="24"/>
          <w:rtl/>
        </w:rPr>
      </w:pPr>
      <w:r>
        <w:rPr>
          <w:rFonts w:hint="cs"/>
          <w:rtl/>
        </w:rPr>
        <w:t>"</w:t>
      </w:r>
      <w:r>
        <w:rPr>
          <w:rFonts w:hint="cs"/>
          <w:szCs w:val="24"/>
          <w:rtl/>
        </w:rPr>
        <w:t>על בסיס נקודות המוצא ההיסטוריות, התרבותיות, הרוחניות והממלכתיות של העם המקדוני ומאבקם בן מאות השנים למען חירות לאומית וחברתית, ולהקמת מדינה לעצמם, ובמיוחד על בסיס מסורות המדינה של הרפובליקה הקרושבית וחוקיותה,</w:t>
      </w:r>
      <w:r>
        <w:rPr>
          <w:rStyle w:val="ac"/>
          <w:rtl/>
        </w:rPr>
        <w:footnoteReference w:id="83"/>
      </w:r>
      <w:r>
        <w:rPr>
          <w:rFonts w:hint="cs"/>
          <w:szCs w:val="24"/>
          <w:rtl/>
        </w:rPr>
        <w:t xml:space="preserve"> כמו גם ההחלטות ההיסטוריות של האסיפה האנטי-פשיסטית של שחרור מקדוניה, וההמשכיות החוקתית והמשפטית של המדינה המקדונית כרפובליקה ריבונית בתוך יוגוסלביה הפדרלית והרצון החופשי של אזרחי הרפובליקה של מקדוניה במשאל העם שנערך בתאריך 8 בספטמבר 1991, וכן לאור העובדה ההיסטורית כי מקדוניה הוקמה כמדינה הלאומית של העם המקדוני, שבה קבוע שוויון מלא עם העם המקדוני ודו-קיום כאזרחים לאלבנים, טורקים, ולאכים, בני רומה וכן לאומים אחרים החיים ברפובליקה של מקדוניה, ואת כוונתה בדבר: </w:t>
      </w:r>
    </w:p>
    <w:p w:rsidR="003C150D" w:rsidRDefault="003C150D" w:rsidP="003C150D">
      <w:pPr>
        <w:pStyle w:val="af0"/>
        <w:rPr>
          <w:szCs w:val="24"/>
          <w:rtl/>
        </w:rPr>
      </w:pPr>
      <w:r>
        <w:rPr>
          <w:rFonts w:hint="cs"/>
          <w:szCs w:val="24"/>
          <w:rtl/>
        </w:rPr>
        <w:t xml:space="preserve">- הקמת הרפובליקה של מקדוניה כמדינה ריבונית ועצמאית, כמו גם מדינה אזרחית ודמוקרטית; </w:t>
      </w:r>
    </w:p>
    <w:p w:rsidR="003C150D" w:rsidRDefault="003C150D" w:rsidP="003C150D">
      <w:pPr>
        <w:pStyle w:val="af0"/>
        <w:rPr>
          <w:szCs w:val="24"/>
          <w:rtl/>
        </w:rPr>
      </w:pPr>
      <w:r>
        <w:rPr>
          <w:rFonts w:hint="cs"/>
          <w:szCs w:val="24"/>
          <w:rtl/>
        </w:rPr>
        <w:t xml:space="preserve">- הקמה וחיזוק שלטון החוק כמערכת ממשלתית בסיסית; </w:t>
      </w:r>
    </w:p>
    <w:p w:rsidR="003C150D" w:rsidRDefault="003C150D" w:rsidP="003C150D">
      <w:pPr>
        <w:pStyle w:val="af0"/>
        <w:rPr>
          <w:szCs w:val="24"/>
          <w:rtl/>
        </w:rPr>
      </w:pPr>
      <w:r>
        <w:rPr>
          <w:rFonts w:hint="cs"/>
          <w:szCs w:val="24"/>
          <w:rtl/>
        </w:rPr>
        <w:t xml:space="preserve">- הבטחת זכויות אדם, אזרח, חירויות ושוויון אתני; </w:t>
      </w:r>
    </w:p>
    <w:p w:rsidR="003C150D" w:rsidRDefault="003C150D" w:rsidP="003C150D">
      <w:pPr>
        <w:pStyle w:val="af0"/>
        <w:rPr>
          <w:szCs w:val="24"/>
          <w:rtl/>
        </w:rPr>
      </w:pPr>
      <w:r>
        <w:rPr>
          <w:rFonts w:hint="cs"/>
          <w:szCs w:val="24"/>
          <w:rtl/>
        </w:rPr>
        <w:t>- יצירת שלום ובית משותף לעם המקדוני עם הלאומים החיים במקדוניה; וכן</w:t>
      </w:r>
    </w:p>
    <w:p w:rsidR="003C150D" w:rsidRDefault="003C150D" w:rsidP="003C150D">
      <w:pPr>
        <w:pStyle w:val="af0"/>
        <w:rPr>
          <w:szCs w:val="24"/>
          <w:rtl/>
        </w:rPr>
      </w:pPr>
      <w:r>
        <w:rPr>
          <w:rFonts w:hint="cs"/>
          <w:szCs w:val="24"/>
          <w:rtl/>
        </w:rPr>
        <w:t xml:space="preserve"> - יצירת צדק חברתי, רווחה כלכלית ושגשוג בחיי הפרט והקהילה, </w:t>
      </w:r>
    </w:p>
    <w:p w:rsidR="003C150D" w:rsidRDefault="003C150D" w:rsidP="003C150D">
      <w:pPr>
        <w:pStyle w:val="af0"/>
        <w:rPr>
          <w:rtl/>
        </w:rPr>
      </w:pPr>
      <w:r>
        <w:rPr>
          <w:rFonts w:hint="cs"/>
          <w:szCs w:val="24"/>
          <w:rtl/>
        </w:rPr>
        <w:t>מועצת הרפובליקה של מקדוניה מאמצת את חוקת הרפובליקה של מקדוניה</w:t>
      </w:r>
      <w:r>
        <w:rPr>
          <w:rFonts w:hint="cs"/>
          <w:rtl/>
        </w:rPr>
        <w:t>".</w:t>
      </w:r>
    </w:p>
    <w:p w:rsidR="003C150D" w:rsidRDefault="003C150D" w:rsidP="003C150D">
      <w:pPr>
        <w:pStyle w:val="a4"/>
        <w:rPr>
          <w:rtl/>
          <w:lang w:eastAsia="he-IL"/>
        </w:rPr>
      </w:pPr>
      <w:r>
        <w:rPr>
          <w:rFonts w:hint="cs"/>
          <w:rtl/>
          <w:lang w:eastAsia="he-IL"/>
        </w:rPr>
        <w:t>המבוא המקורי לחוקה המקדונית משנת 1991 הגדיר את מקדוניה כ"מדינת הלאום של העם המקדוני" מבלי להעניק מעמד קונסטיטוטיבי גם ללאומים אחרים (וזאת בניגוד להסדרים חוקתיים שהיו קיימים בעבר בחוקת "הרפובליקה הסוציאליסטית של מקדוניה", בעת היותה חלק מהפדרציה של יוגוסלביה).</w:t>
      </w:r>
      <w:r>
        <w:rPr>
          <w:rStyle w:val="ac"/>
          <w:rtl/>
        </w:rPr>
        <w:footnoteReference w:id="84"/>
      </w:r>
      <w:r>
        <w:rPr>
          <w:rFonts w:hint="cs"/>
          <w:rtl/>
          <w:lang w:eastAsia="he-IL"/>
        </w:rPr>
        <w:t xml:space="preserve"> </w:t>
      </w:r>
      <w:r>
        <w:rPr>
          <w:rFonts w:hint="cs"/>
          <w:rtl/>
          <w:lang w:eastAsia="he-IL"/>
        </w:rPr>
        <w:br/>
        <w:t>ניסוח זה של המבוא לחוקה נתפס על-ידי המיעוטים הלאומיים כניסיון של הרוב המקדוני לנכס רק לעצמו את הבעלות על המדינה ואף להביא להגברת המתיחות האתנית בין חלקי האוכלוסייה השונים.</w:t>
      </w:r>
      <w:r>
        <w:rPr>
          <w:rStyle w:val="ac"/>
          <w:rtl/>
        </w:rPr>
        <w:footnoteReference w:id="85"/>
      </w:r>
      <w:r>
        <w:rPr>
          <w:rFonts w:hint="cs"/>
          <w:rtl/>
          <w:lang w:eastAsia="he-IL"/>
        </w:rPr>
        <w:t xml:space="preserve"> </w:t>
      </w:r>
    </w:p>
    <w:p w:rsidR="003C150D" w:rsidRDefault="003C150D" w:rsidP="003C150D">
      <w:pPr>
        <w:pStyle w:val="a4"/>
        <w:rPr>
          <w:rtl/>
        </w:rPr>
      </w:pPr>
      <w:r>
        <w:rPr>
          <w:rFonts w:hint="cs"/>
          <w:rtl/>
          <w:lang w:eastAsia="he-IL"/>
        </w:rPr>
        <w:t>לאור כל זאת, במסגרת התיקון הרביעי לחוקת מקדוניה, שנקבע בעקבות הסכם אוחריד (</w:t>
      </w:r>
      <w:r>
        <w:rPr>
          <w:lang w:eastAsia="he-IL"/>
        </w:rPr>
        <w:t>Ohrid Agreement</w:t>
      </w:r>
      <w:r>
        <w:rPr>
          <w:rFonts w:hint="cs"/>
          <w:rtl/>
          <w:lang w:eastAsia="he-IL"/>
        </w:rPr>
        <w:t>),</w:t>
      </w:r>
      <w:r>
        <w:rPr>
          <w:rStyle w:val="ac"/>
          <w:rtl/>
        </w:rPr>
        <w:footnoteReference w:id="86"/>
      </w:r>
      <w:r>
        <w:rPr>
          <w:rFonts w:hint="cs"/>
          <w:rtl/>
          <w:lang w:eastAsia="he-IL"/>
        </w:rPr>
        <w:t xml:space="preserve"> הוחלף המבוא המקורי לחוקה ונקבע </w:t>
      </w:r>
      <w:r>
        <w:rPr>
          <w:rFonts w:hint="cs"/>
          <w:b/>
          <w:bCs/>
          <w:rtl/>
          <w:lang w:eastAsia="he-IL"/>
        </w:rPr>
        <w:t>הנוסח הנוכחי שמכיר בהשתתפותם של המיעוטים השונים בהחלטה על הקמת הרפובליקה המקדונית ובהגדרתה במבוא</w:t>
      </w:r>
      <w:r>
        <w:rPr>
          <w:rFonts w:hint="cs"/>
          <w:rtl/>
          <w:lang w:val="es-ES" w:eastAsia="he-IL"/>
        </w:rPr>
        <w:t>.</w:t>
      </w:r>
      <w:r>
        <w:rPr>
          <w:rStyle w:val="ac"/>
          <w:rtl/>
          <w:lang w:val="es-ES"/>
        </w:rPr>
        <w:footnoteReference w:id="87"/>
      </w:r>
    </w:p>
    <w:p w:rsidR="003C150D" w:rsidRDefault="003C150D" w:rsidP="003C150D">
      <w:pPr>
        <w:pStyle w:val="a4"/>
        <w:rPr>
          <w:rtl/>
        </w:rPr>
      </w:pPr>
    </w:p>
    <w:p w:rsidR="003C150D" w:rsidRDefault="003C150D" w:rsidP="003C150D">
      <w:pPr>
        <w:pStyle w:val="11"/>
        <w:numPr>
          <w:ilvl w:val="1"/>
          <w:numId w:val="22"/>
        </w:numPr>
        <w:ind w:right="0"/>
      </w:pPr>
      <w:r>
        <w:rPr>
          <w:rFonts w:hint="cs"/>
          <w:rtl/>
        </w:rPr>
        <w:t>סלובקיה</w:t>
      </w:r>
    </w:p>
    <w:p w:rsidR="003C150D" w:rsidRDefault="003C150D" w:rsidP="003C150D">
      <w:pPr>
        <w:pStyle w:val="a4"/>
        <w:keepNext/>
        <w:keepLines/>
      </w:pPr>
      <w:r>
        <w:rPr>
          <w:rFonts w:hint="cs"/>
          <w:rtl/>
        </w:rPr>
        <w:t>חוקת סלובקיה קובעת כדלקמן:</w:t>
      </w:r>
      <w:r>
        <w:rPr>
          <w:rStyle w:val="ac"/>
          <w:rtl/>
        </w:rPr>
        <w:footnoteReference w:id="88"/>
      </w:r>
    </w:p>
    <w:p w:rsidR="003C150D" w:rsidRDefault="003C150D" w:rsidP="003C150D">
      <w:pPr>
        <w:pStyle w:val="af0"/>
        <w:rPr>
          <w:rtl/>
        </w:rPr>
      </w:pPr>
      <w:r>
        <w:rPr>
          <w:rFonts w:hint="cs"/>
          <w:rtl/>
        </w:rPr>
        <w:t>"אנו, האומה הסלובקית, מתוך מודעות למורשת הפוליטית והתרבותית של אבותינו</w:t>
      </w:r>
      <w:r>
        <w:rPr>
          <w:rFonts w:hint="cs"/>
        </w:rPr>
        <w:t xml:space="preserve"> </w:t>
      </w:r>
      <w:r>
        <w:rPr>
          <w:rFonts w:hint="cs"/>
          <w:rtl/>
        </w:rPr>
        <w:t>ושל ניסיוננו בן מאות השנים במאבק על קיומנו הלאומי ועל מדינתנו, בהתייחס למורשת הרוחנית של קיריל ומתודיוס והמורשת ההיסטורית של האימפריה המורוואית הגדולה, כממשיכי הזכות הטבעית של אומות להגדרה עצמית, יחד עם בני המיעוטים הלאומיים והקהילות האתניות שמתגוררות בשטח הרפובליקה הסלובקית, ומתוך אינטרס של שיתוף פעולה בשלום עם מדינות דמוקרטיות אחרות המבקשות צורת ממשל דמוקרטית וערבויות לחיים חופשיים ולפיתוח התרבות הרוחנית והשגשוג הכלכלי. כלומר, אנו, אזרחי הרפובליקה הסלובקית, מאמצים באמצעות נציגינו את החוקה שלהלן: ..."</w:t>
      </w:r>
    </w:p>
    <w:p w:rsidR="003C150D" w:rsidRDefault="003C150D" w:rsidP="003C150D">
      <w:pPr>
        <w:pStyle w:val="a4"/>
        <w:rPr>
          <w:rtl/>
        </w:rPr>
      </w:pPr>
      <w:r>
        <w:rPr>
          <w:rFonts w:hint="cs"/>
          <w:rtl/>
        </w:rPr>
        <w:t xml:space="preserve">בסלובקיה, בדומה לפולין, מקדוניה ומדינות אחרות שנסקרו במסמך זה, </w:t>
      </w:r>
      <w:r>
        <w:rPr>
          <w:rFonts w:hint="cs"/>
          <w:b/>
          <w:bCs/>
          <w:rtl/>
        </w:rPr>
        <w:t>נוסח המבוא לחוקה הותאם כך שהוא יבטא לא רק את היסודות הלאומיים של האומה הסלובקית, אלא גם את ההשתתפות של המיעוטים השונים שמרכיבים את סלובקיה</w:t>
      </w:r>
      <w:r>
        <w:rPr>
          <w:rFonts w:hint="cs"/>
          <w:rtl/>
        </w:rPr>
        <w:t xml:space="preserve"> (לדוגמה בשימוש במילים: "יחד עם בני המיעוטים הלאומיים והקהילות האתניות שמתגוררות בשטח הרפובליקה הסלובקית", או בהצהרה המבהירה בסוף המבוא: "כלומר, אנו אזרחי הרפובליקה").</w:t>
      </w:r>
      <w:r>
        <w:rPr>
          <w:rStyle w:val="ac"/>
          <w:rtl/>
        </w:rPr>
        <w:footnoteReference w:id="89"/>
      </w:r>
    </w:p>
    <w:p w:rsidR="003C150D" w:rsidRDefault="003C150D" w:rsidP="003C150D">
      <w:pPr>
        <w:pStyle w:val="a4"/>
        <w:rPr>
          <w:rtl/>
        </w:rPr>
      </w:pPr>
    </w:p>
    <w:p w:rsidR="003C150D" w:rsidRDefault="003C150D" w:rsidP="003C150D">
      <w:pPr>
        <w:pStyle w:val="11"/>
        <w:numPr>
          <w:ilvl w:val="1"/>
          <w:numId w:val="22"/>
        </w:numPr>
        <w:ind w:right="0"/>
        <w:rPr>
          <w:rtl/>
        </w:rPr>
      </w:pPr>
      <w:r>
        <w:rPr>
          <w:rFonts w:hint="cs"/>
          <w:rtl/>
        </w:rPr>
        <w:t>סרביה</w:t>
      </w:r>
    </w:p>
    <w:p w:rsidR="003C150D" w:rsidRDefault="003C150D" w:rsidP="003C150D">
      <w:pPr>
        <w:pStyle w:val="a4"/>
        <w:rPr>
          <w:rtl/>
        </w:rPr>
      </w:pPr>
      <w:r>
        <w:rPr>
          <w:rFonts w:hint="cs"/>
          <w:rtl/>
        </w:rPr>
        <w:t>המבוא לחוקת סרביה קובע כדלקמן:</w:t>
      </w:r>
      <w:r>
        <w:rPr>
          <w:rStyle w:val="ac"/>
          <w:rtl/>
        </w:rPr>
        <w:footnoteReference w:id="90"/>
      </w:r>
    </w:p>
    <w:p w:rsidR="003C150D" w:rsidRDefault="003C150D" w:rsidP="003C150D">
      <w:pPr>
        <w:pStyle w:val="af0"/>
        <w:rPr>
          <w:rtl/>
        </w:rPr>
      </w:pPr>
      <w:r>
        <w:rPr>
          <w:rFonts w:hint="cs"/>
          <w:rtl/>
        </w:rPr>
        <w:t>"בהתחשב במסורת הממלכתית של העם הסרבי ושוויון בין כל האזרחים והקהילות האתניות בסרביה,</w:t>
      </w:r>
    </w:p>
    <w:p w:rsidR="003C150D" w:rsidRDefault="003C150D" w:rsidP="003C150D">
      <w:pPr>
        <w:pStyle w:val="af0"/>
        <w:rPr>
          <w:rtl/>
        </w:rPr>
      </w:pPr>
      <w:r>
        <w:rPr>
          <w:rFonts w:hint="cs"/>
          <w:rtl/>
        </w:rPr>
        <w:t xml:space="preserve">ובהתחשב בכך כי מחוזות קוסובו ומטוחיה מהווים חלק בלתי נפרד משטחה של סרביה, בהיותם בעלי מעמד של אוטונומיה משמעותית במסגרת הריבונות של מדינת סרביה, ומכיוון שמתוך מעמד זה מחוזות קוסובו ומטוחיה ממלאים אחר המחויבות החוקתית של כל גופי המדינה לפעול ולהגן על האינטרסים של סרביה בקוסובו ובמטוחיה בכל נושאי היחסים הפוליטיים הפנימיים והחיצוניים, </w:t>
      </w:r>
    </w:p>
    <w:p w:rsidR="003C150D" w:rsidRDefault="003C150D" w:rsidP="003C150D">
      <w:pPr>
        <w:pStyle w:val="af0"/>
        <w:rPr>
          <w:rtl/>
        </w:rPr>
      </w:pPr>
      <w:r>
        <w:rPr>
          <w:rFonts w:hint="cs"/>
          <w:rtl/>
        </w:rPr>
        <w:t>אזרחי סרביה מאמצים..."</w:t>
      </w:r>
    </w:p>
    <w:p w:rsidR="003C150D" w:rsidRDefault="003C150D" w:rsidP="003C150D">
      <w:pPr>
        <w:pStyle w:val="a4"/>
        <w:rPr>
          <w:rtl/>
        </w:rPr>
      </w:pPr>
      <w:r>
        <w:rPr>
          <w:rFonts w:hint="cs"/>
          <w:rtl/>
        </w:rPr>
        <w:t xml:space="preserve">הלכה למעשה, </w:t>
      </w:r>
      <w:r>
        <w:rPr>
          <w:rFonts w:hint="cs"/>
          <w:b/>
          <w:bCs/>
          <w:rtl/>
        </w:rPr>
        <w:t>המבוא לחוקה הסרבית מבקש להבטיח שתי מטרות עיקריות</w:t>
      </w:r>
      <w:r>
        <w:rPr>
          <w:rFonts w:hint="cs"/>
          <w:rtl/>
        </w:rPr>
        <w:t xml:space="preserve">: האחת, </w:t>
      </w:r>
      <w:r>
        <w:rPr>
          <w:rFonts w:hint="cs"/>
          <w:b/>
          <w:bCs/>
          <w:rtl/>
        </w:rPr>
        <w:t>ביסוס מקור הסמכות לכינון החוקה על העם הסרבי תוך הדגשת השוויון בין כל האזרחים והקהילות האתניות בסרביה</w:t>
      </w:r>
      <w:r>
        <w:rPr>
          <w:rFonts w:hint="cs"/>
          <w:rtl/>
        </w:rPr>
        <w:t xml:space="preserve">; השנייה, </w:t>
      </w:r>
      <w:r>
        <w:rPr>
          <w:rFonts w:hint="cs"/>
          <w:b/>
          <w:bCs/>
          <w:rtl/>
        </w:rPr>
        <w:t>הדגשת הכפיפות של המחוזות האמורים לריבונות הסרבית בד בבד עם הבטחת "אוטונומיה משמעותית" להם</w:t>
      </w:r>
      <w:r>
        <w:rPr>
          <w:rFonts w:hint="cs"/>
          <w:rtl/>
        </w:rPr>
        <w:t>.</w:t>
      </w:r>
      <w:r>
        <w:rPr>
          <w:rStyle w:val="ac"/>
          <w:rtl/>
        </w:rPr>
        <w:footnoteReference w:id="91"/>
      </w:r>
      <w:r>
        <w:rPr>
          <w:rFonts w:hint="cs"/>
          <w:rtl/>
        </w:rPr>
        <w:t xml:space="preserve"> בהקשר זה יוער, כי בדוח ועדת ונציה משנת 2007 בנושא החוקה הסרבית, נקבע כי למרות ההבטחות במבוא לאוטונומיה משמעותית במחוזות האמורים, החוקה עצמה לא מבטיחה (</w:t>
      </w:r>
      <w:r>
        <w:t>guarantee</w:t>
      </w:r>
      <w:r>
        <w:rPr>
          <w:rFonts w:hint="cs"/>
          <w:rtl/>
        </w:rPr>
        <w:t>) את האוטונומיה האמורה.</w:t>
      </w:r>
      <w:r>
        <w:rPr>
          <w:rStyle w:val="ac"/>
          <w:rtl/>
        </w:rPr>
        <w:footnoteReference w:id="92"/>
      </w:r>
    </w:p>
    <w:p w:rsidR="003C150D" w:rsidRDefault="003C150D" w:rsidP="003C150D">
      <w:pPr>
        <w:pStyle w:val="a4"/>
        <w:rPr>
          <w:rtl/>
        </w:rPr>
      </w:pPr>
    </w:p>
    <w:p w:rsidR="003C150D" w:rsidRDefault="003C150D" w:rsidP="003C150D">
      <w:pPr>
        <w:pStyle w:val="11"/>
        <w:keepNext/>
        <w:keepLines/>
        <w:numPr>
          <w:ilvl w:val="1"/>
          <w:numId w:val="22"/>
        </w:numPr>
        <w:ind w:right="0"/>
        <w:rPr>
          <w:rtl/>
        </w:rPr>
      </w:pPr>
      <w:r>
        <w:rPr>
          <w:rFonts w:hint="cs"/>
          <w:rtl/>
        </w:rPr>
        <w:t>לטביה</w:t>
      </w:r>
    </w:p>
    <w:p w:rsidR="003C150D" w:rsidRDefault="003C150D" w:rsidP="003C150D">
      <w:pPr>
        <w:pStyle w:val="a4"/>
        <w:keepNext/>
        <w:keepLines/>
        <w:rPr>
          <w:rtl/>
        </w:rPr>
      </w:pPr>
      <w:r>
        <w:rPr>
          <w:rFonts w:hint="cs"/>
          <w:rtl/>
        </w:rPr>
        <w:t>המבוא לחוקת לטביה קובע כדלקמן:</w:t>
      </w:r>
      <w:r>
        <w:rPr>
          <w:rStyle w:val="ac"/>
          <w:rtl/>
        </w:rPr>
        <w:footnoteReference w:id="93"/>
      </w:r>
    </w:p>
    <w:p w:rsidR="003C150D" w:rsidRDefault="003C150D" w:rsidP="009430EA">
      <w:pPr>
        <w:pStyle w:val="af0"/>
        <w:rPr>
          <w:rtl/>
        </w:rPr>
      </w:pPr>
      <w:r>
        <w:rPr>
          <w:rFonts w:hint="cs"/>
          <w:rtl/>
        </w:rPr>
        <w:t>"העם הלטבי, שבחר בבחירות חופשיות את האסיפה החוקתית, מאמץ את החוקה המדינתית שלהלן:</w:t>
      </w:r>
    </w:p>
    <w:p w:rsidR="003C150D" w:rsidRDefault="003C150D" w:rsidP="003C150D">
      <w:pPr>
        <w:pStyle w:val="af0"/>
        <w:rPr>
          <w:rtl/>
        </w:rPr>
      </w:pPr>
      <w:r>
        <w:rPr>
          <w:rFonts w:hint="cs"/>
          <w:rtl/>
        </w:rPr>
        <w:t>מדינת לטביה, שהוכרזה בתאריך 18 בנובמבר 1918, הוקמה על-ידי איחוד האדמות הלטביות ההיסטוריות ועל בסיס הרצון הבלתי מתפשר של האומה הלטבית בקיום מדינתה שלה ועל בסיס זכותה להגדרה עצמית בלתי ניתנת לערעור על מנת להבטיח את קיומו ופיתוחו של הלאום הלטבי, השפה הלטבית והתרבות לאורך מאות שנים, כדי להבטיח חופש ולקדם את הרווחה של העם הלטבי ושל כל פרט.</w:t>
      </w:r>
    </w:p>
    <w:p w:rsidR="003C150D" w:rsidRDefault="003C150D" w:rsidP="003C150D">
      <w:pPr>
        <w:pStyle w:val="af0"/>
        <w:rPr>
          <w:rtl/>
        </w:rPr>
      </w:pPr>
      <w:r>
        <w:rPr>
          <w:rFonts w:hint="cs"/>
          <w:rtl/>
        </w:rPr>
        <w:t>העם הלטבי השיג את מדינתו במלחמת שחרור. העם איחד את מערכת הממשל ואימץ חוקה באמצעות האסיפה החוקתית שנבחרה באופן חופשי.</w:t>
      </w:r>
    </w:p>
    <w:p w:rsidR="003C150D" w:rsidRDefault="003C150D" w:rsidP="003C150D">
      <w:pPr>
        <w:pStyle w:val="af0"/>
        <w:rPr>
          <w:rtl/>
        </w:rPr>
      </w:pPr>
      <w:r>
        <w:rPr>
          <w:rFonts w:hint="cs"/>
          <w:rtl/>
        </w:rPr>
        <w:t>העם הלטבי לא הכיר במשטרים הכובשים, התנגד להם והשיג את עצמאותו על-ידי השבת עצמאות לאומית בתאריך 4 במאי 1990 על בסיס המשכיות של המדינה. הם מכבדים את לוחמי החירות, מנציחים את הקורבנות של הכוחות הזרים ומגנים את המשטרים הטוטליטריים הקומוניסטיים והנאציים ואת פשעיהם.</w:t>
      </w:r>
    </w:p>
    <w:p w:rsidR="003C150D" w:rsidRDefault="003C150D" w:rsidP="003C150D">
      <w:pPr>
        <w:pStyle w:val="af0"/>
        <w:rPr>
          <w:rtl/>
        </w:rPr>
      </w:pPr>
      <w:r>
        <w:rPr>
          <w:rFonts w:hint="cs"/>
          <w:rtl/>
        </w:rPr>
        <w:t>לטביה כמדינה דמוקרטית, בעלת אחריות חברתית ולאומית, מבוססת על שלטון החוק ועל כבוד האדם וחירותו; מכירה ומגנה על זכויות אדם בסיסיות ומכבדת את המיעוטים האתניים. העם הלטבי מגן על ריבונותו, עצמאותו הלאומית, שטחיו, השלמות הטריטוריאלית ומערכת השלטון הדמוקרטית של מדינת לטביה.</w:t>
      </w:r>
    </w:p>
    <w:p w:rsidR="003C150D" w:rsidRDefault="003C150D" w:rsidP="003C150D">
      <w:pPr>
        <w:pStyle w:val="af0"/>
        <w:rPr>
          <w:rtl/>
        </w:rPr>
      </w:pPr>
      <w:r>
        <w:rPr>
          <w:rFonts w:hint="cs"/>
          <w:rtl/>
        </w:rPr>
        <w:t>מאז ימי קדם, הזהות של לטביה במרחב התרבותי האירופי עוצב על-ידי מסורות לטביה וליב (</w:t>
      </w:r>
      <w:r>
        <w:t>Liv</w:t>
      </w:r>
      <w:r>
        <w:rPr>
          <w:rFonts w:hint="cs"/>
          <w:rtl/>
        </w:rPr>
        <w:t xml:space="preserve">), חוכמה עממית לטבית, השפה הלטבית, ערכים אוניברסליים אנושיים ונוצריים. נאמנות ללטביה, השפה הלטבית כשפה הרשמית היחידה, חופש, שוויון, סולידריות, צדק, יושר, מוסר עבודה ומוסר משפחתי הם יסודות לחברה מלוכדת. כל אדם דואג לעצמו, לקרוביו ולטובת הכלל של החברה על-ידי התנהגות באחריות כלפי אנשים אחרים, הדורות הבאים, הסביבה והטבע. </w:t>
      </w:r>
    </w:p>
    <w:p w:rsidR="003C150D" w:rsidRDefault="003C150D" w:rsidP="003C150D">
      <w:pPr>
        <w:pStyle w:val="af0"/>
        <w:rPr>
          <w:rtl/>
        </w:rPr>
      </w:pPr>
      <w:r>
        <w:rPr>
          <w:rFonts w:hint="cs"/>
          <w:rtl/>
        </w:rPr>
        <w:t>מתוך הכרה במעמדה השווה בקהילה הבינלאומית, לטביה מגנה על האינטרסים הלאומיים שלה ומקדמת פיתוח בר-קיימא ודמוקרטי של אירופה מאוחדת ושל העולם.</w:t>
      </w:r>
    </w:p>
    <w:p w:rsidR="003C150D" w:rsidRDefault="003C150D" w:rsidP="003C150D">
      <w:pPr>
        <w:pStyle w:val="af0"/>
        <w:rPr>
          <w:rtl/>
        </w:rPr>
      </w:pPr>
      <w:r>
        <w:rPr>
          <w:rFonts w:hint="cs"/>
          <w:rtl/>
        </w:rPr>
        <w:t>האל יברך את לטביה!"</w:t>
      </w:r>
    </w:p>
    <w:p w:rsidR="003C150D" w:rsidRDefault="003C150D" w:rsidP="003C150D">
      <w:pPr>
        <w:pStyle w:val="a4"/>
        <w:rPr>
          <w:rtl/>
        </w:rPr>
      </w:pPr>
      <w:r>
        <w:rPr>
          <w:rFonts w:hint="cs"/>
          <w:rtl/>
        </w:rPr>
        <w:t xml:space="preserve">בדיונים הציבוריים שליוו את קביעת המבוא צוין כי הוא מהווה </w:t>
      </w:r>
      <w:r>
        <w:rPr>
          <w:rFonts w:hint="cs"/>
          <w:b/>
          <w:bCs/>
          <w:rtl/>
        </w:rPr>
        <w:t>סיכום של העקרונות החוקתיים שעל בסיסם לטביה פועלת והוא אף משמש כמעין בסיס חוקתי לכינון המדינה</w:t>
      </w:r>
      <w:r>
        <w:rPr>
          <w:rFonts w:hint="cs"/>
          <w:rtl/>
        </w:rPr>
        <w:t xml:space="preserve">. היו גם מי שטענו כי המבוא מבסס את המדינה על שלושה סוגי ערכים: </w:t>
      </w:r>
      <w:r>
        <w:rPr>
          <w:rFonts w:hint="cs"/>
          <w:b/>
          <w:bCs/>
          <w:rtl/>
        </w:rPr>
        <w:t>נוצריים, היסטוריים ואוניברסליים</w:t>
      </w:r>
      <w:r>
        <w:rPr>
          <w:rFonts w:hint="cs"/>
          <w:rtl/>
        </w:rPr>
        <w:t xml:space="preserve">, אשר יוצרים יחדיו </w:t>
      </w:r>
      <w:r>
        <w:rPr>
          <w:rFonts w:hint="cs"/>
          <w:b/>
          <w:bCs/>
          <w:rtl/>
        </w:rPr>
        <w:t>מכלול ערכים מוסריים שהם בגדר יסודות המונח "כבוד האדם"</w:t>
      </w:r>
      <w:r>
        <w:rPr>
          <w:rFonts w:hint="cs"/>
          <w:rtl/>
        </w:rPr>
        <w:t>. מונח שמוגדר בחוקה כערך חוקתי עליון.</w:t>
      </w:r>
      <w:r>
        <w:rPr>
          <w:rStyle w:val="ac"/>
          <w:rtl/>
        </w:rPr>
        <w:footnoteReference w:id="94"/>
      </w:r>
      <w:r>
        <w:rPr>
          <w:rFonts w:hint="cs"/>
          <w:rtl/>
        </w:rPr>
        <w:t xml:space="preserve"> </w:t>
      </w:r>
      <w:r>
        <w:rPr>
          <w:rFonts w:hint="cs"/>
          <w:rtl/>
        </w:rPr>
        <w:br/>
        <w:t xml:space="preserve">יחד עם זאת, </w:t>
      </w:r>
      <w:r>
        <w:rPr>
          <w:rFonts w:hint="cs"/>
          <w:b/>
          <w:bCs/>
          <w:rtl/>
        </w:rPr>
        <w:t>היו גם מי שביקרו את המבוא לחוקה וטענו כי הוא בעיקר מעגן את הלאום הלטבי, מבלי לתת ביטוי ראוי למולטי-אתניות שקיימת בלטביה</w:t>
      </w:r>
      <w:r>
        <w:rPr>
          <w:rFonts w:hint="cs"/>
          <w:rtl/>
        </w:rPr>
        <w:t>.</w:t>
      </w:r>
      <w:r>
        <w:rPr>
          <w:rStyle w:val="ac"/>
          <w:rtl/>
        </w:rPr>
        <w:footnoteReference w:id="95"/>
      </w:r>
    </w:p>
    <w:p w:rsidR="003C150D" w:rsidRDefault="003C150D" w:rsidP="003C150D">
      <w:pPr>
        <w:pStyle w:val="a4"/>
        <w:rPr>
          <w:highlight w:val="yellow"/>
          <w:rtl/>
        </w:rPr>
      </w:pPr>
    </w:p>
    <w:p w:rsidR="003C150D" w:rsidRDefault="003C150D" w:rsidP="003C150D">
      <w:pPr>
        <w:pStyle w:val="11"/>
        <w:numPr>
          <w:ilvl w:val="1"/>
          <w:numId w:val="22"/>
        </w:numPr>
        <w:ind w:right="0"/>
        <w:rPr>
          <w:rtl/>
        </w:rPr>
      </w:pPr>
      <w:r>
        <w:rPr>
          <w:rFonts w:hint="cs"/>
          <w:rtl/>
        </w:rPr>
        <w:t>אסטוניה</w:t>
      </w:r>
    </w:p>
    <w:p w:rsidR="003C150D" w:rsidRDefault="003C150D" w:rsidP="003C150D">
      <w:pPr>
        <w:pStyle w:val="a4"/>
        <w:rPr>
          <w:rtl/>
        </w:rPr>
      </w:pPr>
      <w:r>
        <w:rPr>
          <w:rFonts w:hint="cs"/>
          <w:rtl/>
        </w:rPr>
        <w:t>המבוא לחוקת אסטוניה הוא מבוא קצר אשר עוסק בכמה נושאים מרכזיים, וביניהם: הנרטיבים ההיסטוריים שהביאו לכינון החוקה ולעצמאות אסטוניה, הזכות להגדרה העצמית של העם האסטוני והזכות לשימור תרבותי. כך, המבוא לחוקת אסטוניה קובע כדלקמן:</w:t>
      </w:r>
      <w:r>
        <w:rPr>
          <w:rStyle w:val="ac"/>
          <w:rtl/>
        </w:rPr>
        <w:footnoteReference w:id="96"/>
      </w:r>
    </w:p>
    <w:p w:rsidR="003C150D" w:rsidRDefault="003C150D" w:rsidP="009430EA">
      <w:pPr>
        <w:pStyle w:val="af0"/>
        <w:rPr>
          <w:rtl/>
        </w:rPr>
      </w:pPr>
      <w:r>
        <w:rPr>
          <w:rFonts w:hint="cs"/>
          <w:rtl/>
        </w:rPr>
        <w:t xml:space="preserve">"מתוך אמונה בלתי מתפשרת ורצון איתן לחזק ולפתח את המדינה, אשר מגלמת את הזכות הבלתי ניתנת לביטול של העם האסטוני להגדרה עצמית לאומית שאף קיבלה ביטוי בהצהרה מתאריך 24 לפברואר 1918, ואשר התבססה על עקרונות החירות, הצדק ושלטון החוק, ואשר נוצרה כדי להגן על השלום ועל העם כנגד תוקפנות מבחוץ, ואשר מהווה התחייבות להתפתחות החברתית ורווחת הדורות הנוכחיים ודורות העתיד, ומתוך התחייבות לשימור העם האסטוני, השפה האסטונית והתרבות האסטונית לאורך השנים, העם האסטוני, על בסיס סעיף 1 לחוקה שנכנסה לתוקף בשנת 1938, ומשאל העם שנערך בתאריך 28 ליוני 1992, מאמץ את החוקה שלהלן." </w:t>
      </w:r>
    </w:p>
    <w:p w:rsidR="003C150D" w:rsidRDefault="003C150D" w:rsidP="003C150D">
      <w:pPr>
        <w:pStyle w:val="a4"/>
        <w:rPr>
          <w:rtl/>
        </w:rPr>
      </w:pPr>
      <w:r>
        <w:rPr>
          <w:rFonts w:hint="cs"/>
          <w:rtl/>
        </w:rPr>
        <w:t xml:space="preserve">כפי שהוזכר לעיל (בפרק הרקע של מסמך זה), </w:t>
      </w:r>
      <w:r>
        <w:rPr>
          <w:rFonts w:hint="cs"/>
          <w:b/>
          <w:bCs/>
          <w:rtl/>
        </w:rPr>
        <w:t>בתי המשפט באסטוניה לעיתים עושים שימוש פרשני בהוראות המבוא לחוקה</w:t>
      </w:r>
      <w:r>
        <w:rPr>
          <w:rFonts w:hint="cs"/>
          <w:rtl/>
        </w:rPr>
        <w:t>. כך, בפסק דין ידוע של בית המשפט האסטוני נקבע כי למרות הוראות המבוא בדבר ההתחייבות לשימור "העם האסטוני, השפה האסטונית והתרבות האסטונית" חוק שאוסר על שינוי שמות משפחה אסטוניים ייחשב כחוק פסול חוקתית.</w:t>
      </w:r>
      <w:r>
        <w:rPr>
          <w:rStyle w:val="ac"/>
          <w:rtl/>
        </w:rPr>
        <w:footnoteReference w:id="97"/>
      </w:r>
      <w:r>
        <w:rPr>
          <w:rFonts w:hint="cs"/>
          <w:rtl/>
        </w:rPr>
        <w:t xml:space="preserve"> יחד עם זאת, במקרה אחר נפסק כי ההוראות האמורות מאפשרות למחוקק לדרוש שליטה מספקת בשפה האסטונית כדרישה מקדמית להצבעה בבחירות לממשל המקומי.</w:t>
      </w:r>
      <w:r>
        <w:rPr>
          <w:rStyle w:val="ac"/>
          <w:rtl/>
        </w:rPr>
        <w:footnoteReference w:id="98"/>
      </w:r>
    </w:p>
    <w:p w:rsidR="003C150D" w:rsidRDefault="003C150D" w:rsidP="003C150D">
      <w:pPr>
        <w:pStyle w:val="a4"/>
        <w:rPr>
          <w:rtl/>
          <w:lang w:eastAsia="he-IL"/>
        </w:rPr>
      </w:pPr>
    </w:p>
    <w:p w:rsidR="003C150D" w:rsidRDefault="003C150D" w:rsidP="003C150D">
      <w:pPr>
        <w:pStyle w:val="11"/>
        <w:keepNext/>
        <w:keepLines/>
        <w:numPr>
          <w:ilvl w:val="1"/>
          <w:numId w:val="22"/>
        </w:numPr>
        <w:ind w:right="0"/>
      </w:pPr>
      <w:r>
        <w:rPr>
          <w:rFonts w:hint="cs"/>
          <w:rtl/>
        </w:rPr>
        <w:t>אוקראינה</w:t>
      </w:r>
    </w:p>
    <w:p w:rsidR="003C150D" w:rsidRDefault="003C150D" w:rsidP="003C150D">
      <w:pPr>
        <w:pStyle w:val="a4"/>
        <w:keepNext/>
        <w:keepLines/>
        <w:rPr>
          <w:rtl/>
        </w:rPr>
      </w:pPr>
      <w:r>
        <w:rPr>
          <w:rFonts w:hint="cs"/>
          <w:rtl/>
        </w:rPr>
        <w:t>החוקה האוקראינית קובעת כדלקמן:</w:t>
      </w:r>
      <w:r>
        <w:rPr>
          <w:rStyle w:val="ac"/>
          <w:rtl/>
        </w:rPr>
        <w:footnoteReference w:id="99"/>
      </w:r>
    </w:p>
    <w:p w:rsidR="003C150D" w:rsidRDefault="003C150D" w:rsidP="003C150D">
      <w:pPr>
        <w:pStyle w:val="af0"/>
        <w:rPr>
          <w:rtl/>
        </w:rPr>
      </w:pPr>
      <w:r>
        <w:rPr>
          <w:rFonts w:hint="cs"/>
          <w:rtl/>
        </w:rPr>
        <w:t>"המועצה העליונה</w:t>
      </w:r>
      <w:r>
        <w:rPr>
          <w:rStyle w:val="ac"/>
          <w:rtl/>
        </w:rPr>
        <w:footnoteReference w:id="100"/>
      </w:r>
      <w:r>
        <w:rPr>
          <w:rFonts w:hint="cs"/>
          <w:rtl/>
        </w:rPr>
        <w:t xml:space="preserve"> של אוקראינה, בשם העם האוקראיני – אזרחי אוקראינה מכל הלאומים, מבטאת את רצונו הלאומי של העם, על בסיס ההיסטוריה בת מאות השנים של בניית המדינה האוקראינית ועל בסיס הזכות להגדרה עצמית שמומשה בידי האומה האוקראינית וכל העם האוקראיני; מתוך מתן בטוחות לזכויות אדם ולחירות, כמו גם לתנאים ראויים לחיים אנושיים; מתוך אכפתיות לחיזוק ההרמוניה האזרחית על אדמות אוקראינה; מתוך שאיפה לפיתוח וחיזוק מדינה דמוקרטית, סוציאלית ומבוססת חוק; מתוך מודעות לאחריותנו בפני האל, מצפוננו למען דורות העבר והעתיד, מודרכים על בסיס הצהרת העצמאות של אוקראינה מ-24 באוגוסט 1991, שאושרה בהצבעה לאומית מתאריך 1 בדצמבר 1991, מאמצים את החוקה – החוק הבסיסי של אוקראינה."</w:t>
      </w:r>
    </w:p>
    <w:p w:rsidR="003C150D" w:rsidRDefault="003C150D" w:rsidP="003C150D">
      <w:pPr>
        <w:pStyle w:val="a4"/>
        <w:rPr>
          <w:rtl/>
        </w:rPr>
      </w:pPr>
      <w:r>
        <w:rPr>
          <w:rFonts w:hint="cs"/>
          <w:rtl/>
        </w:rPr>
        <w:t xml:space="preserve">כאמור לעיל בפרקי המבוא, </w:t>
      </w:r>
      <w:r>
        <w:rPr>
          <w:rFonts w:hint="cs"/>
          <w:b/>
          <w:bCs/>
          <w:rtl/>
        </w:rPr>
        <w:t>המבוא לחוקה משמש את בתי המשפט באוקראינה לצרכים פרשניים</w:t>
      </w:r>
      <w:r>
        <w:rPr>
          <w:rFonts w:hint="cs"/>
          <w:rtl/>
        </w:rPr>
        <w:t>. כך, בית המשפט העליון של אוקראינה קבע בעבר כי הוראות המבוא מאפשרות למחוקק לקבוע כי אוקראינית תהיה השפה הרשמית של המדינה וכי חוק שדורש כי גופים של השלטון המרכזי והמקומי יעשו שימוש בשפה זו בלבד הינו חוקתי.</w:t>
      </w:r>
      <w:r>
        <w:rPr>
          <w:rStyle w:val="ac"/>
          <w:rtl/>
        </w:rPr>
        <w:footnoteReference w:id="101"/>
      </w:r>
    </w:p>
    <w:p w:rsidR="003C150D" w:rsidRDefault="003C150D" w:rsidP="003C150D">
      <w:pPr>
        <w:pStyle w:val="a4"/>
        <w:rPr>
          <w:highlight w:val="yellow"/>
          <w:rtl/>
        </w:rPr>
      </w:pPr>
    </w:p>
    <w:p w:rsidR="003C150D" w:rsidRDefault="003C150D" w:rsidP="003C150D">
      <w:pPr>
        <w:pStyle w:val="11"/>
        <w:keepNext/>
        <w:keepLines/>
        <w:numPr>
          <w:ilvl w:val="1"/>
          <w:numId w:val="22"/>
        </w:numPr>
        <w:ind w:right="0"/>
        <w:rPr>
          <w:rtl/>
        </w:rPr>
      </w:pPr>
      <w:r>
        <w:rPr>
          <w:rFonts w:hint="cs"/>
          <w:rtl/>
        </w:rPr>
        <w:t>דרום אפריקה</w:t>
      </w:r>
    </w:p>
    <w:p w:rsidR="003C150D" w:rsidRDefault="003C150D" w:rsidP="003C150D">
      <w:pPr>
        <w:pStyle w:val="a4"/>
      </w:pPr>
      <w:r>
        <w:rPr>
          <w:rFonts w:hint="cs"/>
          <w:rtl/>
        </w:rPr>
        <w:t>המבוא לחוקת דרום-אפריקה קובע כדלקמן:</w:t>
      </w:r>
      <w:r>
        <w:rPr>
          <w:rStyle w:val="ac"/>
          <w:rFonts w:hint="cs"/>
          <w:rtl/>
        </w:rPr>
        <w:t xml:space="preserve"> </w:t>
      </w:r>
      <w:r>
        <w:rPr>
          <w:rStyle w:val="ac"/>
          <w:rtl/>
        </w:rPr>
        <w:footnoteReference w:id="102"/>
      </w:r>
    </w:p>
    <w:p w:rsidR="003C150D" w:rsidRDefault="003C150D" w:rsidP="003C150D">
      <w:pPr>
        <w:pStyle w:val="af0"/>
        <w:rPr>
          <w:rtl/>
        </w:rPr>
      </w:pPr>
      <w:r>
        <w:rPr>
          <w:rFonts w:hint="cs"/>
          <w:rtl/>
        </w:rPr>
        <w:t>"אנו, אנשי דרום אפריקה, מכירים בעוולות שהתרחשו בעברנו; מכבדים את אלה שסבלו למען הצדק והחופש בארצנו; מכבדים את אלה שעבדו כדי לבנות ולפתח את המדינה שלנו; ומאמינים שדרום אפריקה שייכת לכל מי שחי בה, מאוחדת במגוון שלה. אנו, באמצעות נציגינו הנבחרים בחופשיות, מאמצים את החוקה הזאת כחוק העליון של הרפובליקה כדי לרפא את מחלוקות העבר וכדי להקים חברה המבוססת על ערכים דמוקרטיים, צדק חברתי וזכויות אדם בסיסיות; מניחים את היסודות לחברה דמוקרטית ופתוחה, שבה הממשלה מבוססת על רצון העם וכל אזרח מוגן באופן שווה בידי החוק, שתשפר את איכות החיים של כל האזרחים ותשחרר את הפוטנציאל של כל אדם; ותבנה דרום אפריקה מאוחדת ודמוקרטית שתוכל לתפוס את מקומה הראוי כמדינה ריבונית במשפחת העמים. אלוהים יגן על עמנו."</w:t>
      </w:r>
    </w:p>
    <w:p w:rsidR="00CC18B5" w:rsidRPr="00404D76" w:rsidRDefault="003C150D" w:rsidP="003C150D">
      <w:pPr>
        <w:pStyle w:val="a4"/>
        <w:rPr>
          <w:rtl/>
        </w:rPr>
      </w:pPr>
      <w:r>
        <w:rPr>
          <w:rFonts w:hint="cs"/>
          <w:rtl/>
        </w:rPr>
        <w:t xml:space="preserve">כפי שניתן לראות, המבוא לחוקת דרום-אפריקה קובע כי הריבון במדינה הוא אוכלוסיית דרום-אפריקה, והוא מציג נרטיבים היסטוריים שונים מעברה של המדינה, מדגיש את הגיוון באוכלוסיית המדינה ומאזכר את האל. </w:t>
      </w:r>
    </w:p>
    <w:sectPr w:rsidR="00CC18B5" w:rsidRPr="00404D76" w:rsidSect="009C3CF0">
      <w:footerReference w:type="even" r:id="rId9"/>
      <w:footerReference w:type="default" r:id="rId10"/>
      <w:pgSz w:w="11906" w:h="16838" w:code="9"/>
      <w:pgMar w:top="1247" w:right="1758" w:bottom="1418" w:left="1259" w:header="709" w:footer="397" w:gutter="0"/>
      <w:pgNumType w:start="0"/>
      <w:cols w:space="708"/>
      <w:formProt w:val="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C31" w:rsidRDefault="005C0C31">
      <w:r>
        <w:separator/>
      </w:r>
    </w:p>
  </w:endnote>
  <w:endnote w:type="continuationSeparator" w:id="0">
    <w:p w:rsidR="005C0C31" w:rsidRDefault="005C0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B1"/>
    <w:family w:val="swiss"/>
    <w:notTrueType/>
    <w:pitch w:val="variable"/>
    <w:sig w:usb0="00000801" w:usb1="00000000" w:usb2="00000000" w:usb3="00000000" w:csb0="00000020" w:csb1="00000000"/>
  </w:font>
  <w:font w:name="Arial TUR">
    <w:altName w:val="Arial"/>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FrankRuehl">
    <w:panose1 w:val="020E0503060101010101"/>
    <w:charset w:val="00"/>
    <w:family w:val="swiss"/>
    <w:pitch w:val="variable"/>
    <w:sig w:usb0="00000803" w:usb1="00000000" w:usb2="00000000" w:usb3="00000000" w:csb0="00000021" w:csb1="00000000"/>
  </w:font>
  <w:font w:name="Trebuchet MS">
    <w:panose1 w:val="020B0603020202020204"/>
    <w:charset w:val="00"/>
    <w:family w:val="swiss"/>
    <w:pitch w:val="variable"/>
    <w:sig w:usb0="00000687" w:usb1="00000000" w:usb2="00000000" w:usb3="00000000" w:csb0="0000009F" w:csb1="00000000"/>
  </w:font>
  <w:font w:name="Guttman Keren">
    <w:altName w:val="Segoe UI Semilight"/>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0E03" w:rsidRDefault="00890E03" w:rsidP="00D50559">
    <w:pPr>
      <w:pStyle w:val="af"/>
      <w:framePr w:wrap="around" w:vAnchor="text" w:hAnchor="text" w:y="1"/>
      <w:rPr>
        <w:rStyle w:val="ae"/>
      </w:rPr>
    </w:pPr>
    <w:r>
      <w:rPr>
        <w:rStyle w:val="ae"/>
        <w:rtl/>
      </w:rPr>
      <w:fldChar w:fldCharType="begin"/>
    </w:r>
    <w:r>
      <w:rPr>
        <w:rStyle w:val="ae"/>
      </w:rPr>
      <w:instrText xml:space="preserve">PAGE  </w:instrText>
    </w:r>
    <w:r>
      <w:rPr>
        <w:rStyle w:val="ae"/>
        <w:rtl/>
      </w:rPr>
      <w:fldChar w:fldCharType="end"/>
    </w:r>
  </w:p>
  <w:p w:rsidR="00890E03" w:rsidRDefault="00890E03" w:rsidP="00DA289E">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0E03" w:rsidRPr="00236E36" w:rsidRDefault="00890E03" w:rsidP="005E62AF">
    <w:pPr>
      <w:pStyle w:val="ad"/>
      <w:tabs>
        <w:tab w:val="clear" w:pos="8306"/>
      </w:tabs>
      <w:spacing w:after="0" w:line="240" w:lineRule="auto"/>
      <w:jc w:val="right"/>
      <w:rPr>
        <w:color w:val="002060"/>
        <w:sz w:val="16"/>
        <w:szCs w:val="16"/>
        <w:rtl/>
        <w:lang w:eastAsia="en-US"/>
      </w:rPr>
    </w:pPr>
    <w:r w:rsidRPr="00236E36">
      <w:rPr>
        <w:color w:val="002060"/>
        <w:sz w:val="16"/>
        <w:szCs w:val="16"/>
        <w:rtl/>
        <w:lang w:eastAsia="en-US"/>
      </w:rPr>
      <w:t>עמוד</w:t>
    </w:r>
    <w:r w:rsidRPr="00236E36">
      <w:rPr>
        <w:color w:val="002060"/>
        <w:sz w:val="16"/>
        <w:szCs w:val="16"/>
        <w:lang w:eastAsia="en-US"/>
      </w:rPr>
      <w:t xml:space="preserve"> </w:t>
    </w:r>
    <w:r w:rsidRPr="00236E36">
      <w:rPr>
        <w:color w:val="002060"/>
        <w:sz w:val="16"/>
        <w:szCs w:val="16"/>
        <w:lang w:eastAsia="en-US"/>
      </w:rPr>
      <w:fldChar w:fldCharType="begin"/>
    </w:r>
    <w:r w:rsidRPr="00236E36">
      <w:rPr>
        <w:color w:val="002060"/>
        <w:sz w:val="16"/>
        <w:szCs w:val="16"/>
        <w:lang w:eastAsia="en-US"/>
      </w:rPr>
      <w:instrText xml:space="preserve"> PAGE </w:instrText>
    </w:r>
    <w:r w:rsidRPr="00236E36">
      <w:rPr>
        <w:color w:val="002060"/>
        <w:sz w:val="16"/>
        <w:szCs w:val="16"/>
        <w:lang w:eastAsia="en-US"/>
      </w:rPr>
      <w:fldChar w:fldCharType="separate"/>
    </w:r>
    <w:r w:rsidR="005E2D06">
      <w:rPr>
        <w:noProof/>
        <w:color w:val="002060"/>
        <w:sz w:val="16"/>
        <w:szCs w:val="16"/>
        <w:rtl/>
        <w:lang w:eastAsia="en-US"/>
      </w:rPr>
      <w:t>7</w:t>
    </w:r>
    <w:r w:rsidRPr="00236E36">
      <w:rPr>
        <w:color w:val="002060"/>
        <w:sz w:val="16"/>
        <w:szCs w:val="16"/>
        <w:lang w:eastAsia="en-US"/>
      </w:rPr>
      <w:fldChar w:fldCharType="end"/>
    </w:r>
    <w:r w:rsidRPr="00236E36">
      <w:rPr>
        <w:color w:val="002060"/>
        <w:sz w:val="16"/>
        <w:szCs w:val="16"/>
        <w:lang w:eastAsia="en-US"/>
      </w:rPr>
      <w:t xml:space="preserve"> </w:t>
    </w:r>
    <w:r w:rsidRPr="00236E36">
      <w:rPr>
        <w:color w:val="002060"/>
        <w:sz w:val="16"/>
        <w:szCs w:val="16"/>
        <w:rtl/>
        <w:lang w:eastAsia="en-US"/>
      </w:rPr>
      <w:t>מתוך</w:t>
    </w:r>
    <w:r w:rsidRPr="00236E36">
      <w:rPr>
        <w:rFonts w:hint="cs"/>
        <w:color w:val="002060"/>
        <w:sz w:val="16"/>
        <w:szCs w:val="16"/>
        <w:rtl/>
        <w:lang w:eastAsia="en-US"/>
      </w:rPr>
      <w:t xml:space="preserve"> </w:t>
    </w:r>
    <w:r w:rsidR="005E62AF">
      <w:rPr>
        <w:rFonts w:hint="cs"/>
        <w:color w:val="002060"/>
        <w:sz w:val="16"/>
        <w:szCs w:val="16"/>
        <w:rtl/>
        <w:lang w:eastAsia="en-US"/>
      </w:rPr>
      <w:t>25</w:t>
    </w:r>
  </w:p>
  <w:p w:rsidR="00890E03" w:rsidRPr="00210B1C" w:rsidRDefault="00890E03" w:rsidP="00210B1C">
    <w:pPr>
      <w:pStyle w:val="ad"/>
      <w:tabs>
        <w:tab w:val="clear" w:pos="8306"/>
      </w:tabs>
      <w:spacing w:after="0" w:line="240" w:lineRule="auto"/>
      <w:jc w:val="center"/>
      <w:rPr>
        <w:color w:val="002060"/>
        <w:szCs w:val="16"/>
        <w:rtl/>
        <w:lang w:eastAsia="en-US"/>
      </w:rPr>
    </w:pPr>
    <w:r>
      <w:rPr>
        <w:rFonts w:hint="cs"/>
        <w:color w:val="002060"/>
        <w:sz w:val="16"/>
        <w:szCs w:val="16"/>
        <w:rtl/>
        <w:lang w:eastAsia="en-US"/>
      </w:rPr>
      <w:t xml:space="preserve">הכנסת </w:t>
    </w:r>
    <w:r>
      <w:rPr>
        <w:color w:val="002060"/>
        <w:sz w:val="16"/>
        <w:szCs w:val="16"/>
        <w:rtl/>
        <w:lang w:eastAsia="en-US"/>
      </w:rPr>
      <w:t>–</w:t>
    </w:r>
    <w:r>
      <w:rPr>
        <w:rFonts w:hint="cs"/>
        <w:color w:val="002060"/>
        <w:sz w:val="16"/>
        <w:szCs w:val="16"/>
        <w:rtl/>
        <w:lang w:eastAsia="en-US"/>
      </w:rPr>
      <w:t xml:space="preserve"> </w:t>
    </w:r>
    <w:r w:rsidRPr="00210B1C">
      <w:rPr>
        <w:rFonts w:hint="cs"/>
        <w:color w:val="002060"/>
        <w:sz w:val="16"/>
        <w:szCs w:val="16"/>
        <w:rtl/>
        <w:lang w:eastAsia="en-US"/>
      </w:rPr>
      <w:t>הלשכה המשפטית</w:t>
    </w:r>
    <w:r>
      <w:rPr>
        <w:rFonts w:hint="cs"/>
        <w:color w:val="002060"/>
        <w:sz w:val="16"/>
        <w:szCs w:val="16"/>
        <w:rtl/>
        <w:lang w:eastAsia="en-US"/>
      </w:rPr>
      <w:t xml:space="preserve"> </w:t>
    </w:r>
    <w:r w:rsidRPr="00210B1C">
      <w:rPr>
        <w:color w:val="002060"/>
        <w:sz w:val="16"/>
        <w:szCs w:val="16"/>
        <w:rtl/>
        <w:lang w:eastAsia="en-US"/>
      </w:rPr>
      <w:t>–</w:t>
    </w:r>
    <w:r w:rsidRPr="00210B1C">
      <w:rPr>
        <w:rFonts w:hint="cs"/>
        <w:color w:val="002060"/>
        <w:sz w:val="16"/>
        <w:szCs w:val="16"/>
        <w:rtl/>
        <w:lang w:eastAsia="en-US"/>
      </w:rPr>
      <w:t xml:space="preserve"> תחום חקיקה ומחקר משפטי</w:t>
    </w:r>
  </w:p>
  <w:p w:rsidR="00890E03" w:rsidRDefault="00890E03" w:rsidP="009D00C4">
    <w:pPr>
      <w:spacing w:before="0" w:after="0" w:line="240" w:lineRule="auto"/>
      <w:jc w:val="left"/>
      <w:rPr>
        <w:rtl/>
        <w:lang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C31" w:rsidRDefault="005C0C31">
      <w:r>
        <w:separator/>
      </w:r>
    </w:p>
  </w:footnote>
  <w:footnote w:type="continuationSeparator" w:id="0">
    <w:p w:rsidR="005C0C31" w:rsidRDefault="005C0C31">
      <w:r>
        <w:continuationSeparator/>
      </w:r>
    </w:p>
  </w:footnote>
  <w:footnote w:id="1">
    <w:p w:rsidR="003C150D" w:rsidRDefault="003C150D" w:rsidP="003C150D">
      <w:pPr>
        <w:pStyle w:val="aa"/>
        <w:jc w:val="both"/>
        <w:rPr>
          <w:rtl/>
        </w:rPr>
      </w:pPr>
      <w:r>
        <w:rPr>
          <w:rStyle w:val="ac"/>
        </w:rPr>
        <w:footnoteRef/>
      </w:r>
      <w:r>
        <w:rPr>
          <w:rFonts w:hint="cs"/>
          <w:rtl/>
        </w:rPr>
        <w:t xml:space="preserve"> יוער, כי לשם הנוחות במרבית חלקי המסמך נעשה שימוש במונח "חוקה". יחד עם זאת, בחלקיו התיאורטיים של המסמך נעשה לעיתים גם שימוש במונח הרחב יותר "מסמכים חוקתיים" כדי לתאר את האפשרות של סוגים שונים של מסמכים מסוג זה. </w:t>
      </w:r>
    </w:p>
  </w:footnote>
  <w:footnote w:id="2">
    <w:p w:rsidR="003C150D" w:rsidRDefault="003C150D" w:rsidP="003C150D">
      <w:pPr>
        <w:pStyle w:val="aa"/>
        <w:bidi w:val="0"/>
        <w:jc w:val="both"/>
        <w:rPr>
          <w:rtl/>
          <w:lang w:val="en-GB"/>
        </w:rPr>
      </w:pPr>
      <w:r>
        <w:rPr>
          <w:rStyle w:val="ac"/>
        </w:rPr>
        <w:footnoteRef/>
      </w:r>
      <w:r>
        <w:rPr>
          <w:rFonts w:hint="cs"/>
          <w:rtl/>
        </w:rPr>
        <w:t xml:space="preserve"> </w:t>
      </w:r>
      <w:r>
        <w:rPr>
          <w:lang w:val="en-GB"/>
        </w:rPr>
        <w:t xml:space="preserve">Merriam-Webster's Collegiate Dictionary </w:t>
      </w:r>
      <w:r>
        <w:rPr>
          <w:b/>
          <w:bCs/>
          <w:lang w:val="en-GB"/>
        </w:rPr>
        <w:t>Constitution</w:t>
      </w:r>
      <w:r>
        <w:rPr>
          <w:lang w:val="en-GB"/>
        </w:rPr>
        <w:t xml:space="preserve">: </w:t>
      </w:r>
      <w:r>
        <w:rPr>
          <w:rFonts w:hint="cs"/>
          <w:rtl/>
          <w:lang w:val="en-GB"/>
        </w:rPr>
        <w:t>"</w:t>
      </w:r>
      <w:r>
        <w:rPr>
          <w:lang w:val="en-GB"/>
        </w:rPr>
        <w:t>A. the basic principles and laws of a nation, state, or social group that determine the powers and duties of the government and guarantee certain rights to the people in it. B. written instrument embodying the rules of a political or social organization</w:t>
      </w:r>
      <w:r>
        <w:rPr>
          <w:rFonts w:hint="cs"/>
          <w:rtl/>
          <w:lang w:val="en-GB"/>
        </w:rPr>
        <w:t>"</w:t>
      </w:r>
      <w:r>
        <w:rPr>
          <w:lang w:val="en-GB"/>
        </w:rPr>
        <w:t>.</w:t>
      </w:r>
    </w:p>
  </w:footnote>
  <w:footnote w:id="3">
    <w:p w:rsidR="003C150D" w:rsidRDefault="003C150D" w:rsidP="003C150D">
      <w:pPr>
        <w:pStyle w:val="aa"/>
        <w:bidi w:val="0"/>
        <w:jc w:val="both"/>
        <w:rPr>
          <w:lang w:val="en-US"/>
        </w:rPr>
      </w:pPr>
      <w:r>
        <w:rPr>
          <w:rStyle w:val="ac"/>
        </w:rPr>
        <w:footnoteRef/>
      </w:r>
      <w:r>
        <w:rPr>
          <w:rFonts w:hint="cs"/>
          <w:rtl/>
        </w:rPr>
        <w:t xml:space="preserve"> </w:t>
      </w:r>
      <w:r>
        <w:rPr>
          <w:lang w:val="en-US"/>
        </w:rPr>
        <w:t xml:space="preserve">Zachary Elkins, Tom Ginsburg and James Melton, </w:t>
      </w:r>
      <w:r>
        <w:rPr>
          <w:smallCaps/>
          <w:lang w:val="en-US"/>
        </w:rPr>
        <w:t>The endurance of National Constitutions</w:t>
      </w:r>
      <w:r>
        <w:rPr>
          <w:lang w:val="en-US"/>
        </w:rPr>
        <w:t xml:space="preserve"> (Cambridge University Press, 2009), 36-38. </w:t>
      </w:r>
      <w:r>
        <w:t>Vlad Perju, Consti</w:t>
      </w:r>
      <w:r>
        <w:rPr>
          <w:lang w:val="en-US"/>
        </w:rPr>
        <w:t xml:space="preserve">tutional </w:t>
      </w:r>
      <w:r>
        <w:t xml:space="preserve">Transcripts, Borrowing and Migrations </w:t>
      </w:r>
      <w:r>
        <w:rPr>
          <w:i/>
          <w:iCs/>
        </w:rPr>
        <w:t>in</w:t>
      </w:r>
      <w:r>
        <w:t xml:space="preserve"> </w:t>
      </w:r>
      <w:r>
        <w:rPr>
          <w:smallCaps/>
        </w:rPr>
        <w:t>The Oxford Handbook of Comparative Constitutional Law</w:t>
      </w:r>
      <w:r>
        <w:rPr>
          <w:lang w:val="en-US"/>
        </w:rPr>
        <w:t xml:space="preserve"> (</w:t>
      </w:r>
      <w:r>
        <w:t>Michel Rosenfeld &amp; Adras Sajo</w:t>
      </w:r>
      <w:r>
        <w:rPr>
          <w:lang w:val="en-US"/>
        </w:rPr>
        <w:t xml:space="preserve">, </w:t>
      </w:r>
      <w:r>
        <w:t>ed.)</w:t>
      </w:r>
      <w:r>
        <w:rPr>
          <w:lang w:val="en-US"/>
        </w:rPr>
        <w:t>, 1304, 1309.</w:t>
      </w:r>
    </w:p>
  </w:footnote>
  <w:footnote w:id="4">
    <w:p w:rsidR="003C150D" w:rsidRDefault="003C150D" w:rsidP="003C150D">
      <w:pPr>
        <w:pStyle w:val="aa"/>
        <w:bidi w:val="0"/>
        <w:jc w:val="both"/>
        <w:rPr>
          <w:lang w:val="en-GB"/>
        </w:rPr>
      </w:pPr>
      <w:r>
        <w:rPr>
          <w:rStyle w:val="ac"/>
        </w:rPr>
        <w:footnoteRef/>
      </w:r>
      <w:r>
        <w:rPr>
          <w:rFonts w:hint="cs"/>
          <w:rtl/>
        </w:rPr>
        <w:t xml:space="preserve"> </w:t>
      </w:r>
      <w:r>
        <w:rPr>
          <w:lang w:val="en-GB"/>
        </w:rPr>
        <w:t>Tom Ginsburg, Nick Foti, and Daniel Rockmore, '“We the Peoples”: The Global Origins of Constitutional Preambles' (2014) 46 Geo. Wash. Int'l L. Rev. 101.</w:t>
      </w:r>
    </w:p>
  </w:footnote>
  <w:footnote w:id="5">
    <w:p w:rsidR="003C150D" w:rsidRDefault="003C150D" w:rsidP="003C150D">
      <w:pPr>
        <w:pStyle w:val="aa"/>
        <w:jc w:val="both"/>
      </w:pPr>
      <w:r>
        <w:rPr>
          <w:rStyle w:val="ac"/>
        </w:rPr>
        <w:footnoteRef/>
      </w:r>
      <w:r>
        <w:rPr>
          <w:rFonts w:hint="cs"/>
          <w:rtl/>
        </w:rPr>
        <w:t xml:space="preserve"> אמנון רובינשטיין וליאב אורגד "המבוא לחוקה ומעמדו המשפטי: המקרה של ישראל", </w:t>
      </w:r>
      <w:r>
        <w:rPr>
          <w:rFonts w:hint="cs"/>
          <w:b/>
          <w:bCs/>
          <w:rtl/>
        </w:rPr>
        <w:t>המשפט</w:t>
      </w:r>
      <w:r>
        <w:rPr>
          <w:rFonts w:hint="cs"/>
          <w:rtl/>
        </w:rPr>
        <w:t xml:space="preserve"> יא 79 (2007), 81.</w:t>
      </w:r>
    </w:p>
  </w:footnote>
  <w:footnote w:id="6">
    <w:p w:rsidR="003C150D" w:rsidRDefault="003C150D" w:rsidP="003C150D">
      <w:pPr>
        <w:pStyle w:val="aa"/>
        <w:jc w:val="both"/>
      </w:pPr>
      <w:r>
        <w:rPr>
          <w:rStyle w:val="ac"/>
        </w:rPr>
        <w:footnoteRef/>
      </w:r>
      <w:r>
        <w:rPr>
          <w:rFonts w:hint="cs"/>
          <w:rtl/>
        </w:rPr>
        <w:t xml:space="preserve"> אמנון רובינשטיין וליאב אורגד "המבוא לחוקה ומעמדו המשפטי: המקרה של ישראל", </w:t>
      </w:r>
      <w:r>
        <w:rPr>
          <w:rFonts w:hint="cs"/>
          <w:b/>
          <w:bCs/>
          <w:rtl/>
        </w:rPr>
        <w:t>המשפט</w:t>
      </w:r>
      <w:r>
        <w:rPr>
          <w:rFonts w:hint="cs"/>
          <w:rtl/>
        </w:rPr>
        <w:t xml:space="preserve"> יא 79 (2007), עמודים 82-81.</w:t>
      </w:r>
    </w:p>
  </w:footnote>
  <w:footnote w:id="7">
    <w:p w:rsidR="003C150D" w:rsidRDefault="003C150D" w:rsidP="003C150D">
      <w:pPr>
        <w:pStyle w:val="aa"/>
        <w:jc w:val="both"/>
        <w:rPr>
          <w:rtl/>
        </w:rPr>
      </w:pPr>
      <w:r>
        <w:rPr>
          <w:rStyle w:val="ac"/>
        </w:rPr>
        <w:footnoteRef/>
      </w:r>
      <w:r>
        <w:rPr>
          <w:rFonts w:hint="cs"/>
          <w:rtl/>
        </w:rPr>
        <w:t xml:space="preserve"> אמנון רובינשטיין וליאב אורגד "המבוא לחוקה ומעמדו המשפטי: המקרה של ישראל", </w:t>
      </w:r>
      <w:r>
        <w:rPr>
          <w:rFonts w:hint="cs"/>
          <w:b/>
          <w:bCs/>
          <w:rtl/>
        </w:rPr>
        <w:t>המשפט</w:t>
      </w:r>
      <w:r>
        <w:rPr>
          <w:rFonts w:hint="cs"/>
          <w:rtl/>
        </w:rPr>
        <w:t xml:space="preserve"> יא 79 (2007), עמודים 82-81.</w:t>
      </w:r>
    </w:p>
    <w:p w:rsidR="003C150D" w:rsidRDefault="003C150D" w:rsidP="002C6CED">
      <w:pPr>
        <w:pStyle w:val="aa"/>
        <w:bidi w:val="0"/>
        <w:jc w:val="both"/>
        <w:rPr>
          <w:rtl/>
          <w:lang w:val="en-GB"/>
        </w:rPr>
      </w:pPr>
      <w:r>
        <w:rPr>
          <w:lang w:val="en-US"/>
        </w:rPr>
        <w:tab/>
        <w:t>M/S. Buhari Sons Pvt. Ltd. vs. The State of Tamil Nadu (12 June, 2014), para 43: "No reading of any Constitution can be complete without reading it from the beginning to the end. While the end may expand, or alter, the point of commencement can never change. It is the Preamble wherefrom the Constitution commences. Hence, the significance of the Preamble".</w:t>
      </w:r>
    </w:p>
  </w:footnote>
  <w:footnote w:id="8">
    <w:p w:rsidR="003C150D" w:rsidRDefault="003C150D" w:rsidP="003C150D">
      <w:pPr>
        <w:pStyle w:val="aa"/>
        <w:bidi w:val="0"/>
        <w:jc w:val="both"/>
        <w:rPr>
          <w:lang w:val="en-US"/>
        </w:rPr>
      </w:pPr>
      <w:r>
        <w:rPr>
          <w:rStyle w:val="ac"/>
        </w:rPr>
        <w:footnoteRef/>
      </w:r>
      <w:r>
        <w:rPr>
          <w:rFonts w:hint="cs"/>
          <w:rtl/>
        </w:rPr>
        <w:t xml:space="preserve"> </w:t>
      </w:r>
      <w:r>
        <w:rPr>
          <w:lang w:val="en-GB"/>
        </w:rPr>
        <w:t xml:space="preserve">Tom Ginsburg, Nick Foti, and Daniel Rockmore, '“We the Peoples”: The Global Origins of Constitutional Preambles' (2014) 46 Geo. Wash. Int'l L. Rev. 107. Plato, </w:t>
      </w:r>
      <w:r>
        <w:rPr>
          <w:smallCaps/>
          <w:lang w:val="en-GB"/>
        </w:rPr>
        <w:t>The Laws</w:t>
      </w:r>
      <w:r>
        <w:rPr>
          <w:lang w:val="en-GB"/>
        </w:rPr>
        <w:t xml:space="preserve"> 132 (Translation by Trevor J. Sanders, 2004)</w:t>
      </w:r>
      <w:r>
        <w:rPr>
          <w:lang w:val="en-US"/>
        </w:rPr>
        <w:t>.</w:t>
      </w:r>
    </w:p>
  </w:footnote>
  <w:footnote w:id="9">
    <w:p w:rsidR="003C150D" w:rsidRDefault="003C150D" w:rsidP="003C150D">
      <w:pPr>
        <w:pStyle w:val="aa"/>
        <w:bidi w:val="0"/>
        <w:jc w:val="both"/>
        <w:rPr>
          <w:lang w:val="en-GB"/>
        </w:rPr>
      </w:pPr>
      <w:r>
        <w:rPr>
          <w:rStyle w:val="ac"/>
        </w:rPr>
        <w:footnoteRef/>
      </w:r>
      <w:r>
        <w:rPr>
          <w:rFonts w:hint="cs"/>
          <w:rtl/>
        </w:rPr>
        <w:t xml:space="preserve"> </w:t>
      </w:r>
      <w:r>
        <w:rPr>
          <w:lang w:val="en-GB"/>
        </w:rPr>
        <w:t>Kent Roach, The Uses and Audiences of Preambles in Legislation (2001) 47 McGill LJ. 129, pp 154-158.</w:t>
      </w:r>
    </w:p>
  </w:footnote>
  <w:footnote w:id="10">
    <w:p w:rsidR="003C150D" w:rsidRDefault="003C150D" w:rsidP="003C150D">
      <w:pPr>
        <w:pStyle w:val="aa"/>
        <w:bidi w:val="0"/>
        <w:jc w:val="both"/>
        <w:rPr>
          <w:lang w:val="en-GB"/>
        </w:rPr>
      </w:pPr>
      <w:r>
        <w:rPr>
          <w:rStyle w:val="ac"/>
        </w:rPr>
        <w:footnoteRef/>
      </w:r>
      <w:r>
        <w:rPr>
          <w:rFonts w:hint="cs"/>
          <w:rtl/>
        </w:rPr>
        <w:t xml:space="preserve"> </w:t>
      </w:r>
      <w:r>
        <w:rPr>
          <w:lang w:val="en-GB"/>
        </w:rPr>
        <w:t>Tom Ginsburg, Nick Foti, and Daniel Rockmore, '“We the Peoples”: The Global Origins of Constitutional Preambles' (2014) 46 Geo. Wash. Int'l L. Rev. 107-108.</w:t>
      </w:r>
    </w:p>
  </w:footnote>
  <w:footnote w:id="11">
    <w:p w:rsidR="003C150D" w:rsidRDefault="003C150D" w:rsidP="003C150D">
      <w:pPr>
        <w:pStyle w:val="aa"/>
        <w:bidi w:val="0"/>
        <w:jc w:val="both"/>
        <w:rPr>
          <w:lang w:val="en-GB"/>
        </w:rPr>
      </w:pPr>
      <w:r>
        <w:rPr>
          <w:rStyle w:val="ac"/>
        </w:rPr>
        <w:footnoteRef/>
      </w:r>
      <w:r>
        <w:rPr>
          <w:rFonts w:hint="cs"/>
          <w:rtl/>
        </w:rPr>
        <w:t xml:space="preserve"> </w:t>
      </w:r>
      <w:r>
        <w:rPr>
          <w:lang w:val="en-GB"/>
        </w:rPr>
        <w:t>Ibid, pp 108-109.</w:t>
      </w:r>
    </w:p>
  </w:footnote>
  <w:footnote w:id="12">
    <w:p w:rsidR="003C150D" w:rsidRDefault="003C150D" w:rsidP="003C150D">
      <w:pPr>
        <w:pStyle w:val="aa"/>
        <w:bidi w:val="0"/>
        <w:jc w:val="both"/>
        <w:rPr>
          <w:lang w:val="en-US"/>
        </w:rPr>
      </w:pPr>
      <w:r>
        <w:rPr>
          <w:rStyle w:val="ac"/>
        </w:rPr>
        <w:footnoteRef/>
      </w:r>
      <w:r>
        <w:rPr>
          <w:lang w:val="en-US"/>
        </w:rPr>
        <w:t xml:space="preserve"> </w:t>
      </w:r>
      <w:r>
        <w:t>David S. Law, Constitutional Archetypes 95 Texas Law Review 153 (2016)</w:t>
      </w:r>
      <w:r>
        <w:rPr>
          <w:lang w:val="en-US"/>
        </w:rPr>
        <w:t>, pp 155-182.</w:t>
      </w:r>
    </w:p>
  </w:footnote>
  <w:footnote w:id="13">
    <w:p w:rsidR="00F74C1F" w:rsidRDefault="00F74C1F" w:rsidP="00285408">
      <w:pPr>
        <w:pStyle w:val="aa"/>
        <w:jc w:val="both"/>
        <w:rPr>
          <w:rtl/>
        </w:rPr>
      </w:pPr>
      <w:r>
        <w:rPr>
          <w:rStyle w:val="ac"/>
        </w:rPr>
        <w:footnoteRef/>
      </w:r>
      <w:r>
        <w:rPr>
          <w:rtl/>
        </w:rPr>
        <w:t xml:space="preserve"> </w:t>
      </w:r>
      <w:r w:rsidR="00285408">
        <w:rPr>
          <w:rtl/>
        </w:rPr>
        <w:t>שיט</w:t>
      </w:r>
      <w:r w:rsidR="00285408">
        <w:rPr>
          <w:rFonts w:hint="cs"/>
          <w:rtl/>
        </w:rPr>
        <w:t>ת המשפט המקובל היא שיטה</w:t>
      </w:r>
      <w:r w:rsidR="00285408" w:rsidRPr="00285408">
        <w:rPr>
          <w:rtl/>
        </w:rPr>
        <w:t xml:space="preserve"> משפטית </w:t>
      </w:r>
      <w:r w:rsidR="00285408">
        <w:rPr>
          <w:rFonts w:hint="cs"/>
          <w:rtl/>
        </w:rPr>
        <w:t>הנהוגה בעיקר בעולם האנגלו-אמריקאי</w:t>
      </w:r>
      <w:r w:rsidR="00285408" w:rsidRPr="00285408">
        <w:rPr>
          <w:rtl/>
        </w:rPr>
        <w:t xml:space="preserve">, </w:t>
      </w:r>
      <w:r w:rsidR="00285408">
        <w:rPr>
          <w:rFonts w:hint="cs"/>
          <w:rtl/>
        </w:rPr>
        <w:t>ו</w:t>
      </w:r>
      <w:r w:rsidR="00285408" w:rsidRPr="00285408">
        <w:rPr>
          <w:rtl/>
        </w:rPr>
        <w:t xml:space="preserve">במיוחד </w:t>
      </w:r>
      <w:r w:rsidR="00285408">
        <w:rPr>
          <w:rFonts w:hint="cs"/>
          <w:rtl/>
        </w:rPr>
        <w:t xml:space="preserve">במדינות </w:t>
      </w:r>
      <w:r w:rsidR="00285408" w:rsidRPr="00285408">
        <w:rPr>
          <w:rtl/>
        </w:rPr>
        <w:t xml:space="preserve">השייכות לחבר העמים הבריטי או </w:t>
      </w:r>
      <w:r w:rsidR="00285408">
        <w:rPr>
          <w:rFonts w:hint="cs"/>
          <w:rtl/>
        </w:rPr>
        <w:t xml:space="preserve">כאלה </w:t>
      </w:r>
      <w:r w:rsidR="00285408" w:rsidRPr="00285408">
        <w:rPr>
          <w:rtl/>
        </w:rPr>
        <w:t xml:space="preserve">שהיו בעבר תחת </w:t>
      </w:r>
      <w:r w:rsidR="00285408">
        <w:rPr>
          <w:rFonts w:hint="cs"/>
          <w:rtl/>
        </w:rPr>
        <w:t>שלטון בריטי (קנדה, אוסטרליה וכדומה).</w:t>
      </w:r>
    </w:p>
  </w:footnote>
  <w:footnote w:id="14">
    <w:p w:rsidR="00285408" w:rsidRDefault="00285408" w:rsidP="00285408">
      <w:pPr>
        <w:pStyle w:val="aa"/>
      </w:pPr>
      <w:r>
        <w:rPr>
          <w:rStyle w:val="ac"/>
        </w:rPr>
        <w:footnoteRef/>
      </w:r>
      <w:r>
        <w:rPr>
          <w:rtl/>
        </w:rPr>
        <w:t xml:space="preserve"> </w:t>
      </w:r>
      <w:r>
        <w:rPr>
          <w:rFonts w:hint="cs"/>
          <w:rtl/>
        </w:rPr>
        <w:t xml:space="preserve">שיטת המשפט הקונטיננטלי היא שיטה משפטית שנהוגה בעיקר במדינות אירופה השונות (גרמניה, צרפת וכדומה). </w:t>
      </w:r>
    </w:p>
  </w:footnote>
  <w:footnote w:id="15">
    <w:p w:rsidR="003C150D" w:rsidRDefault="003C150D" w:rsidP="00F74C1F">
      <w:pPr>
        <w:pStyle w:val="aa"/>
        <w:jc w:val="both"/>
      </w:pPr>
      <w:r>
        <w:rPr>
          <w:rStyle w:val="ac"/>
        </w:rPr>
        <w:footnoteRef/>
      </w:r>
      <w:r>
        <w:rPr>
          <w:rFonts w:hint="cs"/>
          <w:rtl/>
        </w:rPr>
        <w:t xml:space="preserve"> </w:t>
      </w:r>
      <w:r w:rsidR="00F74C1F">
        <w:rPr>
          <w:rFonts w:hint="cs"/>
          <w:rtl/>
        </w:rPr>
        <w:t xml:space="preserve">אמנון רובינשטיין וליאב אורגד "המבוא לחוקה ומעמדו המשפטי: המקרה של ישראל", </w:t>
      </w:r>
      <w:r w:rsidR="00F74C1F">
        <w:rPr>
          <w:rFonts w:hint="cs"/>
          <w:b/>
          <w:bCs/>
          <w:rtl/>
        </w:rPr>
        <w:t>המשפט</w:t>
      </w:r>
      <w:r w:rsidR="00F74C1F">
        <w:rPr>
          <w:rFonts w:hint="cs"/>
          <w:rtl/>
        </w:rPr>
        <w:t xml:space="preserve"> יא 79 (2007),</w:t>
      </w:r>
      <w:r>
        <w:rPr>
          <w:rFonts w:hint="cs"/>
          <w:rtl/>
        </w:rPr>
        <w:t xml:space="preserve"> עמודים 85-82.</w:t>
      </w:r>
    </w:p>
  </w:footnote>
  <w:footnote w:id="16">
    <w:p w:rsidR="003C150D" w:rsidRDefault="003C150D" w:rsidP="003C150D">
      <w:pPr>
        <w:pStyle w:val="aa"/>
        <w:jc w:val="both"/>
      </w:pPr>
      <w:r>
        <w:rPr>
          <w:rStyle w:val="ac"/>
        </w:rPr>
        <w:footnoteRef/>
      </w:r>
      <w:r>
        <w:rPr>
          <w:rFonts w:hint="cs"/>
          <w:rtl/>
        </w:rPr>
        <w:t xml:space="preserve"> ראו לדוגמה חוקת ארגנטינה שמשלבת בין העם כריבון ובין הגוף הנבחר והמייצג של העם:</w:t>
      </w:r>
    </w:p>
    <w:p w:rsidR="003C150D" w:rsidRDefault="003C150D" w:rsidP="003C150D">
      <w:pPr>
        <w:pStyle w:val="aa"/>
        <w:bidi w:val="0"/>
        <w:jc w:val="both"/>
        <w:rPr>
          <w:rtl/>
          <w:lang w:val="en-US"/>
        </w:rPr>
      </w:pPr>
      <w:r>
        <w:rPr>
          <w:lang w:val="en-US"/>
        </w:rPr>
        <w:tab/>
        <w:t>"</w:t>
      </w:r>
      <w:r>
        <w:rPr>
          <w:b/>
          <w:bCs/>
        </w:rPr>
        <w:t>We, the representatives of the people of the Argentine Nation, gathered in General Constituent Assembly</w:t>
      </w:r>
      <w:r>
        <w:rPr>
          <w:lang w:val="en-US"/>
        </w:rPr>
        <w:t>".</w:t>
      </w:r>
    </w:p>
  </w:footnote>
  <w:footnote w:id="17">
    <w:p w:rsidR="003C150D" w:rsidRDefault="003C150D" w:rsidP="003C150D">
      <w:pPr>
        <w:pStyle w:val="aa"/>
        <w:jc w:val="both"/>
        <w:rPr>
          <w:lang w:val="en-GB"/>
        </w:rPr>
      </w:pPr>
      <w:r>
        <w:rPr>
          <w:rStyle w:val="ac"/>
        </w:rPr>
        <w:footnoteRef/>
      </w:r>
      <w:r>
        <w:rPr>
          <w:rFonts w:hint="cs"/>
          <w:rtl/>
        </w:rPr>
        <w:t xml:space="preserve"> אמנון רובינשטיין וליאב אורגד "המבוא לחוקה ומעמדו המשפטי: המקרה של ישראל", </w:t>
      </w:r>
      <w:r>
        <w:rPr>
          <w:rFonts w:hint="cs"/>
          <w:b/>
          <w:bCs/>
          <w:rtl/>
        </w:rPr>
        <w:t>המשפט</w:t>
      </w:r>
      <w:r>
        <w:rPr>
          <w:rFonts w:hint="cs"/>
          <w:rtl/>
        </w:rPr>
        <w:t xml:space="preserve"> יא 79 (2007), עמודים</w:t>
      </w:r>
      <w:r>
        <w:rPr>
          <w:rFonts w:hint="cs"/>
          <w:rtl/>
          <w:lang w:val="en-GB"/>
        </w:rPr>
        <w:t xml:space="preserve"> 83-82. ראו לדוגמה חוקת יוון: </w:t>
      </w:r>
      <w:r>
        <w:rPr>
          <w:lang w:val="en-GB"/>
        </w:rPr>
        <w:t>In the name of the Holy and Consubstantial and Indivisible Trinity</w:t>
      </w:r>
      <w:r>
        <w:rPr>
          <w:rFonts w:hint="cs"/>
          <w:rtl/>
          <w:lang w:val="en-GB"/>
        </w:rPr>
        <w:t>.</w:t>
      </w:r>
    </w:p>
  </w:footnote>
  <w:footnote w:id="18">
    <w:p w:rsidR="003C150D" w:rsidRDefault="003C150D" w:rsidP="003C150D">
      <w:pPr>
        <w:pStyle w:val="aa"/>
        <w:jc w:val="both"/>
        <w:rPr>
          <w:rtl/>
        </w:rPr>
      </w:pPr>
      <w:r>
        <w:rPr>
          <w:rStyle w:val="ac"/>
        </w:rPr>
        <w:footnoteRef/>
      </w:r>
      <w:r>
        <w:rPr>
          <w:rFonts w:hint="cs"/>
          <w:rtl/>
        </w:rPr>
        <w:t xml:space="preserve"> שם, עמודים 83-82. ראו גם: </w:t>
      </w:r>
    </w:p>
    <w:p w:rsidR="003C150D" w:rsidRDefault="003C150D" w:rsidP="003C150D">
      <w:pPr>
        <w:pStyle w:val="aa"/>
        <w:bidi w:val="0"/>
        <w:jc w:val="both"/>
        <w:rPr>
          <w:rtl/>
          <w:lang w:val="en-GB"/>
        </w:rPr>
      </w:pPr>
      <w:r>
        <w:rPr>
          <w:lang w:val="en-US"/>
        </w:rPr>
        <w:tab/>
      </w:r>
      <w:r>
        <w:rPr>
          <w:rFonts w:hint="cs"/>
          <w:rtl/>
        </w:rPr>
        <w:t xml:space="preserve"> </w:t>
      </w:r>
      <w:r>
        <w:rPr>
          <w:lang w:val="en-GB"/>
        </w:rPr>
        <w:t>Geneviève Zubrzycki, "We, the Polish Nation": Ethnic and Civic Visions of Nationhood in Post-Communist Constitutional Debates, Theory and Society, Vol. 30, No. 5 (Oct., 2001), pp. 629-668.</w:t>
      </w:r>
    </w:p>
  </w:footnote>
  <w:footnote w:id="19">
    <w:p w:rsidR="003C150D" w:rsidRDefault="003C150D" w:rsidP="003C150D">
      <w:pPr>
        <w:pStyle w:val="aa"/>
        <w:bidi w:val="0"/>
        <w:jc w:val="both"/>
        <w:rPr>
          <w:lang w:val="en-GB"/>
        </w:rPr>
      </w:pPr>
      <w:r>
        <w:rPr>
          <w:rStyle w:val="ac"/>
        </w:rPr>
        <w:footnoteRef/>
      </w:r>
      <w:r>
        <w:rPr>
          <w:rFonts w:hint="cs"/>
          <w:rtl/>
        </w:rPr>
        <w:t xml:space="preserve"> </w:t>
      </w:r>
      <w:r>
        <w:rPr>
          <w:lang w:val="en-GB"/>
        </w:rPr>
        <w:t>Liav Orgad; The preamble in constitutional interpretation, International Journal of Constitutional Law, Volume 8, Issue 4, 1 October 2010, pp 714–738.</w:t>
      </w:r>
    </w:p>
  </w:footnote>
  <w:footnote w:id="20">
    <w:p w:rsidR="003C150D" w:rsidRDefault="003C150D" w:rsidP="003C150D">
      <w:pPr>
        <w:pStyle w:val="aa"/>
        <w:jc w:val="both"/>
        <w:rPr>
          <w:lang w:val="en-US"/>
        </w:rPr>
      </w:pPr>
      <w:r>
        <w:rPr>
          <w:rStyle w:val="ac"/>
        </w:rPr>
        <w:footnoteRef/>
      </w:r>
      <w:r>
        <w:rPr>
          <w:rFonts w:hint="cs"/>
          <w:rtl/>
        </w:rPr>
        <w:t xml:space="preserve"> אמנון רובינשטיין וליאב אורגד "המבוא לחוקה ומעמדו המשפטי: המקרה של ישראל", </w:t>
      </w:r>
      <w:r>
        <w:rPr>
          <w:rFonts w:hint="cs"/>
          <w:b/>
          <w:bCs/>
          <w:rtl/>
        </w:rPr>
        <w:t>המשפט</w:t>
      </w:r>
      <w:r>
        <w:rPr>
          <w:rFonts w:hint="cs"/>
          <w:rtl/>
        </w:rPr>
        <w:t xml:space="preserve"> יא 79 (2007), 83. ראו לדוגמה בחוקת דרום אפריקה את ההפניות לסבל שנגרם לעם במדינה זו, כמו גם הבניה המשותפת של המדינה בידי העם לאור אירועי העבר (</w:t>
      </w:r>
      <w:r>
        <w:rPr>
          <w:lang w:val="en-US"/>
        </w:rPr>
        <w:t>"</w:t>
      </w:r>
      <w:r>
        <w:rPr>
          <w:b/>
          <w:bCs/>
        </w:rPr>
        <w:t>We, the people of South Africa, Recognise the injustices of our past; Honour those who suffered for justice and freedom in our land; Respect those who have worked to build and develop our country; and Believe that South Africa belongs to all who live in it, united I</w:t>
      </w:r>
      <w:r>
        <w:rPr>
          <w:b/>
          <w:bCs/>
          <w:lang w:val="en-US"/>
        </w:rPr>
        <w:t>n our diversity</w:t>
      </w:r>
      <w:r>
        <w:rPr>
          <w:lang w:val="en-US"/>
        </w:rPr>
        <w:t>"</w:t>
      </w:r>
      <w:r>
        <w:rPr>
          <w:rFonts w:hint="cs"/>
          <w:rtl/>
        </w:rPr>
        <w:t>), או לדוגמה חוקת בוסניה והרצגובינה שמזכירה את הסכמי הפסקת האש שבעקבותיהם המדינה הוקמה (</w:t>
      </w:r>
      <w:r>
        <w:rPr>
          <w:lang w:val="en-US"/>
        </w:rPr>
        <w:t>"</w:t>
      </w:r>
      <w:r>
        <w:rPr>
          <w:b/>
          <w:bCs/>
        </w:rPr>
        <w:t>Recalling the Basic Principles agreed in Geneva on September 8, 1995, and in New York on September 26, 1995</w:t>
      </w:r>
      <w:r>
        <w:rPr>
          <w:lang w:val="en-US"/>
        </w:rPr>
        <w:t>"</w:t>
      </w:r>
      <w:r>
        <w:rPr>
          <w:rFonts w:hint="cs"/>
          <w:rtl/>
        </w:rPr>
        <w:t>).</w:t>
      </w:r>
    </w:p>
  </w:footnote>
  <w:footnote w:id="21">
    <w:p w:rsidR="003C150D" w:rsidRDefault="003C150D" w:rsidP="003C150D">
      <w:pPr>
        <w:pStyle w:val="aa"/>
        <w:jc w:val="both"/>
      </w:pPr>
      <w:r>
        <w:rPr>
          <w:rStyle w:val="ac"/>
        </w:rPr>
        <w:footnoteRef/>
      </w:r>
      <w:r>
        <w:rPr>
          <w:rFonts w:hint="cs"/>
          <w:rtl/>
        </w:rPr>
        <w:t xml:space="preserve"> אמנון רובינשטיין וליאב אורגד "המבוא לחוקה ומעמדו המשפטי: המקרה של ישראל", </w:t>
      </w:r>
      <w:r>
        <w:rPr>
          <w:rFonts w:hint="cs"/>
          <w:b/>
          <w:bCs/>
          <w:rtl/>
        </w:rPr>
        <w:t>המשפט</w:t>
      </w:r>
      <w:r>
        <w:rPr>
          <w:rFonts w:hint="cs"/>
          <w:rtl/>
        </w:rPr>
        <w:t xml:space="preserve"> יא 79 (2007), עמודים</w:t>
      </w:r>
      <w:r>
        <w:rPr>
          <w:rFonts w:hint="cs"/>
          <w:rtl/>
          <w:lang w:val="en-GB"/>
        </w:rPr>
        <w:t xml:space="preserve"> 84-83.</w:t>
      </w:r>
    </w:p>
  </w:footnote>
  <w:footnote w:id="22">
    <w:p w:rsidR="003C150D" w:rsidRDefault="003C150D" w:rsidP="003C150D">
      <w:pPr>
        <w:pStyle w:val="aa"/>
        <w:jc w:val="both"/>
        <w:rPr>
          <w:rtl/>
        </w:rPr>
      </w:pPr>
      <w:r>
        <w:rPr>
          <w:rStyle w:val="ac"/>
        </w:rPr>
        <w:footnoteRef/>
      </w:r>
      <w:r>
        <w:rPr>
          <w:rFonts w:hint="cs"/>
          <w:rtl/>
        </w:rPr>
        <w:t xml:space="preserve"> שם, 84.</w:t>
      </w:r>
    </w:p>
  </w:footnote>
  <w:footnote w:id="23">
    <w:p w:rsidR="003C150D" w:rsidRDefault="003C150D" w:rsidP="003C150D">
      <w:pPr>
        <w:pStyle w:val="aa"/>
        <w:jc w:val="both"/>
      </w:pPr>
      <w:r>
        <w:rPr>
          <w:rStyle w:val="ac"/>
        </w:rPr>
        <w:footnoteRef/>
      </w:r>
      <w:r>
        <w:rPr>
          <w:rFonts w:hint="cs"/>
          <w:rtl/>
        </w:rPr>
        <w:t xml:space="preserve"> ראו לדוגמה המבוא לחוקת ברזיל שמזכיר את הגנת האל שבחסותה החוקה נקבעת (</w:t>
      </w:r>
      <w:r>
        <w:rPr>
          <w:lang w:val="en-US"/>
        </w:rPr>
        <w:t>"</w:t>
      </w:r>
      <w:r>
        <w:rPr>
          <w:b/>
          <w:bCs/>
        </w:rPr>
        <w:t>under the protection of God</w:t>
      </w:r>
      <w:r>
        <w:rPr>
          <w:lang w:val="en-US"/>
        </w:rPr>
        <w:t>"</w:t>
      </w:r>
      <w:r>
        <w:rPr>
          <w:rFonts w:hint="cs"/>
          <w:rtl/>
        </w:rPr>
        <w:t>), או המבוא לצ'ארטר הקנדי שקובע כי קנדה נוסדה על בסיס עקרונות שמכירים בעליונות האל ובשלטון החוק (</w:t>
      </w:r>
      <w:r>
        <w:rPr>
          <w:lang w:val="en-US"/>
        </w:rPr>
        <w:t>"</w:t>
      </w:r>
      <w:r>
        <w:rPr>
          <w:b/>
          <w:bCs/>
        </w:rPr>
        <w:t>Whereas Canada is founded upon principles that recognize the supremacy of God and the rule of law</w:t>
      </w:r>
      <w:r>
        <w:rPr>
          <w:lang w:val="en-US"/>
        </w:rPr>
        <w:t>"</w:t>
      </w:r>
      <w:r>
        <w:rPr>
          <w:rFonts w:hint="cs"/>
          <w:rtl/>
        </w:rPr>
        <w:t>), או המבוא לחוקה הגרמנית שמזכיר את האחריות של המנסחים בפני האל ובפני בני האדם (</w:t>
      </w:r>
      <w:r>
        <w:rPr>
          <w:lang w:val="en-US"/>
        </w:rPr>
        <w:t>"</w:t>
      </w:r>
      <w:r>
        <w:rPr>
          <w:b/>
          <w:bCs/>
        </w:rPr>
        <w:t>Conscious of their responsibility before God and man</w:t>
      </w:r>
      <w:r>
        <w:rPr>
          <w:lang w:val="en-US"/>
        </w:rPr>
        <w:t>"</w:t>
      </w:r>
      <w:r>
        <w:rPr>
          <w:rFonts w:hint="cs"/>
          <w:rtl/>
        </w:rPr>
        <w:t>).</w:t>
      </w:r>
    </w:p>
  </w:footnote>
  <w:footnote w:id="24">
    <w:p w:rsidR="003C150D" w:rsidRDefault="003C150D" w:rsidP="003C150D">
      <w:pPr>
        <w:pStyle w:val="aa"/>
        <w:jc w:val="both"/>
        <w:rPr>
          <w:rtl/>
        </w:rPr>
      </w:pPr>
      <w:r>
        <w:rPr>
          <w:rStyle w:val="ac"/>
        </w:rPr>
        <w:footnoteRef/>
      </w:r>
      <w:r>
        <w:rPr>
          <w:rFonts w:hint="cs"/>
          <w:rtl/>
        </w:rPr>
        <w:t xml:space="preserve"> דוגמא מעניינת שהוזכרה כבר לעיל (בחסות הריבון כמקור הסמכות) היא יוון, שבה מקור הסמכות שמוזכר במבוא הוא השילוש הקדוש (</w:t>
      </w:r>
      <w:r>
        <w:rPr>
          <w:lang w:val="en-US"/>
        </w:rPr>
        <w:t>"</w:t>
      </w:r>
      <w:r>
        <w:rPr>
          <w:b/>
          <w:bCs/>
        </w:rPr>
        <w:t>In the name of the Holy and Consubstantial and Indivisible Trinity</w:t>
      </w:r>
      <w:r>
        <w:rPr>
          <w:lang w:val="en-US"/>
        </w:rPr>
        <w:t>"</w:t>
      </w:r>
      <w:r>
        <w:rPr>
          <w:rFonts w:hint="cs"/>
          <w:rtl/>
        </w:rPr>
        <w:t>). דוגמה נוספת היא חוקת אירלנד, ראו:</w:t>
      </w:r>
    </w:p>
    <w:p w:rsidR="003C150D" w:rsidRDefault="003C150D" w:rsidP="003C150D">
      <w:pPr>
        <w:pStyle w:val="aa"/>
        <w:bidi w:val="0"/>
        <w:jc w:val="both"/>
        <w:rPr>
          <w:rtl/>
          <w:lang w:val="en-US"/>
        </w:rPr>
      </w:pPr>
      <w:r>
        <w:rPr>
          <w:lang w:val="en-US"/>
        </w:rPr>
        <w:tab/>
        <w:t>Mark McKenna, Amelia Simpson and George Williams, First Words: The Preamble to the Australian Constitution, UNSW Law Journal Vol 24(2), 2001, page 383.</w:t>
      </w:r>
    </w:p>
  </w:footnote>
  <w:footnote w:id="25">
    <w:p w:rsidR="003C150D" w:rsidRDefault="003C150D" w:rsidP="003C150D">
      <w:pPr>
        <w:pStyle w:val="aa"/>
        <w:jc w:val="both"/>
        <w:rPr>
          <w:lang w:val="en-GB"/>
        </w:rPr>
      </w:pPr>
      <w:r>
        <w:rPr>
          <w:rStyle w:val="ac"/>
        </w:rPr>
        <w:footnoteRef/>
      </w:r>
      <w:r>
        <w:rPr>
          <w:rFonts w:hint="cs"/>
          <w:rtl/>
        </w:rPr>
        <w:t xml:space="preserve"> לדוגמה המבוא לחוקת הודו שקובע בפתח הדברים כי המדינה מוקמת כרפובליקה דמוקרטית, סוציאליסטית, חילונית וריבונית (</w:t>
      </w:r>
      <w:r>
        <w:rPr>
          <w:lang w:val="en-US"/>
        </w:rPr>
        <w:t>"</w:t>
      </w:r>
      <w:r>
        <w:rPr>
          <w:b/>
          <w:bCs/>
          <w:lang w:val="en-GB"/>
        </w:rPr>
        <w:t>having solemnly resolved to constitute India into a Sovereign Socialist Secular Democratic Republic</w:t>
      </w:r>
      <w:r>
        <w:rPr>
          <w:lang w:val="en-GB"/>
        </w:rPr>
        <w:t>"</w:t>
      </w:r>
      <w:r>
        <w:rPr>
          <w:rFonts w:hint="cs"/>
          <w:rtl/>
          <w:lang w:val="en-GB"/>
        </w:rPr>
        <w:t>).</w:t>
      </w:r>
    </w:p>
  </w:footnote>
  <w:footnote w:id="26">
    <w:p w:rsidR="003C150D" w:rsidRDefault="003C150D" w:rsidP="003C150D">
      <w:pPr>
        <w:pStyle w:val="aa"/>
        <w:jc w:val="both"/>
        <w:rPr>
          <w:rtl/>
        </w:rPr>
      </w:pPr>
      <w:r>
        <w:rPr>
          <w:rStyle w:val="ac"/>
        </w:rPr>
        <w:footnoteRef/>
      </w:r>
      <w:r>
        <w:rPr>
          <w:rFonts w:hint="cs"/>
          <w:rtl/>
        </w:rPr>
        <w:t xml:space="preserve"> שם, עמודים 85-84.</w:t>
      </w:r>
    </w:p>
  </w:footnote>
  <w:footnote w:id="27">
    <w:p w:rsidR="003C150D" w:rsidRDefault="003C150D" w:rsidP="003C150D">
      <w:pPr>
        <w:pStyle w:val="aa"/>
        <w:jc w:val="both"/>
        <w:rPr>
          <w:rtl/>
        </w:rPr>
      </w:pPr>
      <w:r>
        <w:rPr>
          <w:rStyle w:val="ac"/>
        </w:rPr>
        <w:footnoteRef/>
      </w:r>
      <w:r>
        <w:rPr>
          <w:rFonts w:hint="cs"/>
          <w:rtl/>
        </w:rPr>
        <w:t xml:space="preserve"> לדוגמה, ראו את שפת המבוא והסגנון של חוקת דרום וייטנאם משנת 1965 בהשוואה לשפת המבוא של חוקת בהוטן משנת 2005. כמו כן ראו: </w:t>
      </w:r>
    </w:p>
    <w:p w:rsidR="003C150D" w:rsidRDefault="003C150D" w:rsidP="003C150D">
      <w:pPr>
        <w:pStyle w:val="aa"/>
        <w:bidi w:val="0"/>
        <w:jc w:val="both"/>
        <w:rPr>
          <w:rtl/>
          <w:lang w:val="en-US"/>
        </w:rPr>
      </w:pPr>
      <w:r>
        <w:rPr>
          <w:lang w:val="en-GB"/>
        </w:rPr>
        <w:tab/>
        <w:t>Tom Ginsburg, Nick Foti, and Daniel Rockmore, '“We the Peoples”: The Global Origins of Constitutional Preambles' (2014) 46 Geo. Wash. Int'l L. Rev. 107, pp 114-115.</w:t>
      </w:r>
    </w:p>
  </w:footnote>
  <w:footnote w:id="28">
    <w:p w:rsidR="003C150D" w:rsidRDefault="003C150D" w:rsidP="003C150D">
      <w:pPr>
        <w:pStyle w:val="aa"/>
        <w:bidi w:val="0"/>
        <w:jc w:val="both"/>
        <w:rPr>
          <w:rtl/>
          <w:lang w:val="en-US"/>
        </w:rPr>
      </w:pPr>
      <w:r>
        <w:rPr>
          <w:rStyle w:val="ac"/>
        </w:rPr>
        <w:footnoteRef/>
      </w:r>
      <w:r>
        <w:rPr>
          <w:rFonts w:hint="cs"/>
          <w:rtl/>
        </w:rPr>
        <w:t xml:space="preserve"> </w:t>
      </w:r>
      <w:r>
        <w:rPr>
          <w:lang w:val="en-GB"/>
        </w:rPr>
        <w:t>Tom Ginsburg, Nick Foti, and Daniel Rockmore, '“We the Peoples”: The Global Origins of Constitutional Preambles' (2014) 46 Geo. Wash. Int'l L. Rev. 107, pp</w:t>
      </w:r>
      <w:r>
        <w:rPr>
          <w:lang w:val="en-US"/>
        </w:rPr>
        <w:t xml:space="preserve"> 109-111.</w:t>
      </w:r>
    </w:p>
  </w:footnote>
  <w:footnote w:id="29">
    <w:p w:rsidR="003C150D" w:rsidRDefault="003C150D" w:rsidP="003C150D">
      <w:pPr>
        <w:pStyle w:val="aa"/>
        <w:bidi w:val="0"/>
        <w:jc w:val="both"/>
        <w:rPr>
          <w:lang w:val="en-US"/>
        </w:rPr>
      </w:pPr>
      <w:r>
        <w:rPr>
          <w:rStyle w:val="ac"/>
        </w:rPr>
        <w:footnoteRef/>
      </w:r>
      <w:r>
        <w:rPr>
          <w:rFonts w:hint="cs"/>
          <w:rtl/>
        </w:rPr>
        <w:t xml:space="preserve"> </w:t>
      </w:r>
      <w:r>
        <w:rPr>
          <w:lang w:val="en-GB"/>
        </w:rPr>
        <w:t>Tom Ginsburg, Nick Foti, and Daniel Rockmore, '“We the Peoples”: The Global Origins of Constitutional Preambles' (2014) 46 Geo. Wash. Int'l L. Rev. 107, pp</w:t>
      </w:r>
      <w:r>
        <w:rPr>
          <w:lang w:val="en-US"/>
        </w:rPr>
        <w:t xml:space="preserve"> 115-117.</w:t>
      </w:r>
    </w:p>
  </w:footnote>
  <w:footnote w:id="30">
    <w:p w:rsidR="003C150D" w:rsidRDefault="003C150D" w:rsidP="003C150D">
      <w:pPr>
        <w:pStyle w:val="aa"/>
        <w:jc w:val="both"/>
      </w:pPr>
      <w:r>
        <w:rPr>
          <w:rStyle w:val="ac"/>
        </w:rPr>
        <w:footnoteRef/>
      </w:r>
      <w:r>
        <w:rPr>
          <w:rFonts w:hint="cs"/>
          <w:rtl/>
        </w:rPr>
        <w:t xml:space="preserve"> אמנון רובינשטיין וליאב אורגד "המבוא לחוקה ומעמדו המשפטי: המקרה של ישראל", </w:t>
      </w:r>
      <w:r>
        <w:rPr>
          <w:rFonts w:hint="cs"/>
          <w:b/>
          <w:bCs/>
          <w:rtl/>
        </w:rPr>
        <w:t>המשפט</w:t>
      </w:r>
      <w:r>
        <w:rPr>
          <w:rFonts w:hint="cs"/>
          <w:rtl/>
        </w:rPr>
        <w:t xml:space="preserve"> יא 79 (2007), עמודים</w:t>
      </w:r>
      <w:r>
        <w:rPr>
          <w:rFonts w:hint="cs"/>
          <w:rtl/>
          <w:lang w:val="en-GB"/>
        </w:rPr>
        <w:t xml:space="preserve"> 92-85.</w:t>
      </w:r>
    </w:p>
  </w:footnote>
  <w:footnote w:id="31">
    <w:p w:rsidR="003C150D" w:rsidRDefault="003C150D" w:rsidP="003C150D">
      <w:pPr>
        <w:pStyle w:val="aa"/>
        <w:jc w:val="both"/>
        <w:rPr>
          <w:rtl/>
        </w:rPr>
      </w:pPr>
      <w:r>
        <w:rPr>
          <w:rStyle w:val="ac"/>
        </w:rPr>
        <w:footnoteRef/>
      </w:r>
      <w:r>
        <w:rPr>
          <w:rFonts w:hint="cs"/>
          <w:rtl/>
        </w:rPr>
        <w:t xml:space="preserve"> אמנון רובינשטיין וליאב אורגד "המבוא לחוקה ומעמדו המשפטי: המקרה של ישראל", </w:t>
      </w:r>
      <w:r>
        <w:rPr>
          <w:rFonts w:hint="cs"/>
          <w:b/>
          <w:bCs/>
          <w:rtl/>
        </w:rPr>
        <w:t>המשפט</w:t>
      </w:r>
      <w:r>
        <w:rPr>
          <w:rFonts w:hint="cs"/>
          <w:rtl/>
        </w:rPr>
        <w:t xml:space="preserve"> יא 79 (2007), עמודים 102-92.</w:t>
      </w:r>
    </w:p>
    <w:p w:rsidR="003C150D" w:rsidRDefault="003C150D" w:rsidP="003C150D">
      <w:pPr>
        <w:pStyle w:val="aa"/>
        <w:bidi w:val="0"/>
        <w:jc w:val="both"/>
        <w:rPr>
          <w:rtl/>
          <w:lang w:val="en-US"/>
        </w:rPr>
      </w:pPr>
      <w:r>
        <w:rPr>
          <w:lang w:val="en-GB"/>
        </w:rPr>
        <w:tab/>
        <w:t>Liav Orgad; The preamble in constitutional interpretation, International Journal of Constitutional Law, Volume 8, Issue 4, 1 October 2010, pp 714–738, footnote 52.</w:t>
      </w:r>
    </w:p>
    <w:p w:rsidR="003C150D" w:rsidRDefault="003C150D" w:rsidP="003C150D">
      <w:pPr>
        <w:pStyle w:val="aa"/>
        <w:jc w:val="both"/>
        <w:rPr>
          <w:lang w:val="en-US"/>
        </w:rPr>
      </w:pPr>
      <w:r>
        <w:rPr>
          <w:rFonts w:hint="cs"/>
          <w:rtl/>
          <w:lang w:val="en-US"/>
        </w:rPr>
        <w:tab/>
        <w:t>בהקשר זה ראוי לציין כי לעיתים גם מתרחשת תופעה של העדר התאמה בין הציפיות של מנסחי המבוא ובין המציאות. כך לדוגמה, באוסטרליה מנסחי החוקה ציפו כי היא (לרבות המבוא) תהווה מוקד פרשני בפסיקת בית המשפט האוסטרלי, אולם בדיעבד השימוש במבוא היה אמביוולנטי ולא תמיד השימוש בפועל התאים לציפיות האמורות, להרחבה ראו:</w:t>
      </w:r>
    </w:p>
    <w:p w:rsidR="003C150D" w:rsidRDefault="003C150D" w:rsidP="003C150D">
      <w:pPr>
        <w:pStyle w:val="aa"/>
        <w:bidi w:val="0"/>
        <w:jc w:val="both"/>
        <w:rPr>
          <w:rtl/>
          <w:lang w:val="en-US"/>
        </w:rPr>
      </w:pPr>
      <w:r>
        <w:rPr>
          <w:lang w:val="en-US"/>
        </w:rPr>
        <w:tab/>
        <w:t>Mark McKenna, Amelia Simpson and George Williams, First Words: The Preamble to the Australian Constitution, UNSW Law Journal Vol 24(2), 2001, 386-393.</w:t>
      </w:r>
    </w:p>
  </w:footnote>
  <w:footnote w:id="32">
    <w:p w:rsidR="003C150D" w:rsidRDefault="003C150D" w:rsidP="003C150D">
      <w:pPr>
        <w:pStyle w:val="aa"/>
        <w:jc w:val="both"/>
      </w:pPr>
      <w:r>
        <w:rPr>
          <w:rStyle w:val="ac"/>
        </w:rPr>
        <w:footnoteRef/>
      </w:r>
      <w:r>
        <w:rPr>
          <w:rFonts w:hint="cs"/>
          <w:rtl/>
        </w:rPr>
        <w:t xml:space="preserve"> אמנון רובינשטיין וליאב אורגד "המבוא לחוקה ומעמדו המשפטי: המקרה של ישראל", </w:t>
      </w:r>
      <w:r>
        <w:rPr>
          <w:rFonts w:hint="cs"/>
          <w:b/>
          <w:bCs/>
          <w:rtl/>
        </w:rPr>
        <w:t>המשפט</w:t>
      </w:r>
      <w:r>
        <w:rPr>
          <w:rFonts w:hint="cs"/>
          <w:rtl/>
        </w:rPr>
        <w:t xml:space="preserve"> יא 79 (2007), עמודים</w:t>
      </w:r>
      <w:r>
        <w:rPr>
          <w:rFonts w:hint="cs"/>
          <w:rtl/>
          <w:lang w:val="en-GB"/>
        </w:rPr>
        <w:t xml:space="preserve"> 94-93. לפי מאמר זה, בפסקי דין שנדונו בפני בית המשפט העליון בארה"ב בין השנים 1990-1825 המבוא לחוקה אוזכר </w:t>
      </w:r>
      <w:r>
        <w:rPr>
          <w:rFonts w:hint="cs"/>
          <w:b/>
          <w:bCs/>
          <w:rtl/>
          <w:lang w:val="en-GB"/>
        </w:rPr>
        <w:t>24 פעמים</w:t>
      </w:r>
      <w:r>
        <w:rPr>
          <w:rFonts w:hint="cs"/>
          <w:rtl/>
          <w:lang w:val="en-GB"/>
        </w:rPr>
        <w:t xml:space="preserve"> </w:t>
      </w:r>
      <w:r>
        <w:rPr>
          <w:rFonts w:hint="cs"/>
          <w:b/>
          <w:bCs/>
          <w:rtl/>
          <w:lang w:val="en-GB"/>
        </w:rPr>
        <w:t>בלבד</w:t>
      </w:r>
      <w:r>
        <w:rPr>
          <w:rFonts w:hint="cs"/>
          <w:rtl/>
          <w:lang w:val="en-GB"/>
        </w:rPr>
        <w:t xml:space="preserve">. כמו כן, אזכורים אלה ניתנו כמעט באופן בלעדי בידי שופטי המיעוט (מעל 83% מכל האזכורים היו של שופטי המיעוט). </w:t>
      </w:r>
    </w:p>
  </w:footnote>
  <w:footnote w:id="33">
    <w:p w:rsidR="003C150D" w:rsidRDefault="003C150D" w:rsidP="003C150D">
      <w:pPr>
        <w:pStyle w:val="aa"/>
        <w:bidi w:val="0"/>
        <w:jc w:val="both"/>
        <w:rPr>
          <w:rtl/>
          <w:lang w:val="en-US"/>
        </w:rPr>
      </w:pPr>
      <w:r>
        <w:rPr>
          <w:rStyle w:val="ac"/>
        </w:rPr>
        <w:footnoteRef/>
      </w:r>
      <w:r>
        <w:rPr>
          <w:lang w:val="en-US"/>
        </w:rPr>
        <w:t xml:space="preserve"> Jacobson v. Massachusetts, 197 U.S. 11, 22 (1904).</w:t>
      </w:r>
    </w:p>
  </w:footnote>
  <w:footnote w:id="34">
    <w:p w:rsidR="003C150D" w:rsidRDefault="003C150D" w:rsidP="003C150D">
      <w:pPr>
        <w:pStyle w:val="aa"/>
        <w:bidi w:val="0"/>
        <w:jc w:val="both"/>
        <w:rPr>
          <w:lang w:val="en-GB"/>
        </w:rPr>
      </w:pPr>
      <w:r>
        <w:rPr>
          <w:rStyle w:val="ac"/>
        </w:rPr>
        <w:footnoteRef/>
      </w:r>
      <w:r>
        <w:rPr>
          <w:rFonts w:hint="cs"/>
          <w:rtl/>
        </w:rPr>
        <w:t xml:space="preserve"> </w:t>
      </w:r>
      <w:r>
        <w:rPr>
          <w:spacing w:val="-2"/>
          <w:lang w:val="en-GB"/>
        </w:rPr>
        <w:t>The Canadian Charter of Rights and Freedoms (introductory sentence to the Constitution of Canada's Charter of Rights and Constitution Act, 1982), Preamble: "</w:t>
      </w:r>
      <w:r>
        <w:rPr>
          <w:b/>
          <w:bCs/>
          <w:spacing w:val="-2"/>
          <w:lang w:val="en-GB"/>
        </w:rPr>
        <w:t>Whereas Canada is founded upon principles that recognize the supremacy of God and the rule of law</w:t>
      </w:r>
      <w:r>
        <w:rPr>
          <w:lang w:val="en-GB"/>
        </w:rPr>
        <w:t>".</w:t>
      </w:r>
    </w:p>
  </w:footnote>
  <w:footnote w:id="35">
    <w:p w:rsidR="003C150D" w:rsidRDefault="003C150D" w:rsidP="003C150D">
      <w:pPr>
        <w:pStyle w:val="aa"/>
        <w:jc w:val="both"/>
      </w:pPr>
      <w:r>
        <w:rPr>
          <w:rStyle w:val="ac"/>
        </w:rPr>
        <w:footnoteRef/>
      </w:r>
      <w:r>
        <w:rPr>
          <w:rFonts w:hint="cs"/>
          <w:rtl/>
        </w:rPr>
        <w:t xml:space="preserve"> אמנון רובינשטיין וליאב אורגד "המבוא לחוקה ומעמדו המשפטי: המקרה של ישראל", </w:t>
      </w:r>
      <w:r>
        <w:rPr>
          <w:rFonts w:hint="cs"/>
          <w:b/>
          <w:bCs/>
          <w:rtl/>
        </w:rPr>
        <w:t>המשפט</w:t>
      </w:r>
      <w:r>
        <w:rPr>
          <w:rFonts w:hint="cs"/>
          <w:rtl/>
        </w:rPr>
        <w:t xml:space="preserve"> יא 79 (2007), עמודים 95-94.</w:t>
      </w:r>
    </w:p>
  </w:footnote>
  <w:footnote w:id="36">
    <w:p w:rsidR="003C150D" w:rsidRDefault="003C150D" w:rsidP="003C150D">
      <w:pPr>
        <w:pStyle w:val="aa"/>
        <w:bidi w:val="0"/>
        <w:jc w:val="both"/>
        <w:rPr>
          <w:rtl/>
          <w:lang w:val="en-GB"/>
        </w:rPr>
      </w:pPr>
      <w:r>
        <w:rPr>
          <w:rStyle w:val="ac"/>
        </w:rPr>
        <w:footnoteRef/>
      </w:r>
      <w:r>
        <w:rPr>
          <w:rFonts w:hint="cs"/>
          <w:rtl/>
        </w:rPr>
        <w:t xml:space="preserve"> </w:t>
      </w:r>
      <w:r>
        <w:rPr>
          <w:lang w:val="en-GB"/>
        </w:rPr>
        <w:t xml:space="preserve">Zylberberg v. Sudbury Board of Education, 1988 CanLII 189: </w:t>
      </w:r>
      <w:r>
        <w:rPr>
          <w:rFonts w:hint="cs"/>
          <w:rtl/>
          <w:lang w:val="en-GB"/>
        </w:rPr>
        <w:t>"</w:t>
      </w:r>
      <w:r>
        <w:rPr>
          <w:lang w:val="en-GB"/>
        </w:rPr>
        <w:t>It is a basic principle in the construction of statutes that a preamble is rarely referred to and, even then, is usually employed only to clarify operative provisions which are ambiguous. The same rule, in our view, extends to constitutional instruments</w:t>
      </w:r>
      <w:r>
        <w:rPr>
          <w:rFonts w:hint="cs"/>
          <w:rtl/>
          <w:lang w:val="en-GB"/>
        </w:rPr>
        <w:t>"</w:t>
      </w:r>
      <w:r>
        <w:rPr>
          <w:lang w:val="en-GB"/>
        </w:rPr>
        <w:t>.</w:t>
      </w:r>
    </w:p>
  </w:footnote>
  <w:footnote w:id="37">
    <w:p w:rsidR="003C150D" w:rsidRDefault="003C150D" w:rsidP="003C150D">
      <w:pPr>
        <w:pStyle w:val="aa"/>
        <w:bidi w:val="0"/>
        <w:jc w:val="both"/>
        <w:rPr>
          <w:lang w:val="en-US"/>
        </w:rPr>
      </w:pPr>
      <w:r>
        <w:rPr>
          <w:rStyle w:val="ac"/>
        </w:rPr>
        <w:footnoteRef/>
      </w:r>
      <w:r>
        <w:rPr>
          <w:rFonts w:hint="cs"/>
          <w:rtl/>
        </w:rPr>
        <w:t xml:space="preserve"> </w:t>
      </w:r>
      <w:r>
        <w:t>R. v. Sharpe, 1999 BCCA 416</w:t>
      </w:r>
      <w:r>
        <w:rPr>
          <w:lang w:val="en-US"/>
        </w:rPr>
        <w:t xml:space="preserve">, 79: "They have become a dead letter and while I might have wished the contrary, this Court has no authority to breathe life into them for the purpose of interpreting the various provisions of the Charter". </w:t>
      </w:r>
    </w:p>
    <w:p w:rsidR="003C150D" w:rsidRDefault="003C150D" w:rsidP="003C150D">
      <w:pPr>
        <w:pStyle w:val="aa"/>
        <w:jc w:val="both"/>
        <w:rPr>
          <w:lang w:val="en-US"/>
        </w:rPr>
      </w:pPr>
      <w:r>
        <w:rPr>
          <w:rFonts w:hint="cs"/>
          <w:rtl/>
          <w:lang w:val="en-US"/>
        </w:rPr>
        <w:tab/>
        <w:t xml:space="preserve">ראו והשוו לדעת המיעוט של השופט בלזיל בפסק-הדין של בית המשפט לערעורים של אלברטה בפרשת </w:t>
      </w:r>
      <w:r>
        <w:rPr>
          <w:lang w:val="en-US"/>
        </w:rPr>
        <w:t>Big M. Drug Mart Ltd</w:t>
      </w:r>
      <w:r>
        <w:rPr>
          <w:rFonts w:hint="cs"/>
          <w:rtl/>
          <w:lang w:val="en-US"/>
        </w:rPr>
        <w:t xml:space="preserve"> (לפיה המבוא לצ'רטר יוצר מעין עיגון למורשת הנוצרית של קנדה):</w:t>
      </w:r>
    </w:p>
    <w:p w:rsidR="003C150D" w:rsidRDefault="003C150D" w:rsidP="003C150D">
      <w:pPr>
        <w:pStyle w:val="aa"/>
        <w:bidi w:val="0"/>
        <w:jc w:val="both"/>
        <w:rPr>
          <w:rtl/>
          <w:lang w:val="en-US"/>
        </w:rPr>
      </w:pPr>
      <w:r>
        <w:rPr>
          <w:lang w:val="en-US"/>
        </w:rPr>
        <w:tab/>
        <w:t>R. v. Big M. Drug Mart Ltd., 1983 ABCA 268 (CanLII).</w:t>
      </w:r>
    </w:p>
  </w:footnote>
  <w:footnote w:id="38">
    <w:p w:rsidR="003C150D" w:rsidRDefault="003C150D" w:rsidP="003C150D">
      <w:pPr>
        <w:pStyle w:val="aa"/>
        <w:bidi w:val="0"/>
        <w:jc w:val="both"/>
        <w:rPr>
          <w:lang w:val="en-GB"/>
        </w:rPr>
      </w:pPr>
      <w:r>
        <w:rPr>
          <w:rStyle w:val="ac"/>
        </w:rPr>
        <w:footnoteRef/>
      </w:r>
      <w:r>
        <w:rPr>
          <w:rFonts w:hint="cs"/>
          <w:rtl/>
        </w:rPr>
        <w:t xml:space="preserve"> </w:t>
      </w:r>
      <w:r>
        <w:rPr>
          <w:lang w:val="en-GB"/>
        </w:rPr>
        <w:t>Reference re Secession of Quebec [1998] 2.S.C.R. 217, at para 51–54: “The principles [of the Preamble] dictate major elements of the architecture of the Constitution itself and are as such its lifeblood. The principles assist in the interpretation of the text and the delineation of spheres of jurisdiction, the scope of rights and obligations, and the role of our political institutions … the principles are not merely descriptive, but are also invested with a powerful normative force, and are binding upon both courts and governments”.</w:t>
      </w:r>
    </w:p>
  </w:footnote>
  <w:footnote w:id="39">
    <w:p w:rsidR="003C150D" w:rsidRDefault="003C150D" w:rsidP="003C150D">
      <w:pPr>
        <w:pStyle w:val="aa"/>
        <w:bidi w:val="0"/>
        <w:jc w:val="both"/>
        <w:rPr>
          <w:lang w:val="en-US"/>
        </w:rPr>
      </w:pPr>
      <w:r>
        <w:rPr>
          <w:rStyle w:val="ac"/>
        </w:rPr>
        <w:footnoteRef/>
      </w:r>
      <w:r>
        <w:rPr>
          <w:rFonts w:hint="cs"/>
          <w:rtl/>
        </w:rPr>
        <w:t xml:space="preserve"> </w:t>
      </w:r>
      <w:r>
        <w:rPr>
          <w:lang w:val="en-US"/>
        </w:rPr>
        <w:t>Re Manitoba Language Rights, [1985] 1 SCR 721, 1985 CanLII 33 (SCC): "The constitutional status of the rule of law is beyond question. The preamble to the Constitution Act, 1982 states: Whereas Canada is founded upon principles that recognize the supremacy of God and the rule of law. (Emphasis added.) This is explicit recognition that "the rule of law [is] a fundamental postulate of our constitutional structure".</w:t>
      </w:r>
    </w:p>
    <w:p w:rsidR="003C150D" w:rsidRDefault="003C150D" w:rsidP="003C150D">
      <w:pPr>
        <w:pStyle w:val="aa"/>
        <w:jc w:val="both"/>
        <w:rPr>
          <w:lang w:val="en-US"/>
        </w:rPr>
      </w:pPr>
      <w:r>
        <w:rPr>
          <w:rFonts w:hint="cs"/>
          <w:spacing w:val="-2"/>
          <w:rtl/>
          <w:lang w:val="en-GB"/>
        </w:rPr>
        <w:tab/>
        <w:t>יוער, כי מיד לאחר מכן, בית המשפט הקנדי מציין כי גם ביתר חלקי הצ'רטר יש הכרה בעקרון זה (ומכאן שלכאורה לא רק מכוח המבוא יש הכרה חוקתית בעקרון).</w:t>
      </w:r>
      <w:r>
        <w:rPr>
          <w:rFonts w:hint="cs"/>
          <w:rtl/>
          <w:lang w:val="en-US"/>
        </w:rPr>
        <w:t xml:space="preserve"> כן, ראו להלן לעניין ההכרה בעקרון זה במשפט החוקתי הקנדי:</w:t>
      </w:r>
    </w:p>
    <w:p w:rsidR="003C150D" w:rsidRDefault="003C150D" w:rsidP="003C150D">
      <w:pPr>
        <w:pStyle w:val="aa"/>
        <w:bidi w:val="0"/>
        <w:jc w:val="both"/>
        <w:rPr>
          <w:rtl/>
          <w:lang w:val="en-US"/>
        </w:rPr>
      </w:pPr>
      <w:r>
        <w:rPr>
          <w:lang w:val="en-US"/>
        </w:rPr>
        <w:tab/>
        <w:t>Reference Re BC Motor Vehicle Act, [1985] 2 S.C.R. 486: "have been recognized as essential elements of a system for the administration of justice which is founded upon a belief in 'the dignity and worth of the human person' (preamble to the Canadian Bill of Rights, R.S.C. 1970, App. III) and on "the rule of law" (preamble to the Canadian Charter of Rights and Freedoms)".</w:t>
      </w:r>
    </w:p>
  </w:footnote>
  <w:footnote w:id="40">
    <w:p w:rsidR="003C150D" w:rsidRDefault="003C150D" w:rsidP="003C150D">
      <w:pPr>
        <w:pStyle w:val="aa"/>
        <w:bidi w:val="0"/>
        <w:jc w:val="both"/>
        <w:rPr>
          <w:lang w:val="en-GB"/>
        </w:rPr>
      </w:pPr>
      <w:r>
        <w:rPr>
          <w:rStyle w:val="ac"/>
        </w:rPr>
        <w:footnoteRef/>
      </w:r>
      <w:r>
        <w:rPr>
          <w:rFonts w:hint="cs"/>
          <w:rtl/>
        </w:rPr>
        <w:t xml:space="preserve"> </w:t>
      </w:r>
      <w:r>
        <w:rPr>
          <w:lang w:val="en-GB"/>
        </w:rPr>
        <w:t>Liav Orgad; The preamble in constitutional interpretation, International Journal of Constitutional Law, Volume 8, Issue 4, 1 October 2010, pp 723-724.</w:t>
      </w:r>
    </w:p>
  </w:footnote>
  <w:footnote w:id="41">
    <w:p w:rsidR="003C150D" w:rsidRDefault="003C150D" w:rsidP="003C150D">
      <w:pPr>
        <w:pStyle w:val="aa"/>
        <w:jc w:val="both"/>
        <w:rPr>
          <w:lang w:val="en-US"/>
        </w:rPr>
      </w:pPr>
      <w:r>
        <w:rPr>
          <w:rStyle w:val="ac"/>
        </w:rPr>
        <w:footnoteRef/>
      </w:r>
      <w:r>
        <w:rPr>
          <w:rFonts w:hint="cs"/>
          <w:rtl/>
        </w:rPr>
        <w:t xml:space="preserve"> אמנון רובינשטיין וליאב אורגד "המבוא לחוקה ומעמדו המשפטי: המקרה של ישראל", </w:t>
      </w:r>
      <w:r>
        <w:rPr>
          <w:rFonts w:hint="cs"/>
          <w:b/>
          <w:bCs/>
          <w:rtl/>
        </w:rPr>
        <w:t>המשפט</w:t>
      </w:r>
      <w:r>
        <w:rPr>
          <w:rFonts w:hint="cs"/>
          <w:rtl/>
        </w:rPr>
        <w:t xml:space="preserve"> יא 79 (2007), 95.</w:t>
      </w:r>
    </w:p>
  </w:footnote>
  <w:footnote w:id="42">
    <w:p w:rsidR="003C150D" w:rsidRDefault="003C150D" w:rsidP="003C150D">
      <w:pPr>
        <w:pStyle w:val="aa"/>
        <w:jc w:val="both"/>
        <w:rPr>
          <w:rtl/>
        </w:rPr>
      </w:pPr>
      <w:r>
        <w:rPr>
          <w:rStyle w:val="ac"/>
        </w:rPr>
        <w:footnoteRef/>
      </w:r>
      <w:r>
        <w:rPr>
          <w:rFonts w:hint="cs"/>
          <w:rtl/>
        </w:rPr>
        <w:t xml:space="preserve"> שם, ראו דוגמאות בעמודים 96-95.</w:t>
      </w:r>
    </w:p>
  </w:footnote>
  <w:footnote w:id="43">
    <w:p w:rsidR="003C150D" w:rsidRDefault="003C150D" w:rsidP="003C150D">
      <w:pPr>
        <w:pStyle w:val="aa"/>
        <w:bidi w:val="0"/>
        <w:jc w:val="both"/>
        <w:rPr>
          <w:lang w:val="en-GB"/>
        </w:rPr>
      </w:pPr>
      <w:r>
        <w:rPr>
          <w:rStyle w:val="ac"/>
        </w:rPr>
        <w:footnoteRef/>
      </w:r>
      <w:r>
        <w:rPr>
          <w:rFonts w:hint="cs"/>
          <w:rtl/>
        </w:rPr>
        <w:t xml:space="preserve"> </w:t>
      </w:r>
      <w:r>
        <w:rPr>
          <w:lang w:val="en-GB"/>
        </w:rPr>
        <w:t>Liav Orgad; The preamble in constitutional interpretation, International Journal of Constitutional Law, Volume 8, Issue 4, 1 October 2010, pp 723-726.</w:t>
      </w:r>
    </w:p>
  </w:footnote>
  <w:footnote w:id="44">
    <w:p w:rsidR="003C150D" w:rsidRDefault="003C150D" w:rsidP="003C150D">
      <w:pPr>
        <w:pStyle w:val="aa"/>
        <w:bidi w:val="0"/>
        <w:jc w:val="both"/>
        <w:rPr>
          <w:lang w:val="en-US"/>
        </w:rPr>
      </w:pPr>
      <w:r>
        <w:rPr>
          <w:rStyle w:val="ac"/>
        </w:rPr>
        <w:footnoteRef/>
      </w:r>
      <w:r>
        <w:rPr>
          <w:rFonts w:hint="cs"/>
          <w:rtl/>
        </w:rPr>
        <w:t xml:space="preserve"> </w:t>
      </w:r>
      <w:r>
        <w:rPr>
          <w:lang w:val="en-US"/>
        </w:rPr>
        <w:t>Constitution of France (1958) (Constitution of the Fifth Republic), Preamble: "</w:t>
      </w:r>
      <w:r>
        <w:rPr>
          <w:b/>
          <w:bCs/>
          <w:lang w:val="en-US"/>
        </w:rPr>
        <w:t>The French people solemnly proclaim their attachment to the Rights of Man and the principles of national sovereignty as defined by the Declaration of 1789, confirmed and complemented by the Preamble to the Constitution of 1946, and to the rights and duties as defined in the Charter for the Environment of 2004</w:t>
      </w:r>
      <w:r>
        <w:rPr>
          <w:lang w:val="en-US"/>
        </w:rPr>
        <w:t>".</w:t>
      </w:r>
    </w:p>
  </w:footnote>
  <w:footnote w:id="45">
    <w:p w:rsidR="003C150D" w:rsidRDefault="003C150D" w:rsidP="003C150D">
      <w:pPr>
        <w:pStyle w:val="aa"/>
        <w:jc w:val="both"/>
      </w:pPr>
      <w:r>
        <w:rPr>
          <w:rStyle w:val="ac"/>
        </w:rPr>
        <w:footnoteRef/>
      </w:r>
      <w:r>
        <w:rPr>
          <w:rFonts w:hint="cs"/>
          <w:rtl/>
        </w:rPr>
        <w:t xml:space="preserve"> המועצה החוקתית היא הסמכות החוקתית הגבוהה ביותר בצרפת. תפקידה המרכזי הוא לבחון את התאמתן של הצעות חוק שאושרו בפרלמנט להוראות החוקה הצרפתית </w:t>
      </w:r>
      <w:r>
        <w:rPr>
          <w:rFonts w:hint="cs"/>
          <w:b/>
          <w:bCs/>
          <w:rtl/>
        </w:rPr>
        <w:t>בטרם כניסתן לתוקף</w:t>
      </w:r>
      <w:r>
        <w:rPr>
          <w:rFonts w:hint="cs"/>
          <w:rtl/>
        </w:rPr>
        <w:t xml:space="preserve"> (מודל "הביקורת המקדימה"). החברים במועצה כוללים פוליטיקאים לשעבר שהיו ראשי הרפובליקה הצרפתית (כהונתם פוקעת אם הם חוזרים לפוליטיקה), וכן גורמים נוספים שמתמנים בידי גורמי שלטון שונים (ראש הסנאט, ראש האסיפה הכללית וכדומה). המינויים מאושרים בידי הפרלמנט. להרחבה ראו: </w:t>
      </w:r>
      <w:hyperlink r:id="rId1" w:history="1">
        <w:r>
          <w:rPr>
            <w:rStyle w:val="Hyperlink"/>
            <w:rFonts w:hint="cs"/>
            <w:rtl/>
          </w:rPr>
          <w:t>אתר האינטרנט של המועצה החוקתית בצרפת</w:t>
        </w:r>
      </w:hyperlink>
      <w:r>
        <w:rPr>
          <w:rFonts w:hint="cs"/>
          <w:rtl/>
        </w:rPr>
        <w:t>, כניסה אחרונה 15.8.2017.</w:t>
      </w:r>
    </w:p>
  </w:footnote>
  <w:footnote w:id="46">
    <w:p w:rsidR="003C150D" w:rsidRDefault="003C150D" w:rsidP="003C150D">
      <w:pPr>
        <w:pStyle w:val="aa"/>
        <w:jc w:val="both"/>
      </w:pPr>
      <w:r>
        <w:rPr>
          <w:rStyle w:val="ac"/>
        </w:rPr>
        <w:footnoteRef/>
      </w:r>
      <w:r>
        <w:rPr>
          <w:rFonts w:hint="cs"/>
          <w:rtl/>
        </w:rPr>
        <w:t xml:space="preserve"> הרפובליקה שפעלה בין השנים 1871–1940.</w:t>
      </w:r>
    </w:p>
  </w:footnote>
  <w:footnote w:id="47">
    <w:p w:rsidR="003C150D" w:rsidRDefault="003C150D" w:rsidP="003C150D">
      <w:pPr>
        <w:pStyle w:val="aa"/>
        <w:jc w:val="both"/>
      </w:pPr>
      <w:r>
        <w:rPr>
          <w:rStyle w:val="ac"/>
        </w:rPr>
        <w:footnoteRef/>
      </w:r>
      <w:r>
        <w:rPr>
          <w:rFonts w:hint="cs"/>
          <w:rtl/>
        </w:rPr>
        <w:t xml:space="preserve"> אמנון רובינשטיין וליאב אורגד "המבוא לחוקה ומעמדו המשפטי: המקרה של ישראל", </w:t>
      </w:r>
      <w:r>
        <w:rPr>
          <w:rFonts w:hint="cs"/>
          <w:b/>
          <w:bCs/>
          <w:rtl/>
        </w:rPr>
        <w:t>המשפט</w:t>
      </w:r>
      <w:r>
        <w:rPr>
          <w:rFonts w:hint="cs"/>
          <w:rtl/>
        </w:rPr>
        <w:t xml:space="preserve"> יא 79 (2007), 100-99. ראו לדוגמה:</w:t>
      </w:r>
    </w:p>
    <w:p w:rsidR="003C150D" w:rsidRDefault="003C150D" w:rsidP="003C150D">
      <w:pPr>
        <w:pStyle w:val="aa"/>
        <w:bidi w:val="0"/>
        <w:jc w:val="both"/>
        <w:rPr>
          <w:rtl/>
          <w:lang w:val="en-GB"/>
        </w:rPr>
      </w:pPr>
      <w:r>
        <w:rPr>
          <w:lang w:val="en-GB"/>
        </w:rPr>
        <w:tab/>
      </w:r>
      <w:r>
        <w:rPr>
          <w:rStyle w:val="e-publications"/>
          <w:rFonts w:ascii="Arial" w:hAnsi="Arial" w:cs="Arial"/>
          <w:i/>
          <w:iCs/>
          <w:color w:val="000000"/>
        </w:rPr>
        <w:t>Recueil des décisions du Conseil constitutionnel</w:t>
      </w:r>
      <w:r>
        <w:rPr>
          <w:rStyle w:val="e-publications"/>
          <w:rFonts w:ascii="Arial" w:hAnsi="Arial" w:cs="Arial"/>
          <w:color w:val="000000"/>
        </w:rPr>
        <w:t> , 1993, 547</w:t>
      </w:r>
      <w:r>
        <w:rPr>
          <w:lang w:val="en-GB"/>
        </w:rPr>
        <w:t>.</w:t>
      </w:r>
    </w:p>
  </w:footnote>
  <w:footnote w:id="48">
    <w:p w:rsidR="003C150D" w:rsidRDefault="003C150D" w:rsidP="003C150D">
      <w:pPr>
        <w:pStyle w:val="aa"/>
        <w:jc w:val="both"/>
      </w:pPr>
      <w:r>
        <w:rPr>
          <w:rStyle w:val="ac"/>
        </w:rPr>
        <w:footnoteRef/>
      </w:r>
      <w:r>
        <w:rPr>
          <w:rFonts w:hint="cs"/>
          <w:rtl/>
        </w:rPr>
        <w:t xml:space="preserve"> שם, עמודים 101-100. לדוגמאות לשימוש במבוא לחוקה בפסיקה בהודו, ראו:</w:t>
      </w:r>
    </w:p>
    <w:p w:rsidR="003C150D" w:rsidRDefault="003C150D" w:rsidP="003C150D">
      <w:pPr>
        <w:pStyle w:val="aa"/>
        <w:bidi w:val="0"/>
        <w:jc w:val="both"/>
        <w:rPr>
          <w:rtl/>
          <w:lang w:val="en-US"/>
        </w:rPr>
      </w:pPr>
      <w:r>
        <w:rPr>
          <w:lang w:val="en-US"/>
        </w:rPr>
        <w:tab/>
        <w:t>Re: Beruberi Union (I), (1960) 3 SCR 250. Kesavanada Bharati v. State of Kerala, AIR 1973 SC 1461. Excel Wear v. Union of India, AIR 1979 SC 25. D.S. Nakara v. Union of IndiaAIR 1983 SC 130. St. Xaviers College v. State of Gujarat, AIR 1974 SC 1389. S.R. Bommai v. Union of India, (1994) SCC 1. Aruna Roy v. Union of India, AIR 2003 SC 3176.</w:t>
      </w:r>
    </w:p>
  </w:footnote>
  <w:footnote w:id="49">
    <w:p w:rsidR="003C150D" w:rsidRDefault="003C150D" w:rsidP="003C150D">
      <w:pPr>
        <w:pStyle w:val="aa"/>
        <w:jc w:val="both"/>
        <w:rPr>
          <w:lang w:val="en-US"/>
        </w:rPr>
      </w:pPr>
      <w:r>
        <w:rPr>
          <w:rStyle w:val="ac"/>
        </w:rPr>
        <w:footnoteRef/>
      </w:r>
      <w:r>
        <w:rPr>
          <w:rFonts w:hint="cs"/>
          <w:rtl/>
        </w:rPr>
        <w:t xml:space="preserve"> כך, גם </w:t>
      </w:r>
      <w:r>
        <w:rPr>
          <w:rFonts w:hint="cs"/>
          <w:rtl/>
          <w:lang w:val="en-US"/>
        </w:rPr>
        <w:t xml:space="preserve">בחוקות של הישויות שקדמו לפדרציה הגרמנית היו קבועים פרקי מבוא (בחוקה של גרמניה המערבית, רפובליקת ויימאר ועוד). מעבר לכך, בתקופת השלטון הנאצי דווקא כן היה נהוג להוסיף פרקי מבוא </w:t>
      </w:r>
      <w:r>
        <w:rPr>
          <w:rFonts w:hint="cs"/>
          <w:u w:val="single"/>
          <w:rtl/>
          <w:lang w:val="en-US"/>
        </w:rPr>
        <w:t>לכל</w:t>
      </w:r>
      <w:r>
        <w:rPr>
          <w:rFonts w:hint="cs"/>
          <w:rtl/>
          <w:lang w:val="en-US"/>
        </w:rPr>
        <w:t xml:space="preserve"> דברי החקיקה, פרקים אלה היו מפורטים והציגו את האידיאולוגיה שמאחורי דברי החקיקה, בעוד שגוף החקיקה עצמו היה לעיתים קרובות קצר יחסית. להרחבה ראו:</w:t>
      </w:r>
    </w:p>
    <w:p w:rsidR="003C150D" w:rsidRDefault="003C150D" w:rsidP="003C150D">
      <w:pPr>
        <w:pStyle w:val="aa"/>
        <w:bidi w:val="0"/>
        <w:jc w:val="both"/>
        <w:rPr>
          <w:rtl/>
        </w:rPr>
      </w:pPr>
      <w:r>
        <w:rPr>
          <w:lang w:val="en-US"/>
        </w:rPr>
        <w:tab/>
        <w:t>Justin Orlando Frosini, Constitutional Preambles. At a Crossroads Between Politics and Law (Maggioli S.p.A., 2012.</w:t>
      </w:r>
      <w:r>
        <w:rPr>
          <w:rFonts w:hint="cs"/>
          <w:rtl/>
          <w:lang w:val="en-US"/>
        </w:rPr>
        <w:tab/>
      </w:r>
    </w:p>
  </w:footnote>
  <w:footnote w:id="50">
    <w:p w:rsidR="003C150D" w:rsidRDefault="003C150D" w:rsidP="003C150D">
      <w:pPr>
        <w:pStyle w:val="aa"/>
        <w:bidi w:val="0"/>
        <w:jc w:val="both"/>
        <w:rPr>
          <w:rtl/>
          <w:lang w:val="en-US"/>
        </w:rPr>
      </w:pPr>
      <w:r>
        <w:rPr>
          <w:rStyle w:val="ac"/>
        </w:rPr>
        <w:footnoteRef/>
      </w:r>
      <w:r>
        <w:rPr>
          <w:rFonts w:hint="cs"/>
          <w:rtl/>
        </w:rPr>
        <w:t xml:space="preserve"> </w:t>
      </w:r>
      <w:r>
        <w:rPr>
          <w:lang w:val="en-US"/>
        </w:rPr>
        <w:t>Basic Law for the Federal Republic of Germany (Print version, 2010).</w:t>
      </w:r>
    </w:p>
    <w:p w:rsidR="003C150D" w:rsidRDefault="003C150D" w:rsidP="003C150D">
      <w:pPr>
        <w:pStyle w:val="aa"/>
        <w:jc w:val="both"/>
        <w:rPr>
          <w:lang w:val="en-US"/>
        </w:rPr>
      </w:pPr>
      <w:r>
        <w:rPr>
          <w:rFonts w:hint="cs"/>
          <w:rtl/>
          <w:lang w:val="en-US"/>
        </w:rPr>
        <w:tab/>
        <w:t>החוק הבסיסי הגרמני, חוק היסוד של הרפובליקה הפדרלית של גרמניה (</w:t>
      </w:r>
      <w:r>
        <w:rPr>
          <w:lang w:val="en-US"/>
        </w:rPr>
        <w:t>Grundgesetz Bundesrepublik für Deutschland</w:t>
      </w:r>
      <w:r>
        <w:rPr>
          <w:rFonts w:hint="cs"/>
          <w:rtl/>
          <w:lang w:val="en-US"/>
        </w:rPr>
        <w:t>) מהווה את חוקת גרמניה. החוק מסדיר את מבנה הרפובליקה הגרמנית, כמו גם מעגן את זכויות האדם השונות.</w:t>
      </w:r>
    </w:p>
  </w:footnote>
  <w:footnote w:id="51">
    <w:p w:rsidR="003C150D" w:rsidRDefault="003C150D" w:rsidP="003C150D">
      <w:pPr>
        <w:pStyle w:val="aa"/>
        <w:bidi w:val="0"/>
        <w:jc w:val="both"/>
        <w:rPr>
          <w:rtl/>
          <w:lang w:val="en-US"/>
        </w:rPr>
      </w:pPr>
      <w:r>
        <w:rPr>
          <w:rStyle w:val="ac"/>
        </w:rPr>
        <w:footnoteRef/>
      </w:r>
      <w:r>
        <w:rPr>
          <w:rFonts w:hint="cs"/>
          <w:rtl/>
        </w:rPr>
        <w:t xml:space="preserve"> </w:t>
      </w:r>
      <w:r>
        <w:t>Michael Silagi, The Preamble of the German Grundgesetz–Constitutional Status and Importance of Preambles in German Law, AJH 52, No 1, pp. 54–63 (2011)</w:t>
      </w:r>
      <w:r>
        <w:rPr>
          <w:lang w:val="en-US"/>
        </w:rPr>
        <w:t>.</w:t>
      </w:r>
    </w:p>
    <w:p w:rsidR="003C150D" w:rsidRDefault="003C150D" w:rsidP="003C150D">
      <w:pPr>
        <w:pStyle w:val="aa"/>
        <w:jc w:val="both"/>
      </w:pPr>
      <w:r>
        <w:rPr>
          <w:rFonts w:hint="cs"/>
          <w:rtl/>
          <w:lang w:val="en-US"/>
        </w:rPr>
        <w:tab/>
        <w:t xml:space="preserve">לשם שלמות התמונה יוער, כי </w:t>
      </w:r>
      <w:r>
        <w:rPr>
          <w:rFonts w:hint="cs"/>
          <w:rtl/>
        </w:rPr>
        <w:t>סעיף 80 לחוק הבסיסי עצמו קובע כי "אמצעים סטטוטוריים" (</w:t>
      </w:r>
      <w:r>
        <w:t>statutory instruments</w:t>
      </w:r>
      <w:r>
        <w:rPr>
          <w:rFonts w:hint="cs"/>
          <w:rtl/>
        </w:rPr>
        <w:t xml:space="preserve">, או בגרמנית </w:t>
      </w:r>
      <w:r>
        <w:t>Verordnungen</w:t>
      </w:r>
      <w:r>
        <w:rPr>
          <w:rFonts w:hint="cs"/>
          <w:rtl/>
        </w:rPr>
        <w:t>) חייבים לכלול הצהרה מקדימה בדבר הבסיס המשפטי שלהם (אך אין בהכרח משמעות הדבר כי לדברי חקיקה נלווה מבוא במובנו הקלאסי). ראו:</w:t>
      </w:r>
    </w:p>
    <w:p w:rsidR="003C150D" w:rsidRDefault="003C150D" w:rsidP="003C150D">
      <w:pPr>
        <w:pStyle w:val="aa"/>
        <w:bidi w:val="0"/>
        <w:jc w:val="both"/>
        <w:rPr>
          <w:rtl/>
          <w:lang w:val="en-US"/>
        </w:rPr>
      </w:pPr>
      <w:r>
        <w:rPr>
          <w:lang w:val="en-US"/>
        </w:rPr>
        <w:tab/>
        <w:t>Basic Law for the Federal Republic of Germany (Print version, 2010), Article 80: "(1) The Federal Government, a Federal Minister or the Land governments may be authorised by a law to issue statutory instruments. The content, purpose and scope of the authority conferred shall be specified in the law. Each statutory instrument shall contain a statement of its legal basis. If the law provides that such authority may be further delegated, such subdelegation shall be effected by statutory instrument".</w:t>
      </w:r>
    </w:p>
  </w:footnote>
  <w:footnote w:id="52">
    <w:p w:rsidR="003C150D" w:rsidRDefault="003C150D" w:rsidP="003C150D">
      <w:pPr>
        <w:pStyle w:val="aa"/>
        <w:bidi w:val="0"/>
        <w:jc w:val="both"/>
        <w:rPr>
          <w:lang w:val="en-US"/>
        </w:rPr>
      </w:pPr>
      <w:r>
        <w:rPr>
          <w:rStyle w:val="ac"/>
        </w:rPr>
        <w:footnoteRef/>
      </w:r>
      <w:r>
        <w:rPr>
          <w:rFonts w:hint="cs"/>
          <w:rtl/>
          <w:lang w:val="en-GB"/>
        </w:rPr>
        <w:t xml:space="preserve"> </w:t>
      </w:r>
      <w:r>
        <w:rPr>
          <w:lang w:val="en-US"/>
        </w:rPr>
        <w:t>Basic Law for the Federal Republic of Germany (Print version, 2010), Preamble: "</w:t>
      </w:r>
      <w:r>
        <w:rPr>
          <w:lang w:val="en-GB"/>
        </w:rPr>
        <w:t>Conscious of their responsibility before God and man, Inspired by the determination to promote world peace as an equal partner in a united Europe, the German people, in the exercise of their constituent power, have adopted this Basic Law. Germans in the Länder of Baden-Württemberg, Bavaria, Berlin, Brandenburg, Bremen, Hamburg, Hesse, Lower Saxony, Mecklenburg-Western Pomerania, North Rhine-Westphalia, Rhineland-Palatinate, Saarland, Saxony, Saxony-Anhalt, Schleswig-Holstein and Thuringia have achieved the unity and freedom of Germany in free self-determination. This Basic Law thus applies to the entire German people</w:t>
      </w:r>
      <w:r>
        <w:rPr>
          <w:rFonts w:hint="cs"/>
          <w:rtl/>
          <w:lang w:val="en-GB"/>
        </w:rPr>
        <w:t>"</w:t>
      </w:r>
      <w:r>
        <w:rPr>
          <w:lang w:val="en-US"/>
        </w:rPr>
        <w:t>.</w:t>
      </w:r>
    </w:p>
  </w:footnote>
  <w:footnote w:id="53">
    <w:p w:rsidR="003C150D" w:rsidRDefault="003C150D" w:rsidP="003C150D">
      <w:pPr>
        <w:pStyle w:val="aa"/>
        <w:bidi w:val="0"/>
        <w:jc w:val="both"/>
        <w:rPr>
          <w:lang w:val="en-US"/>
        </w:rPr>
      </w:pPr>
      <w:r>
        <w:rPr>
          <w:rStyle w:val="ac"/>
        </w:rPr>
        <w:footnoteRef/>
      </w:r>
      <w:r>
        <w:rPr>
          <w:lang w:val="en-GB"/>
        </w:rPr>
        <w:t xml:space="preserve"> Liav Orgad; The preamble in constitutional interpretation, International Journal of Constitutional Law, Volume 8, Issue 4, 1 October 2010.</w:t>
      </w:r>
      <w:r>
        <w:rPr>
          <w:rFonts w:hint="cs"/>
          <w:rtl/>
          <w:lang w:val="en-GB"/>
        </w:rPr>
        <w:t xml:space="preserve"> </w:t>
      </w:r>
    </w:p>
  </w:footnote>
  <w:footnote w:id="54">
    <w:p w:rsidR="003C150D" w:rsidRDefault="003C150D" w:rsidP="003C150D">
      <w:pPr>
        <w:pStyle w:val="aa"/>
        <w:bidi w:val="0"/>
        <w:jc w:val="both"/>
        <w:rPr>
          <w:lang w:val="en-US"/>
        </w:rPr>
      </w:pPr>
      <w:r>
        <w:rPr>
          <w:rStyle w:val="ac"/>
        </w:rPr>
        <w:footnoteRef/>
      </w:r>
      <w:r>
        <w:rPr>
          <w:lang w:val="en-US"/>
        </w:rPr>
        <w:t xml:space="preserve"> </w:t>
      </w:r>
      <w:r>
        <w:rPr>
          <w:lang w:val="en-GB"/>
        </w:rPr>
        <w:t>Liav Orgad; The preamble in constitutional interpretation, International Journal of Constitutional Law, Volume 8, Issue 4, 1 October 2010, pp 725-726</w:t>
      </w:r>
      <w:r>
        <w:rPr>
          <w:lang w:val="en-US"/>
        </w:rPr>
        <w:t>. Wim Voermans</w:t>
      </w:r>
      <w:r>
        <w:rPr>
          <w:rFonts w:hint="cs"/>
          <w:rtl/>
          <w:lang w:val="en-US"/>
        </w:rPr>
        <w:t>‏</w:t>
      </w:r>
      <w:r>
        <w:rPr>
          <w:lang w:val="en-US"/>
        </w:rPr>
        <w:t>, Maarten Stremler</w:t>
      </w:r>
      <w:r>
        <w:rPr>
          <w:rFonts w:hint="cs"/>
          <w:rtl/>
          <w:lang w:val="en-US"/>
        </w:rPr>
        <w:t>‏</w:t>
      </w:r>
      <w:r>
        <w:rPr>
          <w:lang w:val="en-US"/>
        </w:rPr>
        <w:t xml:space="preserve">, Constitutional Preambles: A Comparative Analysis (Edward Elgar Publishing, Inc., 2017), chapter 7.3. </w:t>
      </w:r>
      <w:r>
        <w:rPr>
          <w:rFonts w:hint="cs"/>
          <w:rtl/>
        </w:rPr>
        <w:t xml:space="preserve"> </w:t>
      </w:r>
      <w:r>
        <w:t>Michael Silagi, The Preamble of the German Grundgesetz–Constitutional Status and Importance of Preambles in German Law, AJH 52, No 1, pp. 54–63 (2011)</w:t>
      </w:r>
      <w:r>
        <w:rPr>
          <w:lang w:val="en-US"/>
        </w:rPr>
        <w:t xml:space="preserve">. </w:t>
      </w:r>
    </w:p>
  </w:footnote>
  <w:footnote w:id="55">
    <w:p w:rsidR="003C150D" w:rsidRDefault="003C150D" w:rsidP="003C150D">
      <w:pPr>
        <w:pStyle w:val="aa"/>
        <w:bidi w:val="0"/>
        <w:jc w:val="both"/>
        <w:rPr>
          <w:lang w:val="en-US"/>
        </w:rPr>
      </w:pPr>
      <w:r>
        <w:rPr>
          <w:rStyle w:val="ac"/>
        </w:rPr>
        <w:footnoteRef/>
      </w:r>
      <w:r>
        <w:rPr>
          <w:rFonts w:hint="cs"/>
          <w:rtl/>
        </w:rPr>
        <w:t xml:space="preserve"> </w:t>
      </w:r>
      <w:r>
        <w:rPr>
          <w:lang w:val="en-US"/>
        </w:rPr>
        <w:t>Wim Voermans</w:t>
      </w:r>
      <w:r>
        <w:rPr>
          <w:rFonts w:hint="cs"/>
          <w:rtl/>
          <w:lang w:val="en-US"/>
        </w:rPr>
        <w:t>‏</w:t>
      </w:r>
      <w:r>
        <w:rPr>
          <w:lang w:val="en-US"/>
        </w:rPr>
        <w:t>, Maarten Stremler</w:t>
      </w:r>
      <w:r>
        <w:rPr>
          <w:rFonts w:hint="cs"/>
          <w:rtl/>
          <w:lang w:val="en-US"/>
        </w:rPr>
        <w:t>‏</w:t>
      </w:r>
      <w:r>
        <w:rPr>
          <w:lang w:val="en-US"/>
        </w:rPr>
        <w:t>, Constitutional Preambles: A Comparative Analysis (Edward Elgar Publishing, Inc., 2017), chapter 7.3.</w:t>
      </w:r>
    </w:p>
  </w:footnote>
  <w:footnote w:id="56">
    <w:p w:rsidR="003C150D" w:rsidRDefault="003C150D" w:rsidP="003C150D">
      <w:pPr>
        <w:pStyle w:val="aa"/>
        <w:bidi w:val="0"/>
        <w:jc w:val="both"/>
        <w:rPr>
          <w:lang w:val="en-US"/>
        </w:rPr>
      </w:pPr>
      <w:r>
        <w:rPr>
          <w:rStyle w:val="ac"/>
        </w:rPr>
        <w:footnoteRef/>
      </w:r>
      <w:r>
        <w:rPr>
          <w:lang w:val="en-GB"/>
        </w:rPr>
        <w:t xml:space="preserve"> Liav Orgad; The preamble in constitutional interpretation, International Journal of Constitutional Law, Volume 8, Issue 4, 1 October 2010, pp 725-726.</w:t>
      </w:r>
      <w:r>
        <w:rPr>
          <w:rFonts w:hint="cs"/>
          <w:rtl/>
          <w:lang w:val="en-GB"/>
        </w:rPr>
        <w:t xml:space="preserve"> </w:t>
      </w:r>
    </w:p>
  </w:footnote>
  <w:footnote w:id="57">
    <w:p w:rsidR="003C150D" w:rsidRDefault="003C150D" w:rsidP="003C150D">
      <w:pPr>
        <w:pStyle w:val="aa"/>
        <w:jc w:val="both"/>
      </w:pPr>
      <w:r>
        <w:rPr>
          <w:rStyle w:val="ac"/>
        </w:rPr>
        <w:footnoteRef/>
      </w:r>
      <w:r>
        <w:rPr>
          <w:rFonts w:hint="cs"/>
          <w:rtl/>
        </w:rPr>
        <w:t xml:space="preserve"> ועדת ונציה (</w:t>
      </w:r>
      <w:r>
        <w:t>European Commission for Democracy through Law</w:t>
      </w:r>
      <w:r>
        <w:rPr>
          <w:rFonts w:hint="cs"/>
          <w:rtl/>
        </w:rPr>
        <w:t>, בתרגום מילולי: "המועצה האירופית לדמוקרטיה באמצעות חקיקה"),  היא גוף מייעץ למועצת אירופה בתחום המשפט החוקתי (מועצת אירופה (</w:t>
      </w:r>
      <w:r>
        <w:rPr>
          <w:sz w:val="18"/>
          <w:szCs w:val="18"/>
        </w:rPr>
        <w:t>European Council</w:t>
      </w:r>
      <w:r>
        <w:rPr>
          <w:rFonts w:hint="cs"/>
          <w:rtl/>
        </w:rPr>
        <w:t xml:space="preserve">) היא גוף שאינו חלק מהאיחוד האירופי, אשר בין מטרותיו קידום שיתוף פעולה אירופי ועקרונות דמוקרטיים, בין המדינות החברות בו נכללות גם מדינות האיחוד). </w:t>
      </w:r>
    </w:p>
  </w:footnote>
  <w:footnote w:id="58">
    <w:p w:rsidR="003C150D" w:rsidRDefault="003C150D" w:rsidP="003C150D">
      <w:pPr>
        <w:pStyle w:val="aa"/>
        <w:bidi w:val="0"/>
        <w:jc w:val="both"/>
        <w:rPr>
          <w:lang w:val="en-US"/>
        </w:rPr>
      </w:pPr>
      <w:r>
        <w:rPr>
          <w:rStyle w:val="ac"/>
        </w:rPr>
        <w:footnoteRef/>
      </w:r>
      <w:r>
        <w:rPr>
          <w:rFonts w:hint="cs"/>
          <w:rtl/>
        </w:rPr>
        <w:t xml:space="preserve"> </w:t>
      </w:r>
      <w:r>
        <w:rPr>
          <w:lang w:val="en-US"/>
        </w:rPr>
        <w:t>Venice Commission, Opinion on the New Constitution of Hungary, Opinion no. 618/2011.</w:t>
      </w:r>
    </w:p>
  </w:footnote>
  <w:footnote w:id="59">
    <w:p w:rsidR="003C150D" w:rsidRDefault="003C150D" w:rsidP="003C150D">
      <w:pPr>
        <w:pStyle w:val="aa"/>
        <w:bidi w:val="0"/>
        <w:jc w:val="both"/>
        <w:rPr>
          <w:rtl/>
          <w:lang w:val="en-US"/>
        </w:rPr>
      </w:pPr>
      <w:r>
        <w:rPr>
          <w:rStyle w:val="ac"/>
        </w:rPr>
        <w:footnoteRef/>
      </w:r>
      <w:r>
        <w:rPr>
          <w:rFonts w:hint="cs"/>
          <w:rtl/>
        </w:rPr>
        <w:t xml:space="preserve"> </w:t>
      </w:r>
      <w:r>
        <w:rPr>
          <w:lang w:val="en-US"/>
        </w:rPr>
        <w:t>Ibid.</w:t>
      </w:r>
    </w:p>
  </w:footnote>
  <w:footnote w:id="60">
    <w:p w:rsidR="003C150D" w:rsidRDefault="003C150D" w:rsidP="003C150D">
      <w:pPr>
        <w:pStyle w:val="aa"/>
        <w:bidi w:val="0"/>
        <w:jc w:val="both"/>
        <w:rPr>
          <w:lang w:val="en-US"/>
        </w:rPr>
      </w:pPr>
      <w:r>
        <w:rPr>
          <w:rStyle w:val="ac"/>
        </w:rPr>
        <w:footnoteRef/>
      </w:r>
      <w:r>
        <w:rPr>
          <w:rFonts w:hint="cs"/>
          <w:rtl/>
        </w:rPr>
        <w:t xml:space="preserve"> </w:t>
      </w:r>
      <w:r>
        <w:rPr>
          <w:lang w:val="en-GB"/>
        </w:rPr>
        <w:t xml:space="preserve">The Hungarian Constitution, Preamble: </w:t>
      </w:r>
      <w:r>
        <w:rPr>
          <w:lang w:val="en-US"/>
        </w:rPr>
        <w:t>"</w:t>
      </w:r>
      <w:r>
        <w:rPr>
          <w:lang w:val="en-GB"/>
        </w:rPr>
        <w:t>WE, THE MEMBERS OF THE HUNGARIAN NATION, at the beginning of the new millennium, with a sense of responsibility for every Hungarian, hereby proclaim the following: We are proud that our king Saint Stephen built the Hungarian State on solid ground and made our country a part of Christian Europe one thousand years ago. We are proud of our forebears who fought for the survival, freedom and independence of our country. We are proud of the outstanding intellectual achievements of the Hungarian people. We are proud that our people has over the centuries defended Europe in a series of struggles and enriched Europe’s common values with its talent and diligence. We recognise the role of Christianity in preserving nationhood. We value the various religious traditions of our country. We promise to preserve the intellectual and spiritual unity of our nation torn apart in the storms of the last century. We proclaim that the nationalities living with us form part of the Hungarian political community and are constituent parts of the State. We commit to promoting and safeguarding our heritage, our unique language, Hungarian culture, the languages and cultures of nationalities living in Hungary, along with all man-made and natural assets of the Carpathian Basin. We bear responsibility for our descendants; therefore we shall protect the living conditions of future generations by making prudent use of our material, intellectual and natural resources. We believe that our national culture is a rich contribution to the diversity of European unity. We respect the freedom and culture of other nations, and shall strive to cooperate with every nation of the world. We hold that human existence is based on human dignity. We hold that individual freedom can only be complete in cooperation with others. We hold that the family and the nation constitute the principal framework of our coexistence, and that our fundamental cohesive values are fidelity, faith and love. We hold that the strength of community and the honour of each man are based on labour, an achievement of the human mind. We hold that we have a general duty to help the vulnerable and the poor. We hold that the common goal of citizens and the State is to achieve the highest possible measure of well-being, safety, order, justice and liberty. We hold that democracy is only possible where the State serves its citizens and administers their affairs in an equitable manner, without prejudice or abuse. We honour the achievements of our historical constitution and we honour the Holy Crown, which embodies the constitutional continuity of Hungary’s statehood and the unity of the nation. We do not recognise the suspension of our historical constitution due to foreign occupations. We deny any statute of limitations for the inhuman crimes committed against the Hungarian nation and its citizens under the national socialist and the communist dictatorship. We do not recognise the communist constitution of 1949, since it was the basis for tyrannical rule; therefore we proclaim it to be invalid. We agree with the Members of the first free National Assembly, which proclaimed as its first decision that our current liberty was born of our 1956 Revolution. We date the restoration of our country’s self-determination, lost on the nineteenth day of March 1944, from the second day of May 1990, when the first freely elected organ of popular representation was formed. We shall consider this date to be the beginning of our country’s new democracy and constitutional order. We hold that after the decades of the twentieth century which led to a state of moral decay, we have an abiding need for spiritual and intellectual renewal. We trust in a jointly-shaped future and the commitment of younger generations. We believe that our children and grandchildren will make Hungary great again with their talent, persistence and moral strength. Our Fundamental Law shall be the basis of our legal order; it shall be an alliance among Hungarians of the past, present and future. It is a living framework which expresses the nation’s will and the form in which we want to live. We, the citizens of Hungary, are ready to found the order of our country upon the common endeavours of the nation</w:t>
      </w:r>
      <w:r>
        <w:rPr>
          <w:lang w:val="en-US"/>
        </w:rPr>
        <w:t>".</w:t>
      </w:r>
    </w:p>
  </w:footnote>
  <w:footnote w:id="61">
    <w:p w:rsidR="003C150D" w:rsidRDefault="003C150D" w:rsidP="003C150D">
      <w:pPr>
        <w:pStyle w:val="aa"/>
        <w:bidi w:val="0"/>
        <w:jc w:val="both"/>
        <w:rPr>
          <w:lang w:val="en-US"/>
        </w:rPr>
      </w:pPr>
      <w:r>
        <w:rPr>
          <w:rStyle w:val="ac"/>
        </w:rPr>
        <w:footnoteRef/>
      </w:r>
      <w:r>
        <w:rPr>
          <w:rFonts w:hint="cs"/>
          <w:rtl/>
        </w:rPr>
        <w:t xml:space="preserve"> </w:t>
      </w:r>
      <w:r>
        <w:rPr>
          <w:lang w:val="en-US"/>
        </w:rPr>
        <w:t>Venice Commission, Opinion on the New Constitution of Hungary, Opinion no. 618/2011, pp 8-9.</w:t>
      </w:r>
    </w:p>
  </w:footnote>
  <w:footnote w:id="62">
    <w:p w:rsidR="003C150D" w:rsidRDefault="003C150D" w:rsidP="003C150D">
      <w:pPr>
        <w:pStyle w:val="aa"/>
        <w:bidi w:val="0"/>
        <w:jc w:val="both"/>
        <w:rPr>
          <w:lang w:val="en-US"/>
        </w:rPr>
      </w:pPr>
      <w:r>
        <w:rPr>
          <w:rStyle w:val="ac"/>
        </w:rPr>
        <w:footnoteRef/>
      </w:r>
      <w:r>
        <w:rPr>
          <w:rFonts w:hint="cs"/>
          <w:rtl/>
        </w:rPr>
        <w:t xml:space="preserve"> </w:t>
      </w:r>
      <w:r>
        <w:rPr>
          <w:lang w:val="en-US"/>
        </w:rPr>
        <w:t>Ibid, Article R § 3.</w:t>
      </w:r>
    </w:p>
  </w:footnote>
  <w:footnote w:id="63">
    <w:p w:rsidR="003C150D" w:rsidRDefault="003C150D" w:rsidP="003C150D">
      <w:pPr>
        <w:pStyle w:val="aa"/>
        <w:bidi w:val="0"/>
        <w:jc w:val="both"/>
        <w:rPr>
          <w:lang w:val="en-US"/>
        </w:rPr>
      </w:pPr>
      <w:r>
        <w:rPr>
          <w:rStyle w:val="ac"/>
        </w:rPr>
        <w:footnoteRef/>
      </w:r>
      <w:r>
        <w:rPr>
          <w:rFonts w:hint="cs"/>
          <w:rtl/>
        </w:rPr>
        <w:t xml:space="preserve"> </w:t>
      </w:r>
      <w:r>
        <w:rPr>
          <w:lang w:val="en-US"/>
        </w:rPr>
        <w:t>Venice Commission, Opinion on the New Constitution of Hungary, Opinion no. 618/2011: "Although preambles are usually seen as one of several means of interpretation of the Constitution, the reference to the Preamble in Article R § 3 may lead to problems in the Hungarian case since the Preamble’s text lacks precision, which is essential for a legal text, and contains a number of potentially controversial statements".</w:t>
      </w:r>
    </w:p>
  </w:footnote>
  <w:footnote w:id="64">
    <w:p w:rsidR="003C150D" w:rsidRDefault="003C150D" w:rsidP="003C150D">
      <w:pPr>
        <w:pStyle w:val="aa"/>
        <w:bidi w:val="0"/>
        <w:jc w:val="both"/>
        <w:rPr>
          <w:lang w:val="en-US"/>
        </w:rPr>
      </w:pPr>
      <w:r>
        <w:rPr>
          <w:rStyle w:val="ac"/>
        </w:rPr>
        <w:footnoteRef/>
      </w:r>
      <w:r>
        <w:rPr>
          <w:rFonts w:hint="cs"/>
          <w:rtl/>
        </w:rPr>
        <w:t xml:space="preserve"> </w:t>
      </w:r>
      <w:r>
        <w:rPr>
          <w:lang w:val="en-US"/>
        </w:rPr>
        <w:t>Ibid: "… Constitution should avoid defining or establishing once and for all values of which there are different justifiable conceptions in society".</w:t>
      </w:r>
    </w:p>
  </w:footnote>
  <w:footnote w:id="65">
    <w:p w:rsidR="003C150D" w:rsidRDefault="003C150D" w:rsidP="003C150D">
      <w:pPr>
        <w:pStyle w:val="aa"/>
        <w:bidi w:val="0"/>
        <w:jc w:val="both"/>
        <w:rPr>
          <w:lang w:val="en-US"/>
        </w:rPr>
      </w:pPr>
      <w:r>
        <w:rPr>
          <w:rStyle w:val="ac"/>
        </w:rPr>
        <w:footnoteRef/>
      </w:r>
      <w:r>
        <w:rPr>
          <w:rFonts w:hint="cs"/>
          <w:rtl/>
        </w:rPr>
        <w:t xml:space="preserve"> </w:t>
      </w:r>
      <w:r>
        <w:rPr>
          <w:lang w:val="en-US"/>
        </w:rPr>
        <w:t>Ibid: "Such values, as well as their legislative implications, should be left to the ethical debates within society and ordinary democratic procedures, respecting at the same time the country’s human rights and other international commitments".</w:t>
      </w:r>
    </w:p>
  </w:footnote>
  <w:footnote w:id="66">
    <w:p w:rsidR="003C150D" w:rsidRDefault="003C150D" w:rsidP="003C150D">
      <w:pPr>
        <w:pStyle w:val="aa"/>
        <w:bidi w:val="0"/>
        <w:jc w:val="both"/>
        <w:rPr>
          <w:lang w:val="en-US"/>
        </w:rPr>
      </w:pPr>
      <w:r>
        <w:rPr>
          <w:rStyle w:val="ac"/>
        </w:rPr>
        <w:footnoteRef/>
      </w:r>
      <w:r>
        <w:rPr>
          <w:rFonts w:hint="cs"/>
          <w:rtl/>
        </w:rPr>
        <w:t xml:space="preserve"> </w:t>
      </w:r>
      <w:r>
        <w:rPr>
          <w:lang w:val="en-US"/>
        </w:rPr>
        <w:t>Ibid: "It is also of particular importance that the constitutional legislator pays proper attention to the principle of friendly neighbourly relations and avoids inclusion of extra-territorial elements and formulations that may give rise to resentment among neighbouring states".</w:t>
      </w:r>
    </w:p>
  </w:footnote>
  <w:footnote w:id="67">
    <w:p w:rsidR="003C150D" w:rsidRDefault="003C150D" w:rsidP="003C150D">
      <w:pPr>
        <w:pStyle w:val="aa"/>
        <w:bidi w:val="0"/>
        <w:jc w:val="both"/>
        <w:rPr>
          <w:lang w:val="en-US"/>
        </w:rPr>
      </w:pPr>
      <w:r>
        <w:rPr>
          <w:rStyle w:val="ac"/>
        </w:rPr>
        <w:footnoteRef/>
      </w:r>
      <w:r>
        <w:rPr>
          <w:rFonts w:hint="cs"/>
          <w:rtl/>
        </w:rPr>
        <w:t xml:space="preserve"> </w:t>
      </w:r>
      <w:r>
        <w:rPr>
          <w:lang w:val="en-US"/>
        </w:rPr>
        <w:t>Ibid: "Such a wide understanding of the Hungarian nation and of Hungary’s responsibilities may hamper inter- State relations and create inter-ethnic tension".</w:t>
      </w:r>
    </w:p>
  </w:footnote>
  <w:footnote w:id="68">
    <w:p w:rsidR="003C150D" w:rsidRDefault="003C150D" w:rsidP="003C150D">
      <w:pPr>
        <w:pStyle w:val="aa"/>
        <w:bidi w:val="0"/>
        <w:jc w:val="both"/>
        <w:rPr>
          <w:lang w:val="en-US"/>
        </w:rPr>
      </w:pPr>
      <w:r>
        <w:rPr>
          <w:rStyle w:val="ac"/>
        </w:rPr>
        <w:footnoteRef/>
      </w:r>
      <w:r>
        <w:rPr>
          <w:rFonts w:hint="cs"/>
          <w:rtl/>
        </w:rPr>
        <w:t xml:space="preserve"> </w:t>
      </w:r>
      <w:r>
        <w:rPr>
          <w:lang w:val="en-US"/>
        </w:rPr>
        <w:t>Ibid: "The Constitution should be seen as the result of the democratic will-formation of the country’s citizens as a whole, and not only of the dominant ethnic group. Therefore, the language used could/should have been more inclusive (such as, for example “We, citizens of Hungary…”)".</w:t>
      </w:r>
    </w:p>
  </w:footnote>
  <w:footnote w:id="69">
    <w:p w:rsidR="003C150D" w:rsidRDefault="003C150D" w:rsidP="003C150D">
      <w:pPr>
        <w:pStyle w:val="aa"/>
        <w:jc w:val="both"/>
        <w:rPr>
          <w:lang w:val="en-US"/>
        </w:rPr>
      </w:pPr>
      <w:r>
        <w:rPr>
          <w:rStyle w:val="ac"/>
        </w:rPr>
        <w:footnoteRef/>
      </w:r>
      <w:r>
        <w:rPr>
          <w:rFonts w:hint="cs"/>
          <w:rtl/>
        </w:rPr>
        <w:t xml:space="preserve"> ראו מאמר של מכון אטבוס קארולי (מכון מחקרי משפט הונגרי שהוקם בידי קרן סורוס):</w:t>
      </w:r>
    </w:p>
    <w:p w:rsidR="003C150D" w:rsidRDefault="003C150D" w:rsidP="003C150D">
      <w:pPr>
        <w:pStyle w:val="aa"/>
        <w:bidi w:val="0"/>
        <w:jc w:val="both"/>
        <w:rPr>
          <w:lang w:val="en-US"/>
        </w:rPr>
      </w:pPr>
      <w:r>
        <w:rPr>
          <w:lang w:val="en-US"/>
        </w:rPr>
        <w:tab/>
        <w:t>E</w:t>
      </w:r>
      <w:r>
        <w:t xml:space="preserve">ötvös </w:t>
      </w:r>
      <w:r>
        <w:rPr>
          <w:lang w:val="en-US"/>
        </w:rPr>
        <w:t>K</w:t>
      </w:r>
      <w:r>
        <w:t>ároly institute</w:t>
      </w:r>
      <w:r>
        <w:rPr>
          <w:lang w:val="en-US"/>
        </w:rPr>
        <w:t>,</w:t>
      </w:r>
      <w:r>
        <w:t xml:space="preserve"> </w:t>
      </w:r>
      <w:r>
        <w:rPr>
          <w:lang w:val="en-US"/>
        </w:rPr>
        <w:t>"</w:t>
      </w:r>
      <w:r>
        <w:t>The case of the Hungarian Government with the Venice Commission</w:t>
      </w:r>
      <w:r>
        <w:rPr>
          <w:lang w:val="en-US"/>
        </w:rPr>
        <w:t xml:space="preserve"> -</w:t>
      </w:r>
      <w:r>
        <w:t xml:space="preserve"> Assessment of Government reactions concerning the Venice Commission’s opinion on the new Constitution of Hungary</w:t>
      </w:r>
      <w:r>
        <w:rPr>
          <w:lang w:val="en-US"/>
        </w:rPr>
        <w:t>"</w:t>
      </w:r>
      <w:r>
        <w:t xml:space="preserve"> (</w:t>
      </w:r>
      <w:r>
        <w:rPr>
          <w:lang w:val="en-US"/>
        </w:rPr>
        <w:t>August</w:t>
      </w:r>
      <w:r>
        <w:t>, 2011).</w:t>
      </w:r>
    </w:p>
  </w:footnote>
  <w:footnote w:id="70">
    <w:p w:rsidR="003C150D" w:rsidRDefault="003C150D" w:rsidP="003C150D">
      <w:pPr>
        <w:pStyle w:val="aa"/>
        <w:bidi w:val="0"/>
        <w:jc w:val="both"/>
        <w:rPr>
          <w:lang w:val="en-GB"/>
        </w:rPr>
      </w:pPr>
      <w:r>
        <w:rPr>
          <w:rStyle w:val="ac"/>
        </w:rPr>
        <w:footnoteRef/>
      </w:r>
      <w:r>
        <w:rPr>
          <w:rFonts w:hint="cs"/>
          <w:rtl/>
        </w:rPr>
        <w:t xml:space="preserve"> </w:t>
      </w:r>
      <w:r>
        <w:rPr>
          <w:lang w:val="en-GB"/>
        </w:rPr>
        <w:t>The Constitution of the Czech Republic of December 16, 1992 (As amended).</w:t>
      </w:r>
    </w:p>
  </w:footnote>
  <w:footnote w:id="71">
    <w:p w:rsidR="003C150D" w:rsidRDefault="003C150D" w:rsidP="003C150D">
      <w:pPr>
        <w:pStyle w:val="aa"/>
        <w:bidi w:val="0"/>
        <w:jc w:val="both"/>
        <w:rPr>
          <w:lang w:val="en-GB"/>
        </w:rPr>
      </w:pPr>
      <w:r>
        <w:rPr>
          <w:rStyle w:val="ac"/>
        </w:rPr>
        <w:footnoteRef/>
      </w:r>
      <w:r>
        <w:rPr>
          <w:rFonts w:hint="cs"/>
          <w:rtl/>
        </w:rPr>
        <w:t xml:space="preserve"> </w:t>
      </w:r>
      <w:r>
        <w:rPr>
          <w:lang w:val="en-GB"/>
        </w:rPr>
        <w:t xml:space="preserve">Ibid, Preamble: </w:t>
      </w:r>
      <w:r>
        <w:rPr>
          <w:lang w:val="en-US"/>
        </w:rPr>
        <w:t>"</w:t>
      </w:r>
      <w:r>
        <w:rPr>
          <w:lang w:val="en-GB"/>
        </w:rPr>
        <w:t>We, the citizens of the Czech Republic in Bohemia, in Moravia, and in Silesia, At the time of the restoration of an independent Czech state, Faithful to all good traditions of the long-existing statehood of the lands of the Czech Crown, as well as of Czechoslovak statehood, Resolved to build, safeguard, and develop the Czech Republic in the spirit of the sanctity of human dignity and liberty, As the homeland of free citizens enjoying equal rights, conscious of their duties towards others and their responsibility towards the community, As a free and democratic state founded on respect for human rights and on the principles of civic society, As a part of the family of democracies in Europe and around the world, Resolved to guard and develop together the natural and cultural, material and spiritual wealth handed down to us, Resolved to abide by all proven principles of a state governed by the rule of law, Through our freely-elected representatives, do adopt this Constitution of the Czech Republic".</w:t>
      </w:r>
    </w:p>
  </w:footnote>
  <w:footnote w:id="72">
    <w:p w:rsidR="003C150D" w:rsidRDefault="003C150D" w:rsidP="003C150D">
      <w:pPr>
        <w:pStyle w:val="aa"/>
        <w:bidi w:val="0"/>
        <w:jc w:val="both"/>
        <w:rPr>
          <w:lang w:val="en-GB"/>
        </w:rPr>
      </w:pPr>
      <w:r>
        <w:rPr>
          <w:rStyle w:val="ac"/>
        </w:rPr>
        <w:footnoteRef/>
      </w:r>
      <w:r>
        <w:rPr>
          <w:rFonts w:hint="cs"/>
          <w:rtl/>
        </w:rPr>
        <w:t xml:space="preserve"> </w:t>
      </w:r>
      <w:r>
        <w:t xml:space="preserve">Karl Schelle, Ilona Schelleova, Andrea Schelleova, Jaromir Tauchen, </w:t>
      </w:r>
      <w:r>
        <w:rPr>
          <w:smallCaps/>
        </w:rPr>
        <w:t xml:space="preserve">The Czech Republic </w:t>
      </w:r>
      <w:r>
        <w:rPr>
          <w:smallCaps/>
          <w:lang w:val="en-GB"/>
        </w:rPr>
        <w:t>Constitutional</w:t>
      </w:r>
      <w:r>
        <w:rPr>
          <w:smallCaps/>
        </w:rPr>
        <w:t xml:space="preserve"> system</w:t>
      </w:r>
      <w:r>
        <w:t xml:space="preserve"> (Ledizioni LediPublishing, 2011),</w:t>
      </w:r>
      <w:r>
        <w:rPr>
          <w:lang w:val="en-GB"/>
        </w:rPr>
        <w:t xml:space="preserve"> page 26.</w:t>
      </w:r>
    </w:p>
  </w:footnote>
  <w:footnote w:id="73">
    <w:p w:rsidR="003C150D" w:rsidRDefault="003C150D" w:rsidP="003C150D">
      <w:pPr>
        <w:pStyle w:val="aa"/>
        <w:bidi w:val="0"/>
        <w:jc w:val="both"/>
        <w:rPr>
          <w:lang w:val="en-GB"/>
        </w:rPr>
      </w:pPr>
      <w:r>
        <w:rPr>
          <w:rStyle w:val="ac"/>
        </w:rPr>
        <w:footnoteRef/>
      </w:r>
      <w:r>
        <w:rPr>
          <w:rFonts w:hint="cs"/>
          <w:rtl/>
        </w:rPr>
        <w:t xml:space="preserve"> </w:t>
      </w:r>
      <w:r>
        <w:rPr>
          <w:lang w:val="en-GB"/>
        </w:rPr>
        <w:t xml:space="preserve">Christof H. Heyns, Frans Viljoen, </w:t>
      </w:r>
      <w:r>
        <w:rPr>
          <w:smallCaps/>
          <w:lang w:val="en-GB"/>
        </w:rPr>
        <w:t>The Impact of the United Nations Human Rights Treaties on the Domestic Level</w:t>
      </w:r>
      <w:r>
        <w:rPr>
          <w:lang w:val="en-GB"/>
        </w:rPr>
        <w:t xml:space="preserve"> (Kulwer Law International, 2002), page 196 and onwards. Liav Orgad; The preamble in constitutional interpretation, International Journal of Constitutional Law, Volume 8, Issue 4, 1 October 2010, page 716.</w:t>
      </w:r>
    </w:p>
  </w:footnote>
  <w:footnote w:id="74">
    <w:p w:rsidR="003C150D" w:rsidRDefault="003C150D" w:rsidP="003C150D">
      <w:pPr>
        <w:pStyle w:val="aa"/>
        <w:bidi w:val="0"/>
        <w:jc w:val="both"/>
        <w:rPr>
          <w:lang w:val="en-US"/>
        </w:rPr>
      </w:pPr>
      <w:r>
        <w:rPr>
          <w:rStyle w:val="ac"/>
        </w:rPr>
        <w:footnoteRef/>
      </w:r>
      <w:r>
        <w:rPr>
          <w:lang w:val="en-US"/>
        </w:rPr>
        <w:t xml:space="preserve">Justin Orlando Frosini, Constitutional Preambles. At a Crossroads Between Politics and Law (Maggioli S.p.A., 2012), page 29. </w:t>
      </w:r>
    </w:p>
  </w:footnote>
  <w:footnote w:id="75">
    <w:p w:rsidR="003C150D" w:rsidRDefault="003C150D" w:rsidP="003C150D">
      <w:pPr>
        <w:pStyle w:val="aa"/>
        <w:bidi w:val="0"/>
        <w:jc w:val="both"/>
        <w:rPr>
          <w:lang w:val="en-US"/>
        </w:rPr>
      </w:pPr>
      <w:r>
        <w:rPr>
          <w:rStyle w:val="ac"/>
        </w:rPr>
        <w:footnoteRef/>
      </w:r>
      <w:r>
        <w:rPr>
          <w:rFonts w:hint="cs"/>
          <w:rtl/>
        </w:rPr>
        <w:t xml:space="preserve"> </w:t>
      </w:r>
      <w:r>
        <w:rPr>
          <w:lang w:val="en-US"/>
        </w:rPr>
        <w:t>The Constitution of Greece (As revised by the parliamentary resolution of May 27th 2008 of the VIIIth Revisionary Parliament), Preamble: "</w:t>
      </w:r>
      <w:r>
        <w:t>In the name of the Holy and Consubstantial and Indivisible Trinity</w:t>
      </w:r>
      <w:r>
        <w:rPr>
          <w:lang w:val="en-US"/>
        </w:rPr>
        <w:t>"</w:t>
      </w:r>
      <w:r>
        <w:rPr>
          <w:lang w:val="en-GB"/>
        </w:rPr>
        <w:t>.</w:t>
      </w:r>
    </w:p>
  </w:footnote>
  <w:footnote w:id="76">
    <w:p w:rsidR="003C150D" w:rsidRDefault="003C150D" w:rsidP="003C150D">
      <w:pPr>
        <w:pStyle w:val="aa"/>
        <w:bidi w:val="0"/>
        <w:jc w:val="both"/>
        <w:rPr>
          <w:lang w:val="en-GB"/>
        </w:rPr>
      </w:pPr>
      <w:r>
        <w:rPr>
          <w:rStyle w:val="ac"/>
        </w:rPr>
        <w:footnoteRef/>
      </w:r>
      <w:r>
        <w:rPr>
          <w:rFonts w:hint="cs"/>
          <w:rtl/>
        </w:rPr>
        <w:t xml:space="preserve"> </w:t>
      </w:r>
      <w:r>
        <w:rPr>
          <w:lang w:val="en-GB"/>
        </w:rPr>
        <w:t xml:space="preserve">Archimandrite Nikodemos Anagnostopoulos, </w:t>
      </w:r>
      <w:r>
        <w:rPr>
          <w:smallCaps/>
          <w:lang w:val="en-GB"/>
        </w:rPr>
        <w:t>Orthodoxy and Islam: Theology and Muslim–Christian Relations in Modern Greece and Turkey</w:t>
      </w:r>
      <w:r>
        <w:rPr>
          <w:lang w:val="en-GB"/>
        </w:rPr>
        <w:t xml:space="preserve"> (Routledge, 2017).</w:t>
      </w:r>
    </w:p>
  </w:footnote>
  <w:footnote w:id="77">
    <w:p w:rsidR="003C150D" w:rsidRDefault="003C150D" w:rsidP="003C150D">
      <w:pPr>
        <w:pStyle w:val="aa"/>
        <w:bidi w:val="0"/>
        <w:jc w:val="both"/>
        <w:rPr>
          <w:lang w:val="en-US"/>
        </w:rPr>
      </w:pPr>
      <w:r>
        <w:rPr>
          <w:rStyle w:val="ac"/>
        </w:rPr>
        <w:footnoteRef/>
      </w:r>
      <w:r>
        <w:rPr>
          <w:rFonts w:hint="cs"/>
          <w:rtl/>
        </w:rPr>
        <w:t xml:space="preserve"> </w:t>
      </w:r>
      <w:r>
        <w:rPr>
          <w:lang w:val="en-GB"/>
        </w:rPr>
        <w:t>The Constitution of the Republic of Poland of 2nd April, 1997, Preamble: "</w:t>
      </w:r>
      <w:r>
        <w:rPr>
          <w:lang w:val="en-US"/>
        </w:rPr>
        <w:t>Having regard for the existence and future of our Homeland, Which recovered, in 1989, the possibility of a sovereign and democratic determination of its fate, We, the Polish Nation - all citizens of the Republic, Both those who believe in God as the source of truth, justice, good and beauty, As well as those not sharing such faith but respecting those universal values as arising from other sources, Equal in rights and obligations towards the common good - Poland, Beholden to our ancestors for their labours, their struggle for independence achieved at great sacrifice, for our culture rooted in the Christian heritage of the Nation and in universal human values, Recalling the best traditions of the First and the Second Republic, Obliged to bequeath to future generations all that is valuable from our over one thousand years' heritage, Bound in community with our compatriots dispersed throughout the world, Aware of the need for cooperation with all countries for the good of the Human Family, Mindful of the bitter experiences of the times when fundamental freedoms and human rights were violated in our Homeland, Desiring to guarantee the rights of the citizens for all time, and to ensure diligence and efficiency in the work of public bodies, Recognizing our responsibility before God or our own consciences, Hereby establish this Constitution of the Republic of Poland as the basic law for the State, based on respect for freedom and justice, cooperation between the public powers, social dialogue as well as on the principle of subsidiarity in the strengthening the powers of citizens and their communities. We call upon all those who will apply this Constitution for the good of the Third Republic to do so paying respect to the inherent dignity of the person, his or her right to freedom, the obligation of solidarity with others, and respect for these principles as the unshakeable foundation of the Republic of Poland".</w:t>
      </w:r>
    </w:p>
  </w:footnote>
  <w:footnote w:id="78">
    <w:p w:rsidR="003C150D" w:rsidRDefault="003C150D" w:rsidP="003C150D">
      <w:pPr>
        <w:pStyle w:val="aa"/>
        <w:bidi w:val="0"/>
        <w:jc w:val="both"/>
        <w:rPr>
          <w:lang w:val="en-US"/>
        </w:rPr>
      </w:pPr>
      <w:r>
        <w:rPr>
          <w:rStyle w:val="ac"/>
        </w:rPr>
        <w:footnoteRef/>
      </w:r>
      <w:r>
        <w:rPr>
          <w:rFonts w:hint="cs"/>
          <w:rtl/>
        </w:rPr>
        <w:t xml:space="preserve"> </w:t>
      </w:r>
      <w:r>
        <w:rPr>
          <w:lang w:val="en-GB"/>
        </w:rPr>
        <w:t>Geneviève Zubrzycki, "We, the Polish Nation": Ethnic and Civic Visions of Nationhood in Post-Communist Constitutional Debates, Theory and Society, Vol. 30, No. 5 (Oct., 2001), pp. 629-668</w:t>
      </w:r>
      <w:r>
        <w:rPr>
          <w:lang w:val="en-US"/>
        </w:rPr>
        <w:t>.</w:t>
      </w:r>
    </w:p>
    <w:p w:rsidR="003C150D" w:rsidRDefault="003C150D" w:rsidP="003C150D">
      <w:pPr>
        <w:pStyle w:val="aa"/>
        <w:jc w:val="both"/>
        <w:rPr>
          <w:lang w:val="en-US"/>
        </w:rPr>
      </w:pPr>
      <w:r>
        <w:rPr>
          <w:rFonts w:hint="cs"/>
          <w:rtl/>
          <w:lang w:val="en-US"/>
        </w:rPr>
        <w:tab/>
        <w:t>כך לדוגמה נטען כי הפסקה "שמפשרת" בין מאמינים באל ובין מי שמאמינים בערכים אוניברסליים הוכנסה ברגע האחרון כדי שהחוקה תזכה לאישור רחב ככל הניתן ותאושר במשאל העם. ראו:</w:t>
      </w:r>
    </w:p>
    <w:p w:rsidR="003C150D" w:rsidRDefault="003C150D" w:rsidP="003C150D">
      <w:pPr>
        <w:pStyle w:val="aa"/>
        <w:bidi w:val="0"/>
        <w:jc w:val="both"/>
        <w:rPr>
          <w:rtl/>
          <w:lang w:val="en-US"/>
        </w:rPr>
      </w:pPr>
      <w:r>
        <w:rPr>
          <w:lang w:val="en-US"/>
        </w:rPr>
        <w:tab/>
      </w:r>
      <w:r>
        <w:t>Ewa Poplawska, ‘Preamble to the Constitution as an Expression of the New Axiology of the Republic of Poland’ (2011) 52(1) Acta Juridica Hungarica 40</w:t>
      </w:r>
      <w:r>
        <w:rPr>
          <w:lang w:val="en-US"/>
        </w:rPr>
        <w:t>.</w:t>
      </w:r>
    </w:p>
  </w:footnote>
  <w:footnote w:id="79">
    <w:p w:rsidR="003C150D" w:rsidRDefault="003C150D" w:rsidP="003C150D">
      <w:pPr>
        <w:pStyle w:val="aa"/>
        <w:bidi w:val="0"/>
        <w:jc w:val="both"/>
        <w:rPr>
          <w:lang w:val="en-US"/>
        </w:rPr>
      </w:pPr>
      <w:r>
        <w:rPr>
          <w:rStyle w:val="ac"/>
        </w:rPr>
        <w:footnoteRef/>
      </w:r>
      <w:r>
        <w:rPr>
          <w:rFonts w:hint="cs"/>
          <w:rtl/>
        </w:rPr>
        <w:t xml:space="preserve"> </w:t>
      </w:r>
      <w:r>
        <w:t>Ewa Poplawska, ‘Preamble to the Constitution as an Expression of the New Axiology of the Republic of Poland’ (2011) 52(1) Acta Juridica Hungarica 40, 41</w:t>
      </w:r>
      <w:r>
        <w:rPr>
          <w:lang w:val="en-US"/>
        </w:rPr>
        <w:t>.</w:t>
      </w:r>
    </w:p>
  </w:footnote>
  <w:footnote w:id="80">
    <w:p w:rsidR="003C150D" w:rsidRDefault="003C150D" w:rsidP="003C150D">
      <w:pPr>
        <w:pStyle w:val="aa"/>
        <w:bidi w:val="0"/>
        <w:rPr>
          <w:lang w:val="en-US"/>
        </w:rPr>
      </w:pPr>
      <w:r>
        <w:rPr>
          <w:rStyle w:val="ac"/>
        </w:rPr>
        <w:footnoteRef/>
      </w:r>
      <w:r>
        <w:rPr>
          <w:rFonts w:hint="cs"/>
          <w:rtl/>
        </w:rPr>
        <w:t xml:space="preserve"> </w:t>
      </w:r>
      <w:r>
        <w:rPr>
          <w:lang w:val="en-US"/>
        </w:rPr>
        <w:t>Wim Voermans</w:t>
      </w:r>
      <w:r>
        <w:rPr>
          <w:rFonts w:hint="cs"/>
          <w:rtl/>
          <w:lang w:val="en-US"/>
        </w:rPr>
        <w:t>‏</w:t>
      </w:r>
      <w:r>
        <w:rPr>
          <w:lang w:val="en-US"/>
        </w:rPr>
        <w:t>, Maarten Stremler,</w:t>
      </w:r>
      <w:r>
        <w:rPr>
          <w:rFonts w:hint="cs"/>
          <w:rtl/>
          <w:lang w:val="en-US"/>
        </w:rPr>
        <w:t>‏</w:t>
      </w:r>
      <w:r>
        <w:rPr>
          <w:rFonts w:hint="cs"/>
          <w:lang w:val="en-US"/>
        </w:rPr>
        <w:t xml:space="preserve"> </w:t>
      </w:r>
      <w:r>
        <w:rPr>
          <w:smallCaps/>
          <w:lang w:val="en-US"/>
        </w:rPr>
        <w:t>Constitutional Preambles A Comparative Analysis</w:t>
      </w:r>
      <w:r>
        <w:rPr>
          <w:lang w:val="en-US"/>
        </w:rPr>
        <w:t xml:space="preserve"> (Edward Elgar Pub, 2017), chapter 7.4. </w:t>
      </w:r>
    </w:p>
  </w:footnote>
  <w:footnote w:id="81">
    <w:p w:rsidR="003C150D" w:rsidRDefault="003C150D" w:rsidP="003C150D">
      <w:pPr>
        <w:pStyle w:val="aa"/>
        <w:bidi w:val="0"/>
        <w:rPr>
          <w:lang w:val="en-US"/>
        </w:rPr>
      </w:pPr>
      <w:r>
        <w:rPr>
          <w:rStyle w:val="ac"/>
        </w:rPr>
        <w:footnoteRef/>
      </w:r>
      <w:r>
        <w:rPr>
          <w:rFonts w:hint="cs"/>
          <w:rtl/>
        </w:rPr>
        <w:t xml:space="preserve"> </w:t>
      </w:r>
      <w:r>
        <w:rPr>
          <w:lang w:val="en-US"/>
        </w:rPr>
        <w:t>Ibid.</w:t>
      </w:r>
    </w:p>
  </w:footnote>
  <w:footnote w:id="82">
    <w:p w:rsidR="003C150D" w:rsidRDefault="003C150D" w:rsidP="003C150D">
      <w:pPr>
        <w:pStyle w:val="aa"/>
        <w:bidi w:val="0"/>
        <w:jc w:val="both"/>
        <w:rPr>
          <w:lang w:val="en-US"/>
        </w:rPr>
      </w:pPr>
      <w:r>
        <w:rPr>
          <w:rStyle w:val="ac"/>
        </w:rPr>
        <w:footnoteRef/>
      </w:r>
      <w:r>
        <w:rPr>
          <w:rFonts w:hint="cs"/>
          <w:rtl/>
        </w:rPr>
        <w:t xml:space="preserve"> </w:t>
      </w:r>
      <w:r>
        <w:rPr>
          <w:lang w:val="en-GB"/>
        </w:rPr>
        <w:t xml:space="preserve">Constitution of the Republic of Macedonia (Adopted by the Macedonian Parliament on Nov., 17 1991), Preamble: </w:t>
      </w:r>
      <w:r>
        <w:rPr>
          <w:lang w:val="en-US"/>
        </w:rPr>
        <w:t>"Taking as the points of departure the historical, cultural, spiritual and statehood heritage of the Macedonian people and their struggle over centuries for national and social freedom as well as for the creation of their own state, and particularly the traditions of statehood and legality of the Krushevo Republic and the historic decisions of the Anti-Fascist Assembly of the People's Liberation of Macedonia, together with the constitutional and legal continuity of the Macedonian state as a sovereign republic within Federal Yugoslavia and the freely manifested will of the citizens of the Republic of Macedonia in the referendum of September 8th, 1991, as well as the historical fact that Macedonia is established as a national state of the Macedonian people, in which full equality as citizens and permanent co-existence with the Macedonian people is provided for Albanians, Turks, Vlachs, Romanies and other nationalities living in the Republic of Macedonia, and intent on: - the establishment of the Republic of Macedonia as a sovereign and independent state, as well as a civil and democratic one; - the establishment and consolidation of the rule of law as a fundamental system of government; - the guaranteeing of human rights, citizens, freedoms and ethnic equality; - the provision of peace and a common home for the Macedonian people with the nationalities living in the Republic of Macedonia; and on - the provision of social justice, economic wellbeing and prosperity in the life of the individual and the community, the Assembly of the Republic of Macedonia adopts THE CONSTITUTION OF THE REPUBLIC OF MACEDONIA".</w:t>
      </w:r>
    </w:p>
  </w:footnote>
  <w:footnote w:id="83">
    <w:p w:rsidR="003C150D" w:rsidRDefault="003C150D" w:rsidP="003C150D">
      <w:pPr>
        <w:pStyle w:val="aa"/>
        <w:jc w:val="both"/>
      </w:pPr>
      <w:r>
        <w:rPr>
          <w:rStyle w:val="ac"/>
        </w:rPr>
        <w:footnoteRef/>
      </w:r>
      <w:r>
        <w:rPr>
          <w:rFonts w:hint="cs"/>
          <w:rtl/>
        </w:rPr>
        <w:t xml:space="preserve"> הרפובליקה הקרושבית (</w:t>
      </w:r>
      <w:r>
        <w:rPr>
          <w:lang w:val="en-US"/>
        </w:rPr>
        <w:t>Krushevo Republic</w:t>
      </w:r>
      <w:r>
        <w:rPr>
          <w:rFonts w:hint="cs"/>
          <w:rtl/>
        </w:rPr>
        <w:t>) הייתה ישות מדינית שהוקמה בשנת 1903 באזור הבלקן בידי הארגון המהפכני הפנים-מקדוני (ארגון מקדוני שלחם למען הגדרה עצמית מקדונית כנגד האימפריה העותמנית) במסגרת מרד בשלטון העותמאני במקדוניה ובתראקיה.</w:t>
      </w:r>
    </w:p>
  </w:footnote>
  <w:footnote w:id="84">
    <w:p w:rsidR="003C150D" w:rsidRDefault="003C150D" w:rsidP="003C150D">
      <w:pPr>
        <w:pStyle w:val="aa"/>
        <w:jc w:val="both"/>
        <w:rPr>
          <w:rtl/>
        </w:rPr>
      </w:pPr>
      <w:r>
        <w:rPr>
          <w:rStyle w:val="ac"/>
        </w:rPr>
        <w:footnoteRef/>
      </w:r>
      <w:r>
        <w:rPr>
          <w:rFonts w:hint="cs"/>
          <w:rtl/>
        </w:rPr>
        <w:t xml:space="preserve"> </w:t>
      </w:r>
      <w:r>
        <w:rPr>
          <w:rFonts w:hint="cs"/>
          <w:rtl/>
          <w:lang w:val="en-GB"/>
        </w:rPr>
        <w:t xml:space="preserve">יוער, כי </w:t>
      </w:r>
      <w:r>
        <w:rPr>
          <w:rFonts w:hint="cs"/>
          <w:rtl/>
        </w:rPr>
        <w:t xml:space="preserve">בצד אוכלוסיית הרוב המקדונית שמוצאה סלאבי ודתה העיקרית נוצרית-אורתודוקסית, קיימים במקדוניה מיעוטים לאומיים, אתניים, דתיים ולשוניים שונים שהגדול שבהם הוא </w:t>
      </w:r>
      <w:r>
        <w:rPr>
          <w:rFonts w:hint="cs"/>
          <w:b/>
          <w:bCs/>
          <w:rtl/>
        </w:rPr>
        <w:t>המיעוט האלבני, שמהווה למעלה מרבע מאוכלוסיית הרפובליקה</w:t>
      </w:r>
      <w:r>
        <w:rPr>
          <w:rFonts w:hint="cs"/>
          <w:rtl/>
        </w:rPr>
        <w:t xml:space="preserve">. באזורים שבו המיעוט האלבני מצוי במקדוניה הוא מהווה למעלה מ-50% מהאוכלוסייה המקומית. </w:t>
      </w:r>
    </w:p>
    <w:p w:rsidR="003C150D" w:rsidRDefault="003C150D" w:rsidP="003C150D">
      <w:pPr>
        <w:pStyle w:val="aa"/>
        <w:jc w:val="both"/>
        <w:rPr>
          <w:rtl/>
        </w:rPr>
      </w:pPr>
      <w:r>
        <w:rPr>
          <w:rFonts w:hint="cs"/>
          <w:rtl/>
        </w:rPr>
        <w:tab/>
        <w:t>מסמך תחום חקיקה ומחקר משפטי בנושא: "זכויות שפה וחינוך של מיעוטים לאומיים, אתניים, לשוניים וילידים - סקירה משווה", כתב: עו"ד ליאור בן דוד (טרם פורסם), וכן:</w:t>
      </w:r>
    </w:p>
    <w:p w:rsidR="003C150D" w:rsidRDefault="003C150D" w:rsidP="003C150D">
      <w:pPr>
        <w:pStyle w:val="aa"/>
        <w:bidi w:val="0"/>
        <w:jc w:val="both"/>
        <w:rPr>
          <w:rtl/>
        </w:rPr>
      </w:pPr>
      <w:r>
        <w:rPr>
          <w:rFonts w:asciiTheme="majorBidi" w:hAnsiTheme="majorBidi" w:cstheme="majorBidi"/>
        </w:rPr>
        <w:tab/>
        <w:t xml:space="preserve">Aneta Cekik, "Power-Sharing and Informal Autonomy in the Republic of Macedonia", in Levente Salat, Sergiu Constantin, Alexander Osipov and </w:t>
      </w:r>
      <w:r>
        <w:rPr>
          <w:rFonts w:asciiTheme="majorBidi" w:hAnsiTheme="majorBidi" w:cstheme="majorBidi"/>
          <w:shd w:val="clear" w:color="auto" w:fill="FFFFFF"/>
        </w:rPr>
        <w:t xml:space="preserve">István Gergő Székely (eds.), </w:t>
      </w:r>
      <w:r>
        <w:rPr>
          <w:rFonts w:asciiTheme="majorBidi" w:hAnsiTheme="majorBidi" w:cstheme="majorBidi"/>
          <w:i/>
          <w:iCs/>
        </w:rPr>
        <w:t>Autonomy Arrangements around the World: A Collection of Well and Lesser Known Cases</w:t>
      </w:r>
      <w:r>
        <w:rPr>
          <w:rFonts w:asciiTheme="majorBidi" w:hAnsiTheme="majorBidi" w:cstheme="majorBidi"/>
        </w:rPr>
        <w:t xml:space="preserve">, </w:t>
      </w:r>
      <w:r>
        <w:rPr>
          <w:rFonts w:asciiTheme="majorBidi" w:hAnsiTheme="majorBidi" w:cstheme="majorBidi"/>
          <w:shd w:val="clear" w:color="auto" w:fill="FFFFFF"/>
        </w:rPr>
        <w:t>Cluj: Romanian Institute for Research on National Minorities, 2014, 223-245, pp. 224, 234.</w:t>
      </w:r>
    </w:p>
  </w:footnote>
  <w:footnote w:id="85">
    <w:p w:rsidR="003C150D" w:rsidRDefault="003C150D" w:rsidP="003C150D">
      <w:pPr>
        <w:pStyle w:val="aa"/>
        <w:bidi w:val="0"/>
        <w:jc w:val="both"/>
        <w:rPr>
          <w:lang w:val="en-US"/>
        </w:rPr>
      </w:pPr>
      <w:r>
        <w:rPr>
          <w:rStyle w:val="ac"/>
        </w:rPr>
        <w:footnoteRef/>
      </w:r>
      <w:r>
        <w:rPr>
          <w:rFonts w:hint="cs"/>
          <w:rtl/>
        </w:rPr>
        <w:t xml:space="preserve"> </w:t>
      </w:r>
      <w:r>
        <w:rPr>
          <w:rFonts w:asciiTheme="majorBidi" w:hAnsiTheme="majorBidi" w:cstheme="majorBidi"/>
          <w:lang w:val="en-US"/>
        </w:rPr>
        <w:t>Cekik, "Power-Sharing and Informal Autonomy in the Republic of Macedonia",</w:t>
      </w:r>
      <w:r>
        <w:rPr>
          <w:lang w:val="en-US"/>
        </w:rPr>
        <w:t xml:space="preserve"> p. 225.</w:t>
      </w:r>
    </w:p>
  </w:footnote>
  <w:footnote w:id="86">
    <w:p w:rsidR="003C150D" w:rsidRDefault="003C150D" w:rsidP="003C150D">
      <w:pPr>
        <w:pStyle w:val="aa"/>
        <w:jc w:val="both"/>
      </w:pPr>
      <w:r>
        <w:rPr>
          <w:rStyle w:val="ac"/>
        </w:rPr>
        <w:footnoteRef/>
      </w:r>
      <w:r>
        <w:rPr>
          <w:rFonts w:hint="cs"/>
          <w:rtl/>
        </w:rPr>
        <w:t xml:space="preserve"> הסכם אשר הוביל לשורת רפורמות חוקתיות וחקיקתיות, אשר, בין השאר, חיזקו את המעמד המשפטי של המיעוט האלבני, הביאו להכרה בשפה האלבנית כשפה רשמית שנייה במדינה, ואפשרו לאוכלוסייה האלבנית נגישות גם לחינוך ציבורי ולהשכלה גבוהה בשפתה. ראו:</w:t>
      </w:r>
    </w:p>
    <w:p w:rsidR="003C150D" w:rsidRDefault="003C150D" w:rsidP="003C150D">
      <w:pPr>
        <w:pStyle w:val="aa"/>
        <w:bidi w:val="0"/>
        <w:jc w:val="both"/>
        <w:rPr>
          <w:rtl/>
          <w:lang w:val="en-US"/>
        </w:rPr>
      </w:pPr>
      <w:r>
        <w:rPr>
          <w:lang w:val="en-US"/>
        </w:rPr>
        <w:tab/>
        <w:t xml:space="preserve">Abdulla Azizi, ¨The Right to Education in the Republic of Macedonia: The Right to Education in one's Mother Tongue", </w:t>
      </w:r>
      <w:r>
        <w:rPr>
          <w:i/>
          <w:iCs/>
          <w:lang w:val="en-US"/>
        </w:rPr>
        <w:t xml:space="preserve">Procedia Social and Behavioral Sciences </w:t>
      </w:r>
      <w:r>
        <w:rPr>
          <w:lang w:val="en-US"/>
        </w:rPr>
        <w:t>15 (2011), 2435–2440.</w:t>
      </w:r>
    </w:p>
  </w:footnote>
  <w:footnote w:id="87">
    <w:p w:rsidR="003C150D" w:rsidRDefault="003C150D" w:rsidP="003C150D">
      <w:pPr>
        <w:pStyle w:val="aa"/>
        <w:bidi w:val="0"/>
        <w:jc w:val="both"/>
        <w:rPr>
          <w:lang w:val="en-GB"/>
        </w:rPr>
      </w:pPr>
      <w:r>
        <w:rPr>
          <w:rStyle w:val="ac"/>
        </w:rPr>
        <w:footnoteRef/>
      </w:r>
      <w:r>
        <w:rPr>
          <w:rFonts w:hint="cs"/>
          <w:rtl/>
        </w:rPr>
        <w:t xml:space="preserve"> </w:t>
      </w:r>
      <w:r>
        <w:rPr>
          <w:lang w:val="en-GB"/>
        </w:rPr>
        <w:t>Constitution of the Republic of Macedonia (Adopted by the Macedonian Parliament on Nov., 17 1991), Preamble.</w:t>
      </w:r>
    </w:p>
  </w:footnote>
  <w:footnote w:id="88">
    <w:p w:rsidR="003C150D" w:rsidRDefault="003C150D" w:rsidP="003C150D">
      <w:pPr>
        <w:pStyle w:val="aa"/>
        <w:bidi w:val="0"/>
        <w:jc w:val="both"/>
        <w:rPr>
          <w:lang w:val="en-US"/>
        </w:rPr>
      </w:pPr>
      <w:r>
        <w:rPr>
          <w:rStyle w:val="ac"/>
        </w:rPr>
        <w:footnoteRef/>
      </w:r>
      <w:r>
        <w:rPr>
          <w:rFonts w:hint="cs"/>
          <w:rtl/>
        </w:rPr>
        <w:t xml:space="preserve"> </w:t>
      </w:r>
      <w:r>
        <w:rPr>
          <w:lang w:val="en-GB"/>
        </w:rPr>
        <w:t xml:space="preserve">The Constitution Of The Slovak Republic (Passed on 1 September 1992), Preamble: </w:t>
      </w:r>
      <w:r>
        <w:rPr>
          <w:lang w:val="en-US"/>
        </w:rPr>
        <w:t>"</w:t>
      </w:r>
      <w:r>
        <w:t xml:space="preserve"> </w:t>
      </w:r>
      <w:r>
        <w:rPr>
          <w:lang w:val="en-US"/>
        </w:rPr>
        <w:t>We, the Slovak nation, mindful of the political and cultural heritage of our forebears, and of the centuries of experience from the struggle for national existence and our own statehood, in the sense of the spiritual heritage of Cyril and Methodius and the historical legacy of the Great Moravian Empire, proceeding from the natural right of nations to self-determination, together with members of national minorities and ethnic groups living on the territory of the Slovak Republic, in the interest of lasting peaceful cooperation with other democratic states, seeking the application of the democratic form of government and the guarantees of a free life and the development of spiritual culture and economic prosperity, that is, we, citizens of the Slovak Republic, adopt through our representatives the following Constitution".</w:t>
      </w:r>
    </w:p>
  </w:footnote>
  <w:footnote w:id="89">
    <w:p w:rsidR="003C150D" w:rsidRDefault="003C150D" w:rsidP="003C150D">
      <w:pPr>
        <w:pStyle w:val="aa"/>
        <w:bidi w:val="0"/>
        <w:jc w:val="both"/>
        <w:rPr>
          <w:lang w:val="en-GB"/>
        </w:rPr>
      </w:pPr>
      <w:r>
        <w:rPr>
          <w:rStyle w:val="ac"/>
        </w:rPr>
        <w:footnoteRef/>
      </w:r>
      <w:r>
        <w:rPr>
          <w:rFonts w:hint="cs"/>
          <w:rtl/>
        </w:rPr>
        <w:t xml:space="preserve"> </w:t>
      </w:r>
      <w:r>
        <w:rPr>
          <w:lang w:val="en-GB"/>
        </w:rPr>
        <w:t xml:space="preserve">Liav Orgad; The preamble in constitutional interpretation, International Journal of Constitutional Law, Volume 8, Issue 4, 1 October 2010, footnote 117. </w:t>
      </w:r>
      <w:r>
        <w:t xml:space="preserve">Farimah Daftary &amp; Kinga Gal, The 1999 Slovak Minority Language Law: Internal or External Politics?, </w:t>
      </w:r>
      <w:r>
        <w:rPr>
          <w:i/>
          <w:iCs/>
        </w:rPr>
        <w:t>in</w:t>
      </w:r>
      <w:r>
        <w:t xml:space="preserve"> </w:t>
      </w:r>
      <w:r>
        <w:rPr>
          <w:smallCaps/>
          <w:lang w:val="en-GB"/>
        </w:rPr>
        <w:t>Nation-Building, Ethnicity and Language Politics in Transition Countries</w:t>
      </w:r>
      <w:r>
        <w:rPr>
          <w:lang w:val="en-GB"/>
        </w:rPr>
        <w:t xml:space="preserve"> </w:t>
      </w:r>
      <w:r>
        <w:t>39, 43–45 (2003).</w:t>
      </w:r>
    </w:p>
  </w:footnote>
  <w:footnote w:id="90">
    <w:p w:rsidR="003C150D" w:rsidRDefault="003C150D" w:rsidP="003C150D">
      <w:pPr>
        <w:pStyle w:val="aa"/>
        <w:bidi w:val="0"/>
        <w:jc w:val="both"/>
        <w:rPr>
          <w:lang w:val="en-GB"/>
        </w:rPr>
      </w:pPr>
      <w:r>
        <w:rPr>
          <w:rStyle w:val="ac"/>
        </w:rPr>
        <w:footnoteRef/>
      </w:r>
      <w:r>
        <w:rPr>
          <w:rFonts w:hint="cs"/>
          <w:rtl/>
        </w:rPr>
        <w:t xml:space="preserve"> </w:t>
      </w:r>
      <w:r>
        <w:rPr>
          <w:lang w:val="en-GB"/>
        </w:rPr>
        <w:t>Serbia's Constitution of 2006</w:t>
      </w:r>
      <w:r>
        <w:rPr>
          <w:rFonts w:hint="cs"/>
          <w:rtl/>
          <w:lang w:val="en-GB"/>
        </w:rPr>
        <w:t>,</w:t>
      </w:r>
      <w:r>
        <w:rPr>
          <w:lang w:val="en-GB"/>
        </w:rPr>
        <w:t xml:space="preserve"> Preamble: "Considering the state tradition of the Serbian people and equality of all citizens and ethnic communities in Serbia, Considering also that the Province of Kosovo and Metohija is an integral part of the territory of Serbia, that it has the status of a substantial autonomy within the sovereign state of Serbia and that from such status of the Province of Kosovo and Metohija follow constitutional obligations of all state bodies to uphold and protect the state interests of Serbia in Kosovo and Metohija in all internal and foreign political relations, the citizens of Serbia adopt".</w:t>
      </w:r>
    </w:p>
  </w:footnote>
  <w:footnote w:id="91">
    <w:p w:rsidR="003C150D" w:rsidRDefault="003C150D" w:rsidP="003C150D">
      <w:pPr>
        <w:pStyle w:val="aa"/>
        <w:bidi w:val="0"/>
        <w:jc w:val="both"/>
        <w:rPr>
          <w:lang w:val="en-GB"/>
        </w:rPr>
      </w:pPr>
      <w:r>
        <w:rPr>
          <w:rStyle w:val="ac"/>
        </w:rPr>
        <w:footnoteRef/>
      </w:r>
      <w:r>
        <w:rPr>
          <w:rFonts w:hint="cs"/>
          <w:rtl/>
        </w:rPr>
        <w:t xml:space="preserve"> </w:t>
      </w:r>
      <w:r>
        <w:t>Ratko Marković, Republic of Serbia Constitution of 2006 – A Critical Review</w:t>
      </w:r>
      <w:r>
        <w:rPr>
          <w:lang w:val="en-GB"/>
        </w:rPr>
        <w:t>, UDK 342.4(497.11) 2006.</w:t>
      </w:r>
    </w:p>
  </w:footnote>
  <w:footnote w:id="92">
    <w:p w:rsidR="003C150D" w:rsidRDefault="003C150D" w:rsidP="003C150D">
      <w:pPr>
        <w:pStyle w:val="aa"/>
        <w:bidi w:val="0"/>
        <w:jc w:val="both"/>
        <w:rPr>
          <w:lang w:val="en-US"/>
        </w:rPr>
      </w:pPr>
      <w:r>
        <w:rPr>
          <w:rStyle w:val="ac"/>
        </w:rPr>
        <w:footnoteRef/>
      </w:r>
      <w:r>
        <w:rPr>
          <w:rFonts w:hint="cs"/>
          <w:rtl/>
        </w:rPr>
        <w:t xml:space="preserve"> </w:t>
      </w:r>
      <w:r>
        <w:rPr>
          <w:lang w:val="en-US"/>
        </w:rPr>
        <w:t>Venice Commission, Opinion on the New Constitution of Serbia, Opinion no. 405/2006.</w:t>
      </w:r>
    </w:p>
  </w:footnote>
  <w:footnote w:id="93">
    <w:p w:rsidR="003C150D" w:rsidRDefault="003C150D" w:rsidP="003C150D">
      <w:pPr>
        <w:pStyle w:val="aa"/>
        <w:bidi w:val="0"/>
        <w:jc w:val="both"/>
        <w:rPr>
          <w:lang w:val="en-US"/>
        </w:rPr>
      </w:pPr>
      <w:r>
        <w:rPr>
          <w:rStyle w:val="ac"/>
        </w:rPr>
        <w:footnoteRef/>
      </w:r>
      <w:r>
        <w:rPr>
          <w:rFonts w:hint="cs"/>
          <w:rtl/>
        </w:rPr>
        <w:t xml:space="preserve"> </w:t>
      </w:r>
      <w:r>
        <w:rPr>
          <w:lang w:val="en-US"/>
        </w:rPr>
        <w:t>The Constitution of the Republic of Latvia 19 June 2014, Preamble: "The people of Latvia, in freely elected Constitutional Assembly, have adopted the following State Constitution: The State of Latvia, proclaimed on 18 November 1918, has been established by uniting historical Latvian lands and on the basis of the unwavering will of the Latvian nation to have its own State and its inalienable right of self-determination in order to guarantee the existence and development of the Latvian nation, its language and culture throughout the centuries, to ensure freedom and promote welfare of the people of Latvia and each individual. The people of Latvia won their State in the War of Liberation. They consolidated the system of government and adopted the Constitution in a freely elected Constitutional Assembly. The people of Latvia did not recognise the occupation regimes, resisted them and regained their freedom by restoring national independence on 4 May 1990 on the basis of continuity of the State. They honour their freedom fighters, commemorate victims of foreign powers, condemn the Communist and Nazi totalitarian regimes and their crimes. Latvia as democratic, socially responsible and national state is based on the rule of law and on respect for human dignity and freedom; it recognises and protects fundamental human rights and respects ethnic minorities. The people of Latvia protect their sovereignty, national independence, territory, territorial integrity and democratic system of government of the State of Latvia. Since ancient times, the identity of Latvia in the European cultural space has been shaped by Latvian and Liv traditions, Latvian folk wisdom, the Latvian language, universal human and Christian values. Loyalty to Latvia, the Latvian language as the only official language, freedom, equality, solidarity, justice, honesty, work ethic and family are the foundations of a cohesive society. Each individual takes care of oneself, one’s relatives and the common good of society by acting responsibly toward other people, future generations, the environment and nature. While acknowledging its equal status in the international community, Latvia protects its national interests and promotes sustainable and democratic development of a united Europe and the world. God, bless Latvia!"</w:t>
      </w:r>
    </w:p>
  </w:footnote>
  <w:footnote w:id="94">
    <w:p w:rsidR="003C150D" w:rsidRDefault="003C150D" w:rsidP="003C150D">
      <w:pPr>
        <w:pStyle w:val="aa"/>
        <w:bidi w:val="0"/>
        <w:jc w:val="both"/>
        <w:rPr>
          <w:lang w:val="en-US"/>
        </w:rPr>
      </w:pPr>
      <w:r>
        <w:rPr>
          <w:rStyle w:val="ac"/>
        </w:rPr>
        <w:footnoteRef/>
      </w:r>
      <w:r>
        <w:rPr>
          <w:rFonts w:hint="cs"/>
          <w:rtl/>
        </w:rPr>
        <w:t xml:space="preserve"> </w:t>
      </w:r>
      <w:r>
        <w:rPr>
          <w:lang w:val="en-US"/>
        </w:rPr>
        <w:t>Aldis Laviņš (President of the Constitutional Court of the Republic of Latvia), The Constitutional status of Human Dignity: Case-Law of the Constitutional Court of the Republic of Latvia, XIX Yerevan International Conference “The Constitutional Status of Human Dignity" (2014).</w:t>
      </w:r>
    </w:p>
  </w:footnote>
  <w:footnote w:id="95">
    <w:p w:rsidR="003C150D" w:rsidRDefault="003C150D" w:rsidP="003C150D">
      <w:pPr>
        <w:pStyle w:val="aa"/>
        <w:bidi w:val="0"/>
        <w:jc w:val="both"/>
        <w:rPr>
          <w:lang w:val="en-US"/>
        </w:rPr>
      </w:pPr>
      <w:r>
        <w:rPr>
          <w:rStyle w:val="ac"/>
        </w:rPr>
        <w:footnoteRef/>
      </w:r>
      <w:r>
        <w:rPr>
          <w:rFonts w:hint="cs"/>
          <w:rtl/>
        </w:rPr>
        <w:t xml:space="preserve"> </w:t>
      </w:r>
      <w:r>
        <w:rPr>
          <w:lang w:val="en-US"/>
        </w:rPr>
        <w:t>The Latvian Non-Citizens Congress, Latvia is Following the Undemocratic Footsteps of Hungary With its Proposed Preamble to the Constitution (Oct, 2013).</w:t>
      </w:r>
    </w:p>
  </w:footnote>
  <w:footnote w:id="96">
    <w:p w:rsidR="003C150D" w:rsidRDefault="003C150D" w:rsidP="003C150D">
      <w:pPr>
        <w:pStyle w:val="aa"/>
        <w:bidi w:val="0"/>
        <w:jc w:val="both"/>
        <w:rPr>
          <w:lang w:val="en-GB"/>
        </w:rPr>
      </w:pPr>
      <w:r>
        <w:rPr>
          <w:rStyle w:val="ac"/>
        </w:rPr>
        <w:footnoteRef/>
      </w:r>
      <w:r>
        <w:rPr>
          <w:rFonts w:hint="cs"/>
          <w:rtl/>
        </w:rPr>
        <w:t xml:space="preserve"> </w:t>
      </w:r>
      <w:r>
        <w:rPr>
          <w:lang w:val="en-US"/>
        </w:rPr>
        <w:t>The Constitution of the Republic of Estonia (As amended), Preamble: "</w:t>
      </w:r>
      <w:r>
        <w:t>With unwavering faith and a steadfast will to strengthen and develop the state which embodies the inextinguishable right of the people of Estonia to national self-determination and which was proclaimed on 24 February 1918, which is founded on liberty, justice and the rule of law, which is created to protect the peace and defend the people against aggression from the outside, and which forms a pledge to present and future generations for their social progress and welfare, which must guarantee the preservation of the Estonian people, the Estonian language and the Estonian culture through the ages, the people of Estonia, on the basis of § 1 of the Constitution which entered into force in 1938, and in the referendum held on 28 June 1992, have adopted the following Constitution</w:t>
      </w:r>
      <w:r>
        <w:rPr>
          <w:lang w:val="en-US"/>
        </w:rPr>
        <w:t>"</w:t>
      </w:r>
      <w:r>
        <w:rPr>
          <w:lang w:val="en-GB"/>
        </w:rPr>
        <w:t>.</w:t>
      </w:r>
    </w:p>
  </w:footnote>
  <w:footnote w:id="97">
    <w:p w:rsidR="003C150D" w:rsidRDefault="003C150D" w:rsidP="003C150D">
      <w:pPr>
        <w:pStyle w:val="aa"/>
        <w:bidi w:val="0"/>
        <w:jc w:val="both"/>
        <w:rPr>
          <w:rtl/>
          <w:lang w:val="en-GB"/>
        </w:rPr>
      </w:pPr>
      <w:r>
        <w:rPr>
          <w:rStyle w:val="ac"/>
        </w:rPr>
        <w:footnoteRef/>
      </w:r>
      <w:r>
        <w:rPr>
          <w:rFonts w:hint="cs"/>
          <w:rtl/>
        </w:rPr>
        <w:t xml:space="preserve"> </w:t>
      </w:r>
      <w:r>
        <w:rPr>
          <w:lang w:val="en-GB"/>
        </w:rPr>
        <w:t xml:space="preserve">Justin Orlando Frosini, </w:t>
      </w:r>
      <w:r>
        <w:rPr>
          <w:smallCaps/>
          <w:lang w:val="en-GB"/>
        </w:rPr>
        <w:t>Constitutional Preambles. At a Crossroads Between Politics and Law</w:t>
      </w:r>
      <w:r>
        <w:rPr>
          <w:lang w:val="en-GB"/>
        </w:rPr>
        <w:t xml:space="preserve"> (Maggioli S.p.A., 2012), page 102.</w:t>
      </w:r>
    </w:p>
  </w:footnote>
  <w:footnote w:id="98">
    <w:p w:rsidR="003C150D" w:rsidRDefault="003C150D" w:rsidP="003C150D">
      <w:pPr>
        <w:pStyle w:val="aa"/>
        <w:bidi w:val="0"/>
        <w:jc w:val="both"/>
        <w:rPr>
          <w:lang w:val="en-GB"/>
        </w:rPr>
      </w:pPr>
      <w:r>
        <w:rPr>
          <w:rStyle w:val="ac"/>
        </w:rPr>
        <w:footnoteRef/>
      </w:r>
      <w:r>
        <w:rPr>
          <w:lang w:val="en-GB"/>
        </w:rPr>
        <w:t xml:space="preserve">Ibid. </w:t>
      </w:r>
      <w:r>
        <w:rPr>
          <w:rFonts w:hint="cs"/>
          <w:rtl/>
          <w:lang w:val="en-GB"/>
        </w:rPr>
        <w:t xml:space="preserve"> </w:t>
      </w:r>
      <w:r>
        <w:rPr>
          <w:lang w:val="en-GB"/>
        </w:rPr>
        <w:t xml:space="preserve">Liav Orgad; The preamble in constitutional interpretation, International Journal of Constitutional Law, Volume 8, Issue 4, 1 October 2010, pp 724-725. EST-2001- 2-004 (Official Gazette) 2001 </w:t>
      </w:r>
      <w:r>
        <w:t>CODICES database</w:t>
      </w:r>
      <w:r>
        <w:rPr>
          <w:lang w:val="en-GB"/>
        </w:rPr>
        <w:t>.</w:t>
      </w:r>
    </w:p>
  </w:footnote>
  <w:footnote w:id="99">
    <w:p w:rsidR="003C150D" w:rsidRDefault="003C150D" w:rsidP="003C150D">
      <w:pPr>
        <w:pStyle w:val="aa"/>
        <w:bidi w:val="0"/>
        <w:jc w:val="both"/>
        <w:rPr>
          <w:lang w:val="en-GB"/>
        </w:rPr>
      </w:pPr>
      <w:r>
        <w:rPr>
          <w:rStyle w:val="ac"/>
        </w:rPr>
        <w:footnoteRef/>
      </w:r>
      <w:r>
        <w:rPr>
          <w:rFonts w:hint="cs"/>
          <w:rtl/>
        </w:rPr>
        <w:t xml:space="preserve"> </w:t>
      </w:r>
      <w:r>
        <w:rPr>
          <w:lang w:val="en-GB"/>
        </w:rPr>
        <w:t xml:space="preserve">Constitution of Ukraine Adopted at the Fifth Session of the Verkhovna Rada of Ukraine on 28 June 1996, Preamble: </w:t>
      </w:r>
      <w:r>
        <w:rPr>
          <w:lang w:val="en-US"/>
        </w:rPr>
        <w:t>"</w:t>
      </w:r>
      <w:r>
        <w:rPr>
          <w:lang w:val="en-GB"/>
        </w:rPr>
        <w:t>The Verkhovna Rada (the Parliament) of Ukraine on behalf of the Ukrainian people—Ukrainian citizens of all nationalities, expressing the sovereign will of the people, relying on the centuries-old history of Ukrainian state-building and upon the right to self-determination realised by the Ukrainian nation, all the Ukrainian people, aspiring to ensure human rights and freedoms, and life conditions worthy of human dignity, supporting the strengthening of civil harmony on the Ukrainian soil, striving to develop and strengthen a democratic, social, law-based state, realizing the responsibility in the eyes of God, before our own conscience, past, present and future generations, guided by the Act of Declaration of the Independence of Ukraine of 24 August 1991, approved by the national vote on 1 December 1991, adopts this Constitution as the Fundamental Law of Ukraine</w:t>
      </w:r>
      <w:r>
        <w:rPr>
          <w:lang w:val="en-US"/>
        </w:rPr>
        <w:t>"</w:t>
      </w:r>
      <w:r>
        <w:rPr>
          <w:lang w:val="en-GB"/>
        </w:rPr>
        <w:t>.</w:t>
      </w:r>
    </w:p>
  </w:footnote>
  <w:footnote w:id="100">
    <w:p w:rsidR="003C150D" w:rsidRDefault="003C150D" w:rsidP="003C150D">
      <w:pPr>
        <w:pStyle w:val="aa"/>
        <w:jc w:val="both"/>
      </w:pPr>
      <w:r>
        <w:rPr>
          <w:rStyle w:val="ac"/>
        </w:rPr>
        <w:footnoteRef/>
      </w:r>
      <w:r>
        <w:rPr>
          <w:rFonts w:hint="cs"/>
          <w:rtl/>
        </w:rPr>
        <w:t xml:space="preserve"> "המועצה העליונה", או בתרגום מילולי "הראדה העליונה", היא הפרלמנט האוקראיני שהוא הגוף המחוקק העליון באוקראינה.</w:t>
      </w:r>
    </w:p>
  </w:footnote>
  <w:footnote w:id="101">
    <w:p w:rsidR="003C150D" w:rsidRDefault="003C150D" w:rsidP="003C150D">
      <w:pPr>
        <w:pStyle w:val="aa"/>
        <w:bidi w:val="0"/>
        <w:jc w:val="both"/>
        <w:rPr>
          <w:rtl/>
          <w:lang w:val="en-GB"/>
        </w:rPr>
      </w:pPr>
      <w:r>
        <w:rPr>
          <w:rStyle w:val="ac"/>
        </w:rPr>
        <w:footnoteRef/>
      </w:r>
      <w:r>
        <w:rPr>
          <w:rFonts w:hint="cs"/>
          <w:rtl/>
        </w:rPr>
        <w:t xml:space="preserve"> </w:t>
      </w:r>
      <w:r>
        <w:t>UKR-2000-1-002 (Official Gazette), CODICES database.</w:t>
      </w:r>
      <w:r>
        <w:rPr>
          <w:lang w:val="en-GB"/>
        </w:rPr>
        <w:t xml:space="preserve"> Liav Orgad; The preamble in constitutional interpretation, International Journal of Constitutional Law, Volume 8, Issue 4, 1 October 2010, page 725. See also: Juliane Besters-Dilger, </w:t>
      </w:r>
      <w:r>
        <w:rPr>
          <w:smallCaps/>
          <w:lang w:val="en-GB"/>
        </w:rPr>
        <w:t>Language Policy and Language Situation in Ukraine: Analysis and Recommendations</w:t>
      </w:r>
      <w:r>
        <w:rPr>
          <w:lang w:val="en-GB"/>
        </w:rPr>
        <w:t xml:space="preserve"> (Peter Lang GmbH, 2009), pp 78-83.</w:t>
      </w:r>
    </w:p>
  </w:footnote>
  <w:footnote w:id="102">
    <w:p w:rsidR="003C150D" w:rsidRDefault="003C150D" w:rsidP="003C150D">
      <w:pPr>
        <w:pStyle w:val="aa"/>
        <w:bidi w:val="0"/>
        <w:jc w:val="both"/>
        <w:rPr>
          <w:lang w:val="en-US"/>
        </w:rPr>
      </w:pPr>
      <w:r>
        <w:rPr>
          <w:rStyle w:val="ac"/>
        </w:rPr>
        <w:footnoteRef/>
      </w:r>
      <w:r>
        <w:rPr>
          <w:rFonts w:hint="cs"/>
          <w:rtl/>
        </w:rPr>
        <w:t xml:space="preserve"> </w:t>
      </w:r>
      <w:r>
        <w:rPr>
          <w:lang w:val="en-US"/>
        </w:rPr>
        <w:t xml:space="preserve">Constitution of the Republic of South Africa, 1996, Preamble: "We, the people of South Africa, Recognise the injustices of our past; Honour those who suffered for justice and freedom in our land; Respect those who have worked to build and develop our country; and Believe that South Africa belongs to all who live in it, united in our diversity. We therefore, through our freely elected representatives, adopt this Constitution as the supreme law of the Republic so as to </w:t>
      </w:r>
      <w:r>
        <w:rPr>
          <w:lang w:val="en-US"/>
        </w:rPr>
        <w:softHyphen/>
        <w:t xml:space="preserve"> Heal the divisions of the past and establish a society based on democratic values, social justice and fundamental human rights; Lay the foundations for a democratic and open society in which government is based on the will of the people and every citizen is equally protected by law; Improve the quality of life of all citizens and free the potential of each person; and Build a united and democratic South Africa able to take its rightful place as a sovereign state in the family of nations. May God protect our people".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D7116"/>
    <w:multiLevelType w:val="hybridMultilevel"/>
    <w:tmpl w:val="64883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62179C"/>
    <w:multiLevelType w:val="hybridMultilevel"/>
    <w:tmpl w:val="74AE9146"/>
    <w:lvl w:ilvl="0" w:tplc="882A1C8E">
      <w:start w:val="1"/>
      <w:numFmt w:val="decimal"/>
      <w:pStyle w:val="a"/>
      <w:lvlText w:val="%1."/>
      <w:lvlJc w:val="left"/>
      <w:pPr>
        <w:tabs>
          <w:tab w:val="num" w:pos="720"/>
        </w:tabs>
        <w:ind w:left="720" w:right="720" w:hanging="360"/>
      </w:pPr>
    </w:lvl>
    <w:lvl w:ilvl="1" w:tplc="09208C30">
      <w:start w:val="1"/>
      <w:numFmt w:val="decimal"/>
      <w:lvlText w:val="(%2)"/>
      <w:lvlJc w:val="left"/>
      <w:pPr>
        <w:tabs>
          <w:tab w:val="num" w:pos="720"/>
        </w:tabs>
        <w:ind w:left="720" w:right="72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17037D4B"/>
    <w:multiLevelType w:val="multilevel"/>
    <w:tmpl w:val="EEDC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8C029D"/>
    <w:multiLevelType w:val="hybridMultilevel"/>
    <w:tmpl w:val="B0BC91EE"/>
    <w:lvl w:ilvl="0" w:tplc="D99CAD9A">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6A250A"/>
    <w:multiLevelType w:val="hybridMultilevel"/>
    <w:tmpl w:val="5CD4B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5764A6"/>
    <w:multiLevelType w:val="hybridMultilevel"/>
    <w:tmpl w:val="EA6E4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597D40"/>
    <w:multiLevelType w:val="multilevel"/>
    <w:tmpl w:val="FDAA0970"/>
    <w:lvl w:ilvl="0">
      <w:start w:val="1"/>
      <w:numFmt w:val="decimal"/>
      <w:pStyle w:val="1"/>
      <w:suff w:val="space"/>
      <w:lvlText w:val="%1."/>
      <w:lvlJc w:val="left"/>
      <w:pPr>
        <w:ind w:left="360" w:right="14" w:hanging="360"/>
      </w:pPr>
      <w:rPr>
        <w:rFonts w:hint="default"/>
      </w:rPr>
    </w:lvl>
    <w:lvl w:ilvl="1">
      <w:start w:val="1"/>
      <w:numFmt w:val="decimal"/>
      <w:pStyle w:val="11"/>
      <w:suff w:val="space"/>
      <w:lvlText w:val="%1.%2."/>
      <w:lvlJc w:val="left"/>
      <w:pPr>
        <w:ind w:left="357" w:right="11" w:hanging="357"/>
      </w:pPr>
      <w:rPr>
        <w:rFonts w:hint="default"/>
        <w:b/>
        <w:bCs/>
        <w:sz w:val="26"/>
        <w:szCs w:val="26"/>
        <w:lang w:bidi="he-IL"/>
      </w:rPr>
    </w:lvl>
    <w:lvl w:ilvl="2">
      <w:start w:val="1"/>
      <w:numFmt w:val="decimal"/>
      <w:pStyle w:val="111"/>
      <w:suff w:val="space"/>
      <w:lvlText w:val="%1.%2.%3."/>
      <w:lvlJc w:val="left"/>
      <w:pPr>
        <w:ind w:left="357" w:right="11" w:hanging="357"/>
      </w:pPr>
      <w:rPr>
        <w:rFonts w:hint="default"/>
        <w:b/>
        <w:bCs/>
        <w:sz w:val="24"/>
        <w:szCs w:val="24"/>
        <w:lang w:val="en-US"/>
      </w:rPr>
    </w:lvl>
    <w:lvl w:ilvl="3">
      <w:start w:val="1"/>
      <w:numFmt w:val="decimal"/>
      <w:lvlText w:val="%1.%2.%3.%4."/>
      <w:lvlJc w:val="left"/>
      <w:pPr>
        <w:tabs>
          <w:tab w:val="num" w:pos="2534"/>
        </w:tabs>
        <w:ind w:left="1382" w:right="1382" w:hanging="648"/>
      </w:pPr>
      <w:rPr>
        <w:rFonts w:hint="default"/>
      </w:rPr>
    </w:lvl>
    <w:lvl w:ilvl="4">
      <w:start w:val="1"/>
      <w:numFmt w:val="decimal"/>
      <w:lvlText w:val="%1.%2.%3.%4.%5."/>
      <w:lvlJc w:val="left"/>
      <w:pPr>
        <w:tabs>
          <w:tab w:val="num" w:pos="2174"/>
        </w:tabs>
        <w:ind w:left="1886" w:right="1886" w:hanging="792"/>
      </w:pPr>
      <w:rPr>
        <w:rFonts w:hint="default"/>
      </w:rPr>
    </w:lvl>
    <w:lvl w:ilvl="5">
      <w:start w:val="1"/>
      <w:numFmt w:val="decimal"/>
      <w:lvlText w:val="%1.%2.%3.%4.%5.%6."/>
      <w:lvlJc w:val="left"/>
      <w:pPr>
        <w:tabs>
          <w:tab w:val="num" w:pos="2534"/>
        </w:tabs>
        <w:ind w:left="2390" w:right="2390" w:hanging="936"/>
      </w:pPr>
      <w:rPr>
        <w:rFonts w:hint="default"/>
      </w:rPr>
    </w:lvl>
    <w:lvl w:ilvl="6">
      <w:start w:val="1"/>
      <w:numFmt w:val="decimal"/>
      <w:lvlText w:val="%1.%2.%3.%4.%5.%6.%7."/>
      <w:lvlJc w:val="left"/>
      <w:pPr>
        <w:tabs>
          <w:tab w:val="num" w:pos="3254"/>
        </w:tabs>
        <w:ind w:left="2894" w:right="2894" w:hanging="1080"/>
      </w:pPr>
      <w:rPr>
        <w:rFonts w:hint="default"/>
      </w:rPr>
    </w:lvl>
    <w:lvl w:ilvl="7">
      <w:start w:val="1"/>
      <w:numFmt w:val="decimal"/>
      <w:lvlText w:val="%1.%2.%3.%4.%5.%6.%7.%8."/>
      <w:lvlJc w:val="left"/>
      <w:pPr>
        <w:tabs>
          <w:tab w:val="num" w:pos="3614"/>
        </w:tabs>
        <w:ind w:left="3398" w:right="3398" w:hanging="1224"/>
      </w:pPr>
      <w:rPr>
        <w:rFonts w:hint="default"/>
      </w:rPr>
    </w:lvl>
    <w:lvl w:ilvl="8">
      <w:start w:val="1"/>
      <w:numFmt w:val="decimal"/>
      <w:lvlText w:val="%1.%2.%3.%4.%5.%6.%7.%8.%9."/>
      <w:lvlJc w:val="left"/>
      <w:pPr>
        <w:tabs>
          <w:tab w:val="num" w:pos="4334"/>
        </w:tabs>
        <w:ind w:left="3974" w:right="3974" w:hanging="1440"/>
      </w:pPr>
      <w:rPr>
        <w:rFonts w:hint="default"/>
      </w:rPr>
    </w:lvl>
  </w:abstractNum>
  <w:abstractNum w:abstractNumId="7" w15:restartNumberingAfterBreak="0">
    <w:nsid w:val="37561F8D"/>
    <w:multiLevelType w:val="hybridMultilevel"/>
    <w:tmpl w:val="17F6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E30538"/>
    <w:multiLevelType w:val="hybridMultilevel"/>
    <w:tmpl w:val="EAFC8E7E"/>
    <w:lvl w:ilvl="0" w:tplc="8D7C4FA0">
      <w:start w:val="1"/>
      <w:numFmt w:val="bullet"/>
      <w:lvlText w:val=""/>
      <w:lvlJc w:val="left"/>
      <w:pPr>
        <w:tabs>
          <w:tab w:val="num" w:pos="720"/>
        </w:tabs>
        <w:ind w:left="720" w:hanging="360"/>
      </w:pPr>
      <w:rPr>
        <w:rFonts w:ascii="Wingdings" w:hAnsi="Wingdings" w:hint="default"/>
        <w:color w:val="auto"/>
        <w:sz w:val="24"/>
        <w:lang w:bidi="he-IL"/>
      </w:rPr>
    </w:lvl>
    <w:lvl w:ilvl="1" w:tplc="14A66D10">
      <w:start w:val="1"/>
      <w:numFmt w:val="bullet"/>
      <w:lvlText w:val="o"/>
      <w:lvlJc w:val="left"/>
      <w:pPr>
        <w:tabs>
          <w:tab w:val="num" w:pos="1440"/>
        </w:tabs>
        <w:ind w:left="1440" w:hanging="360"/>
      </w:pPr>
      <w:rPr>
        <w:rFonts w:ascii="Courier New" w:hAnsi="Courier New" w:cs="Courier New" w:hint="default"/>
        <w:sz w:val="20"/>
        <w:szCs w:val="22"/>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50855F8"/>
    <w:multiLevelType w:val="hybridMultilevel"/>
    <w:tmpl w:val="22D22DCE"/>
    <w:lvl w:ilvl="0" w:tplc="8878DA66">
      <w:numFmt w:val="bullet"/>
      <w:lvlText w:val="-"/>
      <w:lvlJc w:val="left"/>
      <w:pPr>
        <w:ind w:left="720" w:hanging="360"/>
      </w:pPr>
      <w:rPr>
        <w:rFonts w:ascii="David"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BD50C8"/>
    <w:multiLevelType w:val="hybridMultilevel"/>
    <w:tmpl w:val="B2527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B376550"/>
    <w:multiLevelType w:val="hybridMultilevel"/>
    <w:tmpl w:val="78E68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F71006"/>
    <w:multiLevelType w:val="hybridMultilevel"/>
    <w:tmpl w:val="207A4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A616DE"/>
    <w:multiLevelType w:val="multilevel"/>
    <w:tmpl w:val="1038A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F8272A"/>
    <w:multiLevelType w:val="hybridMultilevel"/>
    <w:tmpl w:val="551A2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6"/>
  </w:num>
  <w:num w:numId="3">
    <w:abstractNumId w:val="6"/>
  </w:num>
  <w:num w:numId="4">
    <w:abstractNumId w:val="1"/>
  </w:num>
  <w:num w:numId="5">
    <w:abstractNumId w:val="8"/>
  </w:num>
  <w:num w:numId="6">
    <w:abstractNumId w:val="12"/>
  </w:num>
  <w:num w:numId="7">
    <w:abstractNumId w:val="4"/>
  </w:num>
  <w:num w:numId="8">
    <w:abstractNumId w:val="2"/>
  </w:num>
  <w:num w:numId="9">
    <w:abstractNumId w:val="10"/>
  </w:num>
  <w:num w:numId="10">
    <w:abstractNumId w:val="7"/>
  </w:num>
  <w:num w:numId="11">
    <w:abstractNumId w:val="9"/>
  </w:num>
  <w:num w:numId="12">
    <w:abstractNumId w:val="3"/>
  </w:num>
  <w:num w:numId="13">
    <w:abstractNumId w:val="0"/>
  </w:num>
  <w:num w:numId="14">
    <w:abstractNumId w:val="14"/>
  </w:num>
  <w:num w:numId="15">
    <w:abstractNumId w:val="11"/>
  </w:num>
  <w:num w:numId="16">
    <w:abstractNumId w:val="5"/>
  </w:num>
  <w:num w:numId="17">
    <w:abstractNumId w:val="6"/>
  </w:num>
  <w:num w:numId="18">
    <w:abstractNumId w:val="6"/>
  </w:num>
  <w:num w:numId="19">
    <w:abstractNumId w:val="6"/>
  </w:num>
  <w:num w:numId="20">
    <w:abstractNumId w:val="6"/>
  </w:num>
  <w:num w:numId="21">
    <w:abstractNumId w:val="13"/>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3"/>
  </w:num>
  <w:num w:numId="25">
    <w:abstractNumId w:val="0"/>
  </w:num>
  <w:num w:numId="26">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fill="f" fillcolor="white" stroke="f">
      <v:fill color="white" on="f"/>
      <v:stroke on="f"/>
      <v:textbox inset=",,,1mm"/>
      <o:colormru v:ext="edit" colors="#eaeaea,#ddd,silver"/>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E1D"/>
    <w:rsid w:val="00000003"/>
    <w:rsid w:val="0000010E"/>
    <w:rsid w:val="00000927"/>
    <w:rsid w:val="000009E4"/>
    <w:rsid w:val="00000A09"/>
    <w:rsid w:val="00000B18"/>
    <w:rsid w:val="00000D09"/>
    <w:rsid w:val="00000D77"/>
    <w:rsid w:val="00000D8A"/>
    <w:rsid w:val="00000E7C"/>
    <w:rsid w:val="00000EB4"/>
    <w:rsid w:val="00000F8F"/>
    <w:rsid w:val="000013A7"/>
    <w:rsid w:val="0000161A"/>
    <w:rsid w:val="0000165A"/>
    <w:rsid w:val="0000179E"/>
    <w:rsid w:val="00001BC1"/>
    <w:rsid w:val="00002005"/>
    <w:rsid w:val="000022B9"/>
    <w:rsid w:val="00002502"/>
    <w:rsid w:val="00002550"/>
    <w:rsid w:val="000027ED"/>
    <w:rsid w:val="000028CA"/>
    <w:rsid w:val="00002B96"/>
    <w:rsid w:val="00002D00"/>
    <w:rsid w:val="00002D6E"/>
    <w:rsid w:val="00002EA1"/>
    <w:rsid w:val="000031C9"/>
    <w:rsid w:val="00003619"/>
    <w:rsid w:val="000037C3"/>
    <w:rsid w:val="00003AB4"/>
    <w:rsid w:val="00004048"/>
    <w:rsid w:val="00004489"/>
    <w:rsid w:val="00004700"/>
    <w:rsid w:val="00004718"/>
    <w:rsid w:val="00004921"/>
    <w:rsid w:val="0000492D"/>
    <w:rsid w:val="00004CB5"/>
    <w:rsid w:val="00004DC0"/>
    <w:rsid w:val="00004F2D"/>
    <w:rsid w:val="00005127"/>
    <w:rsid w:val="000053F0"/>
    <w:rsid w:val="000055C2"/>
    <w:rsid w:val="000055C8"/>
    <w:rsid w:val="000056CA"/>
    <w:rsid w:val="000056D4"/>
    <w:rsid w:val="00005A3E"/>
    <w:rsid w:val="00005BAC"/>
    <w:rsid w:val="00005E65"/>
    <w:rsid w:val="00005F97"/>
    <w:rsid w:val="000060E6"/>
    <w:rsid w:val="00006321"/>
    <w:rsid w:val="00006632"/>
    <w:rsid w:val="000067A9"/>
    <w:rsid w:val="0000696F"/>
    <w:rsid w:val="0000697F"/>
    <w:rsid w:val="00006B8B"/>
    <w:rsid w:val="00006BF4"/>
    <w:rsid w:val="00006D3B"/>
    <w:rsid w:val="00006E45"/>
    <w:rsid w:val="00006E8C"/>
    <w:rsid w:val="0000745E"/>
    <w:rsid w:val="000075F8"/>
    <w:rsid w:val="000075FA"/>
    <w:rsid w:val="0000788C"/>
    <w:rsid w:val="000078D0"/>
    <w:rsid w:val="00007B83"/>
    <w:rsid w:val="00007C1A"/>
    <w:rsid w:val="00007CC3"/>
    <w:rsid w:val="00007D0E"/>
    <w:rsid w:val="00007DEE"/>
    <w:rsid w:val="00007E7D"/>
    <w:rsid w:val="00007EC9"/>
    <w:rsid w:val="00010106"/>
    <w:rsid w:val="0001014A"/>
    <w:rsid w:val="000103EE"/>
    <w:rsid w:val="000109D9"/>
    <w:rsid w:val="00010A08"/>
    <w:rsid w:val="00010A0F"/>
    <w:rsid w:val="00010E2B"/>
    <w:rsid w:val="00010EFA"/>
    <w:rsid w:val="00010FCF"/>
    <w:rsid w:val="00011043"/>
    <w:rsid w:val="0001156B"/>
    <w:rsid w:val="00011590"/>
    <w:rsid w:val="000116BE"/>
    <w:rsid w:val="000117A1"/>
    <w:rsid w:val="000119CF"/>
    <w:rsid w:val="00011BE1"/>
    <w:rsid w:val="00011C51"/>
    <w:rsid w:val="00011D6B"/>
    <w:rsid w:val="00011E9A"/>
    <w:rsid w:val="00012002"/>
    <w:rsid w:val="000120C1"/>
    <w:rsid w:val="00012131"/>
    <w:rsid w:val="00012892"/>
    <w:rsid w:val="00012B32"/>
    <w:rsid w:val="00012D6C"/>
    <w:rsid w:val="00012F2D"/>
    <w:rsid w:val="00012F33"/>
    <w:rsid w:val="00013095"/>
    <w:rsid w:val="000130BF"/>
    <w:rsid w:val="00013113"/>
    <w:rsid w:val="000133D4"/>
    <w:rsid w:val="00013621"/>
    <w:rsid w:val="000137A5"/>
    <w:rsid w:val="000137F4"/>
    <w:rsid w:val="00013944"/>
    <w:rsid w:val="00013A68"/>
    <w:rsid w:val="00013A75"/>
    <w:rsid w:val="00013B76"/>
    <w:rsid w:val="00013BA3"/>
    <w:rsid w:val="00013F38"/>
    <w:rsid w:val="00013F5C"/>
    <w:rsid w:val="0001443E"/>
    <w:rsid w:val="00014448"/>
    <w:rsid w:val="000148E8"/>
    <w:rsid w:val="000148ED"/>
    <w:rsid w:val="000149A1"/>
    <w:rsid w:val="00014EA2"/>
    <w:rsid w:val="00014ED2"/>
    <w:rsid w:val="00014F0E"/>
    <w:rsid w:val="00014F1F"/>
    <w:rsid w:val="00014F34"/>
    <w:rsid w:val="0001501D"/>
    <w:rsid w:val="0001511E"/>
    <w:rsid w:val="00015156"/>
    <w:rsid w:val="00015170"/>
    <w:rsid w:val="00015621"/>
    <w:rsid w:val="0001569E"/>
    <w:rsid w:val="000156C6"/>
    <w:rsid w:val="00015713"/>
    <w:rsid w:val="00015A0F"/>
    <w:rsid w:val="00015A73"/>
    <w:rsid w:val="00015B6F"/>
    <w:rsid w:val="00015BF5"/>
    <w:rsid w:val="00015DDD"/>
    <w:rsid w:val="00015EBA"/>
    <w:rsid w:val="000163FB"/>
    <w:rsid w:val="0001653D"/>
    <w:rsid w:val="000166EF"/>
    <w:rsid w:val="000167E4"/>
    <w:rsid w:val="00016A35"/>
    <w:rsid w:val="00016D57"/>
    <w:rsid w:val="00016E0D"/>
    <w:rsid w:val="00016E69"/>
    <w:rsid w:val="00016F70"/>
    <w:rsid w:val="0001713E"/>
    <w:rsid w:val="0001724A"/>
    <w:rsid w:val="00017523"/>
    <w:rsid w:val="0001758E"/>
    <w:rsid w:val="000176EE"/>
    <w:rsid w:val="000178D7"/>
    <w:rsid w:val="00017B4D"/>
    <w:rsid w:val="00017BE4"/>
    <w:rsid w:val="00017CCB"/>
    <w:rsid w:val="00017FC7"/>
    <w:rsid w:val="0002024A"/>
    <w:rsid w:val="00020456"/>
    <w:rsid w:val="000204D4"/>
    <w:rsid w:val="000205F1"/>
    <w:rsid w:val="000206D1"/>
    <w:rsid w:val="0002081C"/>
    <w:rsid w:val="0002090A"/>
    <w:rsid w:val="00020947"/>
    <w:rsid w:val="00020C50"/>
    <w:rsid w:val="00020EF4"/>
    <w:rsid w:val="00020F54"/>
    <w:rsid w:val="0002106D"/>
    <w:rsid w:val="00021182"/>
    <w:rsid w:val="000212D9"/>
    <w:rsid w:val="000213C7"/>
    <w:rsid w:val="00021541"/>
    <w:rsid w:val="00021821"/>
    <w:rsid w:val="00021B4B"/>
    <w:rsid w:val="00021C68"/>
    <w:rsid w:val="00021CF3"/>
    <w:rsid w:val="000223CF"/>
    <w:rsid w:val="00022BC1"/>
    <w:rsid w:val="00022C3D"/>
    <w:rsid w:val="00022C82"/>
    <w:rsid w:val="00023126"/>
    <w:rsid w:val="00023350"/>
    <w:rsid w:val="000234CC"/>
    <w:rsid w:val="000236BA"/>
    <w:rsid w:val="000236DF"/>
    <w:rsid w:val="0002383E"/>
    <w:rsid w:val="00023A3A"/>
    <w:rsid w:val="00023A88"/>
    <w:rsid w:val="00023F59"/>
    <w:rsid w:val="00024399"/>
    <w:rsid w:val="000243EC"/>
    <w:rsid w:val="0002443F"/>
    <w:rsid w:val="000244CA"/>
    <w:rsid w:val="0002462B"/>
    <w:rsid w:val="0002476F"/>
    <w:rsid w:val="00024A50"/>
    <w:rsid w:val="00024EAF"/>
    <w:rsid w:val="00024F19"/>
    <w:rsid w:val="000250B9"/>
    <w:rsid w:val="000252D6"/>
    <w:rsid w:val="000253D8"/>
    <w:rsid w:val="00025A14"/>
    <w:rsid w:val="00025B09"/>
    <w:rsid w:val="000260AE"/>
    <w:rsid w:val="0002628C"/>
    <w:rsid w:val="00026613"/>
    <w:rsid w:val="0002675C"/>
    <w:rsid w:val="00026892"/>
    <w:rsid w:val="00026AC8"/>
    <w:rsid w:val="00026B54"/>
    <w:rsid w:val="00026BCD"/>
    <w:rsid w:val="00026C11"/>
    <w:rsid w:val="00026C98"/>
    <w:rsid w:val="00026C99"/>
    <w:rsid w:val="00026D38"/>
    <w:rsid w:val="00027036"/>
    <w:rsid w:val="00027163"/>
    <w:rsid w:val="000275C5"/>
    <w:rsid w:val="00027705"/>
    <w:rsid w:val="000277EF"/>
    <w:rsid w:val="00027987"/>
    <w:rsid w:val="00027B5D"/>
    <w:rsid w:val="00027BC8"/>
    <w:rsid w:val="00027BF6"/>
    <w:rsid w:val="00027D2F"/>
    <w:rsid w:val="00027E34"/>
    <w:rsid w:val="00027EE2"/>
    <w:rsid w:val="000300AE"/>
    <w:rsid w:val="00030211"/>
    <w:rsid w:val="0003029A"/>
    <w:rsid w:val="000302E6"/>
    <w:rsid w:val="0003032F"/>
    <w:rsid w:val="00030394"/>
    <w:rsid w:val="00030931"/>
    <w:rsid w:val="00030A2E"/>
    <w:rsid w:val="00030C8E"/>
    <w:rsid w:val="00030F75"/>
    <w:rsid w:val="00030FEE"/>
    <w:rsid w:val="0003104D"/>
    <w:rsid w:val="000311B8"/>
    <w:rsid w:val="000312E4"/>
    <w:rsid w:val="000318F8"/>
    <w:rsid w:val="00031B87"/>
    <w:rsid w:val="00031CF1"/>
    <w:rsid w:val="000320B0"/>
    <w:rsid w:val="000321B5"/>
    <w:rsid w:val="000321FA"/>
    <w:rsid w:val="00032243"/>
    <w:rsid w:val="00032483"/>
    <w:rsid w:val="000324DB"/>
    <w:rsid w:val="000325B7"/>
    <w:rsid w:val="000325FA"/>
    <w:rsid w:val="00032864"/>
    <w:rsid w:val="000328C7"/>
    <w:rsid w:val="0003290E"/>
    <w:rsid w:val="00032CAF"/>
    <w:rsid w:val="00032D88"/>
    <w:rsid w:val="00032E52"/>
    <w:rsid w:val="00032F22"/>
    <w:rsid w:val="00032F49"/>
    <w:rsid w:val="000334A1"/>
    <w:rsid w:val="00033632"/>
    <w:rsid w:val="00033778"/>
    <w:rsid w:val="0003394C"/>
    <w:rsid w:val="000339F5"/>
    <w:rsid w:val="00033BF5"/>
    <w:rsid w:val="00033FB2"/>
    <w:rsid w:val="00034413"/>
    <w:rsid w:val="00034462"/>
    <w:rsid w:val="000344CF"/>
    <w:rsid w:val="00034572"/>
    <w:rsid w:val="000347CD"/>
    <w:rsid w:val="00034971"/>
    <w:rsid w:val="00034ECB"/>
    <w:rsid w:val="000351DC"/>
    <w:rsid w:val="0003521E"/>
    <w:rsid w:val="00035260"/>
    <w:rsid w:val="00035276"/>
    <w:rsid w:val="000356AE"/>
    <w:rsid w:val="000359CE"/>
    <w:rsid w:val="00035A40"/>
    <w:rsid w:val="00035A5A"/>
    <w:rsid w:val="00035DBA"/>
    <w:rsid w:val="00035FAD"/>
    <w:rsid w:val="00036076"/>
    <w:rsid w:val="00036080"/>
    <w:rsid w:val="000364CB"/>
    <w:rsid w:val="00036529"/>
    <w:rsid w:val="000366DC"/>
    <w:rsid w:val="00036969"/>
    <w:rsid w:val="0003722F"/>
    <w:rsid w:val="0003732C"/>
    <w:rsid w:val="00037668"/>
    <w:rsid w:val="00037B17"/>
    <w:rsid w:val="00037C50"/>
    <w:rsid w:val="00037E03"/>
    <w:rsid w:val="00037FFA"/>
    <w:rsid w:val="00040121"/>
    <w:rsid w:val="000401DE"/>
    <w:rsid w:val="000403B3"/>
    <w:rsid w:val="00040C31"/>
    <w:rsid w:val="00040D5B"/>
    <w:rsid w:val="00040D65"/>
    <w:rsid w:val="00040F36"/>
    <w:rsid w:val="000412BF"/>
    <w:rsid w:val="00041303"/>
    <w:rsid w:val="00041440"/>
    <w:rsid w:val="00041BA5"/>
    <w:rsid w:val="00041D3D"/>
    <w:rsid w:val="00041D99"/>
    <w:rsid w:val="00041E79"/>
    <w:rsid w:val="00041FF7"/>
    <w:rsid w:val="000427DA"/>
    <w:rsid w:val="00042989"/>
    <w:rsid w:val="00042BA6"/>
    <w:rsid w:val="00042BF0"/>
    <w:rsid w:val="00042D0E"/>
    <w:rsid w:val="00042ECA"/>
    <w:rsid w:val="00042F61"/>
    <w:rsid w:val="00042F78"/>
    <w:rsid w:val="000431E1"/>
    <w:rsid w:val="00043232"/>
    <w:rsid w:val="000437B2"/>
    <w:rsid w:val="00043824"/>
    <w:rsid w:val="00043C8A"/>
    <w:rsid w:val="00044561"/>
    <w:rsid w:val="000445B9"/>
    <w:rsid w:val="0004462C"/>
    <w:rsid w:val="000447A9"/>
    <w:rsid w:val="000449B2"/>
    <w:rsid w:val="00044E2F"/>
    <w:rsid w:val="0004502F"/>
    <w:rsid w:val="00045191"/>
    <w:rsid w:val="000455F3"/>
    <w:rsid w:val="000457BF"/>
    <w:rsid w:val="00045901"/>
    <w:rsid w:val="00045D3B"/>
    <w:rsid w:val="00045F11"/>
    <w:rsid w:val="00045F1F"/>
    <w:rsid w:val="0004650C"/>
    <w:rsid w:val="000465F8"/>
    <w:rsid w:val="00046687"/>
    <w:rsid w:val="0004685A"/>
    <w:rsid w:val="00046A09"/>
    <w:rsid w:val="0004702D"/>
    <w:rsid w:val="00047145"/>
    <w:rsid w:val="00047245"/>
    <w:rsid w:val="00047261"/>
    <w:rsid w:val="00047342"/>
    <w:rsid w:val="000474B3"/>
    <w:rsid w:val="00047575"/>
    <w:rsid w:val="00047838"/>
    <w:rsid w:val="00047B09"/>
    <w:rsid w:val="00047B89"/>
    <w:rsid w:val="00047C47"/>
    <w:rsid w:val="00050103"/>
    <w:rsid w:val="00050237"/>
    <w:rsid w:val="0005043A"/>
    <w:rsid w:val="000505E8"/>
    <w:rsid w:val="0005077C"/>
    <w:rsid w:val="00050992"/>
    <w:rsid w:val="000509ED"/>
    <w:rsid w:val="00050C63"/>
    <w:rsid w:val="00050F8E"/>
    <w:rsid w:val="00051042"/>
    <w:rsid w:val="000510BC"/>
    <w:rsid w:val="0005144F"/>
    <w:rsid w:val="000516A8"/>
    <w:rsid w:val="000516B0"/>
    <w:rsid w:val="00051751"/>
    <w:rsid w:val="000521E4"/>
    <w:rsid w:val="000521FA"/>
    <w:rsid w:val="00052248"/>
    <w:rsid w:val="0005228C"/>
    <w:rsid w:val="00052605"/>
    <w:rsid w:val="0005281E"/>
    <w:rsid w:val="000528B6"/>
    <w:rsid w:val="000528D3"/>
    <w:rsid w:val="00052A7B"/>
    <w:rsid w:val="00052D9D"/>
    <w:rsid w:val="00052F52"/>
    <w:rsid w:val="000531DE"/>
    <w:rsid w:val="00053270"/>
    <w:rsid w:val="000534AB"/>
    <w:rsid w:val="00053819"/>
    <w:rsid w:val="00053A6C"/>
    <w:rsid w:val="00053C1A"/>
    <w:rsid w:val="00053C79"/>
    <w:rsid w:val="00054195"/>
    <w:rsid w:val="000542F8"/>
    <w:rsid w:val="00054470"/>
    <w:rsid w:val="000545D9"/>
    <w:rsid w:val="00054A57"/>
    <w:rsid w:val="00054B12"/>
    <w:rsid w:val="00054B67"/>
    <w:rsid w:val="00054C23"/>
    <w:rsid w:val="00055337"/>
    <w:rsid w:val="0005535B"/>
    <w:rsid w:val="00055568"/>
    <w:rsid w:val="0005576F"/>
    <w:rsid w:val="00055BBF"/>
    <w:rsid w:val="00055BF9"/>
    <w:rsid w:val="00055FE7"/>
    <w:rsid w:val="0005614B"/>
    <w:rsid w:val="00056346"/>
    <w:rsid w:val="00056503"/>
    <w:rsid w:val="00056596"/>
    <w:rsid w:val="0005685A"/>
    <w:rsid w:val="00056A84"/>
    <w:rsid w:val="00056AD5"/>
    <w:rsid w:val="00056B07"/>
    <w:rsid w:val="00056E16"/>
    <w:rsid w:val="00056E29"/>
    <w:rsid w:val="00057008"/>
    <w:rsid w:val="000574CD"/>
    <w:rsid w:val="000575D6"/>
    <w:rsid w:val="000575E9"/>
    <w:rsid w:val="00057681"/>
    <w:rsid w:val="00057C6E"/>
    <w:rsid w:val="00057E47"/>
    <w:rsid w:val="00057EAB"/>
    <w:rsid w:val="00060295"/>
    <w:rsid w:val="000602BB"/>
    <w:rsid w:val="000603D9"/>
    <w:rsid w:val="00060A17"/>
    <w:rsid w:val="00060E42"/>
    <w:rsid w:val="00061326"/>
    <w:rsid w:val="0006134A"/>
    <w:rsid w:val="00061463"/>
    <w:rsid w:val="000615C9"/>
    <w:rsid w:val="000617BA"/>
    <w:rsid w:val="00061893"/>
    <w:rsid w:val="00061AA9"/>
    <w:rsid w:val="00061C5E"/>
    <w:rsid w:val="00062184"/>
    <w:rsid w:val="000625B5"/>
    <w:rsid w:val="0006266F"/>
    <w:rsid w:val="000626DB"/>
    <w:rsid w:val="000627B9"/>
    <w:rsid w:val="000628E6"/>
    <w:rsid w:val="00062999"/>
    <w:rsid w:val="00062A4F"/>
    <w:rsid w:val="00062B0B"/>
    <w:rsid w:val="00062EA0"/>
    <w:rsid w:val="00062EC0"/>
    <w:rsid w:val="000631B4"/>
    <w:rsid w:val="00063304"/>
    <w:rsid w:val="0006334F"/>
    <w:rsid w:val="000634DE"/>
    <w:rsid w:val="0006358D"/>
    <w:rsid w:val="00063932"/>
    <w:rsid w:val="00063B11"/>
    <w:rsid w:val="00063B1C"/>
    <w:rsid w:val="00063B41"/>
    <w:rsid w:val="00063C7E"/>
    <w:rsid w:val="00063CF9"/>
    <w:rsid w:val="00063EB0"/>
    <w:rsid w:val="00064128"/>
    <w:rsid w:val="00064779"/>
    <w:rsid w:val="000647C2"/>
    <w:rsid w:val="00064B6F"/>
    <w:rsid w:val="000651A8"/>
    <w:rsid w:val="0006522D"/>
    <w:rsid w:val="00065471"/>
    <w:rsid w:val="00065492"/>
    <w:rsid w:val="00065521"/>
    <w:rsid w:val="00065A1D"/>
    <w:rsid w:val="00065B60"/>
    <w:rsid w:val="00065C38"/>
    <w:rsid w:val="0006637D"/>
    <w:rsid w:val="00066483"/>
    <w:rsid w:val="0006662E"/>
    <w:rsid w:val="0006679B"/>
    <w:rsid w:val="0006680E"/>
    <w:rsid w:val="00066876"/>
    <w:rsid w:val="00066AB3"/>
    <w:rsid w:val="00066B7E"/>
    <w:rsid w:val="00066D3E"/>
    <w:rsid w:val="00066EA1"/>
    <w:rsid w:val="00066F0E"/>
    <w:rsid w:val="00066F2F"/>
    <w:rsid w:val="00066F4A"/>
    <w:rsid w:val="00067195"/>
    <w:rsid w:val="0006763A"/>
    <w:rsid w:val="000676DA"/>
    <w:rsid w:val="000677B7"/>
    <w:rsid w:val="00067A10"/>
    <w:rsid w:val="00067EEB"/>
    <w:rsid w:val="00067F09"/>
    <w:rsid w:val="0007073F"/>
    <w:rsid w:val="00070D77"/>
    <w:rsid w:val="00070E6D"/>
    <w:rsid w:val="00070F67"/>
    <w:rsid w:val="00071055"/>
    <w:rsid w:val="000712EF"/>
    <w:rsid w:val="0007142C"/>
    <w:rsid w:val="000714B9"/>
    <w:rsid w:val="00071699"/>
    <w:rsid w:val="00071722"/>
    <w:rsid w:val="00071B05"/>
    <w:rsid w:val="00071BB3"/>
    <w:rsid w:val="00071DE8"/>
    <w:rsid w:val="00071EF1"/>
    <w:rsid w:val="00072000"/>
    <w:rsid w:val="00072114"/>
    <w:rsid w:val="00072379"/>
    <w:rsid w:val="0007238F"/>
    <w:rsid w:val="0007249A"/>
    <w:rsid w:val="000727E2"/>
    <w:rsid w:val="00072B7C"/>
    <w:rsid w:val="00072BF0"/>
    <w:rsid w:val="00073054"/>
    <w:rsid w:val="00073080"/>
    <w:rsid w:val="000731F9"/>
    <w:rsid w:val="00073351"/>
    <w:rsid w:val="0007335B"/>
    <w:rsid w:val="00073447"/>
    <w:rsid w:val="0007344C"/>
    <w:rsid w:val="0007372C"/>
    <w:rsid w:val="00073DBF"/>
    <w:rsid w:val="00074042"/>
    <w:rsid w:val="00074085"/>
    <w:rsid w:val="00074092"/>
    <w:rsid w:val="00074186"/>
    <w:rsid w:val="00074258"/>
    <w:rsid w:val="000742A3"/>
    <w:rsid w:val="00074470"/>
    <w:rsid w:val="0007452A"/>
    <w:rsid w:val="0007472C"/>
    <w:rsid w:val="000747EF"/>
    <w:rsid w:val="0007495B"/>
    <w:rsid w:val="00074B71"/>
    <w:rsid w:val="00074BC4"/>
    <w:rsid w:val="00074E3F"/>
    <w:rsid w:val="00074EB9"/>
    <w:rsid w:val="00074F2D"/>
    <w:rsid w:val="00074F82"/>
    <w:rsid w:val="0007518E"/>
    <w:rsid w:val="000751ED"/>
    <w:rsid w:val="00075439"/>
    <w:rsid w:val="00075661"/>
    <w:rsid w:val="000756E4"/>
    <w:rsid w:val="000756F9"/>
    <w:rsid w:val="0007574A"/>
    <w:rsid w:val="0007582E"/>
    <w:rsid w:val="00075946"/>
    <w:rsid w:val="000759BA"/>
    <w:rsid w:val="00075D4A"/>
    <w:rsid w:val="00075FEA"/>
    <w:rsid w:val="000761F5"/>
    <w:rsid w:val="000764EA"/>
    <w:rsid w:val="00076592"/>
    <w:rsid w:val="00076798"/>
    <w:rsid w:val="00076900"/>
    <w:rsid w:val="00076B22"/>
    <w:rsid w:val="00076B47"/>
    <w:rsid w:val="00076FD4"/>
    <w:rsid w:val="00077109"/>
    <w:rsid w:val="00077434"/>
    <w:rsid w:val="00077504"/>
    <w:rsid w:val="000777DF"/>
    <w:rsid w:val="000778AD"/>
    <w:rsid w:val="00077BAB"/>
    <w:rsid w:val="00077D57"/>
    <w:rsid w:val="00077D5E"/>
    <w:rsid w:val="00077EBD"/>
    <w:rsid w:val="000800A6"/>
    <w:rsid w:val="000801C0"/>
    <w:rsid w:val="00080362"/>
    <w:rsid w:val="000804EB"/>
    <w:rsid w:val="00080785"/>
    <w:rsid w:val="00080B96"/>
    <w:rsid w:val="00080CC3"/>
    <w:rsid w:val="00080D3B"/>
    <w:rsid w:val="00080E38"/>
    <w:rsid w:val="00080FCA"/>
    <w:rsid w:val="0008100B"/>
    <w:rsid w:val="000811B9"/>
    <w:rsid w:val="000811CD"/>
    <w:rsid w:val="00081316"/>
    <w:rsid w:val="0008134B"/>
    <w:rsid w:val="0008184C"/>
    <w:rsid w:val="0008191E"/>
    <w:rsid w:val="00081946"/>
    <w:rsid w:val="00081D09"/>
    <w:rsid w:val="00081F4D"/>
    <w:rsid w:val="00081F90"/>
    <w:rsid w:val="000821BC"/>
    <w:rsid w:val="000821DE"/>
    <w:rsid w:val="0008228F"/>
    <w:rsid w:val="000823E6"/>
    <w:rsid w:val="000827E8"/>
    <w:rsid w:val="00082814"/>
    <w:rsid w:val="00082A2B"/>
    <w:rsid w:val="00082A98"/>
    <w:rsid w:val="00082ADA"/>
    <w:rsid w:val="00082BFA"/>
    <w:rsid w:val="00082C5D"/>
    <w:rsid w:val="00082D31"/>
    <w:rsid w:val="00082E3A"/>
    <w:rsid w:val="00082EB6"/>
    <w:rsid w:val="00082FB3"/>
    <w:rsid w:val="00083077"/>
    <w:rsid w:val="000832D6"/>
    <w:rsid w:val="000834F3"/>
    <w:rsid w:val="000836A3"/>
    <w:rsid w:val="0008370F"/>
    <w:rsid w:val="00083879"/>
    <w:rsid w:val="00083B5E"/>
    <w:rsid w:val="00083F91"/>
    <w:rsid w:val="00083FB6"/>
    <w:rsid w:val="0008405C"/>
    <w:rsid w:val="000840CC"/>
    <w:rsid w:val="00084268"/>
    <w:rsid w:val="0008448E"/>
    <w:rsid w:val="00084593"/>
    <w:rsid w:val="000845D1"/>
    <w:rsid w:val="00084737"/>
    <w:rsid w:val="00084A16"/>
    <w:rsid w:val="00084A58"/>
    <w:rsid w:val="00084D52"/>
    <w:rsid w:val="00084E35"/>
    <w:rsid w:val="00084EF1"/>
    <w:rsid w:val="00085145"/>
    <w:rsid w:val="00085607"/>
    <w:rsid w:val="000856A4"/>
    <w:rsid w:val="000858CE"/>
    <w:rsid w:val="00085954"/>
    <w:rsid w:val="00085A7A"/>
    <w:rsid w:val="00085BE6"/>
    <w:rsid w:val="00085CCB"/>
    <w:rsid w:val="00085D17"/>
    <w:rsid w:val="00085FFA"/>
    <w:rsid w:val="000860BB"/>
    <w:rsid w:val="00086236"/>
    <w:rsid w:val="00086401"/>
    <w:rsid w:val="00086454"/>
    <w:rsid w:val="000866EB"/>
    <w:rsid w:val="000867A1"/>
    <w:rsid w:val="0008689C"/>
    <w:rsid w:val="00086CED"/>
    <w:rsid w:val="000870CB"/>
    <w:rsid w:val="0008717A"/>
    <w:rsid w:val="0008727E"/>
    <w:rsid w:val="00087433"/>
    <w:rsid w:val="0008745F"/>
    <w:rsid w:val="00087618"/>
    <w:rsid w:val="000876B7"/>
    <w:rsid w:val="0008773F"/>
    <w:rsid w:val="00087887"/>
    <w:rsid w:val="00087CBD"/>
    <w:rsid w:val="00087CE7"/>
    <w:rsid w:val="00087D5A"/>
    <w:rsid w:val="00087FAD"/>
    <w:rsid w:val="0009013A"/>
    <w:rsid w:val="000901D0"/>
    <w:rsid w:val="0009026B"/>
    <w:rsid w:val="0009066B"/>
    <w:rsid w:val="000911DB"/>
    <w:rsid w:val="000915E2"/>
    <w:rsid w:val="000917F1"/>
    <w:rsid w:val="0009195D"/>
    <w:rsid w:val="00091D3C"/>
    <w:rsid w:val="000920E5"/>
    <w:rsid w:val="0009236A"/>
    <w:rsid w:val="00092432"/>
    <w:rsid w:val="0009255A"/>
    <w:rsid w:val="000926C0"/>
    <w:rsid w:val="0009284D"/>
    <w:rsid w:val="00092854"/>
    <w:rsid w:val="000928EE"/>
    <w:rsid w:val="00092C0C"/>
    <w:rsid w:val="00092C3A"/>
    <w:rsid w:val="00092E13"/>
    <w:rsid w:val="00092EDA"/>
    <w:rsid w:val="00092FD0"/>
    <w:rsid w:val="00093141"/>
    <w:rsid w:val="00093301"/>
    <w:rsid w:val="0009330C"/>
    <w:rsid w:val="000933DB"/>
    <w:rsid w:val="000933DE"/>
    <w:rsid w:val="00093503"/>
    <w:rsid w:val="0009363D"/>
    <w:rsid w:val="0009366C"/>
    <w:rsid w:val="00093670"/>
    <w:rsid w:val="000936E7"/>
    <w:rsid w:val="00093812"/>
    <w:rsid w:val="00093921"/>
    <w:rsid w:val="00093AA3"/>
    <w:rsid w:val="00093ABB"/>
    <w:rsid w:val="00093C3B"/>
    <w:rsid w:val="00094163"/>
    <w:rsid w:val="000943BD"/>
    <w:rsid w:val="00094405"/>
    <w:rsid w:val="00094493"/>
    <w:rsid w:val="000944BD"/>
    <w:rsid w:val="0009459A"/>
    <w:rsid w:val="000945E8"/>
    <w:rsid w:val="00094895"/>
    <w:rsid w:val="00094942"/>
    <w:rsid w:val="00094962"/>
    <w:rsid w:val="00094B2F"/>
    <w:rsid w:val="00094B7D"/>
    <w:rsid w:val="00094BA0"/>
    <w:rsid w:val="00094CC6"/>
    <w:rsid w:val="00094E53"/>
    <w:rsid w:val="000950DC"/>
    <w:rsid w:val="000950DE"/>
    <w:rsid w:val="000952E8"/>
    <w:rsid w:val="0009551C"/>
    <w:rsid w:val="00095675"/>
    <w:rsid w:val="00095774"/>
    <w:rsid w:val="00095A03"/>
    <w:rsid w:val="00095AFE"/>
    <w:rsid w:val="00095C2D"/>
    <w:rsid w:val="00095C36"/>
    <w:rsid w:val="00095E42"/>
    <w:rsid w:val="00096026"/>
    <w:rsid w:val="000960E3"/>
    <w:rsid w:val="0009612E"/>
    <w:rsid w:val="000961EF"/>
    <w:rsid w:val="000962D4"/>
    <w:rsid w:val="00096931"/>
    <w:rsid w:val="00096BCD"/>
    <w:rsid w:val="00096C35"/>
    <w:rsid w:val="00096CE5"/>
    <w:rsid w:val="00096D24"/>
    <w:rsid w:val="00096D78"/>
    <w:rsid w:val="00096FC3"/>
    <w:rsid w:val="000971CB"/>
    <w:rsid w:val="000972BE"/>
    <w:rsid w:val="00097332"/>
    <w:rsid w:val="00097525"/>
    <w:rsid w:val="00097546"/>
    <w:rsid w:val="00097585"/>
    <w:rsid w:val="0009778E"/>
    <w:rsid w:val="000977DB"/>
    <w:rsid w:val="00097888"/>
    <w:rsid w:val="00097890"/>
    <w:rsid w:val="0009789C"/>
    <w:rsid w:val="000978A5"/>
    <w:rsid w:val="000979CA"/>
    <w:rsid w:val="000A00B0"/>
    <w:rsid w:val="000A046E"/>
    <w:rsid w:val="000A051E"/>
    <w:rsid w:val="000A0B3F"/>
    <w:rsid w:val="000A0B82"/>
    <w:rsid w:val="000A0C03"/>
    <w:rsid w:val="000A0D63"/>
    <w:rsid w:val="000A0FC6"/>
    <w:rsid w:val="000A11E5"/>
    <w:rsid w:val="000A13D8"/>
    <w:rsid w:val="000A1558"/>
    <w:rsid w:val="000A171D"/>
    <w:rsid w:val="000A1B0F"/>
    <w:rsid w:val="000A1D80"/>
    <w:rsid w:val="000A1EFF"/>
    <w:rsid w:val="000A1FE4"/>
    <w:rsid w:val="000A21ED"/>
    <w:rsid w:val="000A226C"/>
    <w:rsid w:val="000A2A63"/>
    <w:rsid w:val="000A2BF9"/>
    <w:rsid w:val="000A2DC9"/>
    <w:rsid w:val="000A3464"/>
    <w:rsid w:val="000A3596"/>
    <w:rsid w:val="000A379A"/>
    <w:rsid w:val="000A397A"/>
    <w:rsid w:val="000A3D3C"/>
    <w:rsid w:val="000A3D53"/>
    <w:rsid w:val="000A3D94"/>
    <w:rsid w:val="000A3DCD"/>
    <w:rsid w:val="000A3EBD"/>
    <w:rsid w:val="000A427E"/>
    <w:rsid w:val="000A447B"/>
    <w:rsid w:val="000A45B3"/>
    <w:rsid w:val="000A460B"/>
    <w:rsid w:val="000A48FF"/>
    <w:rsid w:val="000A4C95"/>
    <w:rsid w:val="000A4D8E"/>
    <w:rsid w:val="000A4D93"/>
    <w:rsid w:val="000A4E59"/>
    <w:rsid w:val="000A4E6C"/>
    <w:rsid w:val="000A4F2F"/>
    <w:rsid w:val="000A4F4F"/>
    <w:rsid w:val="000A50B2"/>
    <w:rsid w:val="000A5107"/>
    <w:rsid w:val="000A51C9"/>
    <w:rsid w:val="000A520C"/>
    <w:rsid w:val="000A55BF"/>
    <w:rsid w:val="000A57B3"/>
    <w:rsid w:val="000A580D"/>
    <w:rsid w:val="000A585F"/>
    <w:rsid w:val="000A5A3E"/>
    <w:rsid w:val="000A5BC0"/>
    <w:rsid w:val="000A5EFB"/>
    <w:rsid w:val="000A61DF"/>
    <w:rsid w:val="000A6282"/>
    <w:rsid w:val="000A630C"/>
    <w:rsid w:val="000A6473"/>
    <w:rsid w:val="000A649F"/>
    <w:rsid w:val="000A64BE"/>
    <w:rsid w:val="000A652C"/>
    <w:rsid w:val="000A6840"/>
    <w:rsid w:val="000A68EB"/>
    <w:rsid w:val="000A692A"/>
    <w:rsid w:val="000A6A44"/>
    <w:rsid w:val="000A6C48"/>
    <w:rsid w:val="000A6C55"/>
    <w:rsid w:val="000A6E66"/>
    <w:rsid w:val="000A7149"/>
    <w:rsid w:val="000A724D"/>
    <w:rsid w:val="000A739C"/>
    <w:rsid w:val="000A73D0"/>
    <w:rsid w:val="000A742A"/>
    <w:rsid w:val="000A755B"/>
    <w:rsid w:val="000A765B"/>
    <w:rsid w:val="000A7687"/>
    <w:rsid w:val="000A7819"/>
    <w:rsid w:val="000A796C"/>
    <w:rsid w:val="000A7988"/>
    <w:rsid w:val="000A7D68"/>
    <w:rsid w:val="000B0036"/>
    <w:rsid w:val="000B00DF"/>
    <w:rsid w:val="000B0184"/>
    <w:rsid w:val="000B02C1"/>
    <w:rsid w:val="000B0433"/>
    <w:rsid w:val="000B07E2"/>
    <w:rsid w:val="000B08F4"/>
    <w:rsid w:val="000B0928"/>
    <w:rsid w:val="000B106E"/>
    <w:rsid w:val="000B1253"/>
    <w:rsid w:val="000B1364"/>
    <w:rsid w:val="000B142C"/>
    <w:rsid w:val="000B147B"/>
    <w:rsid w:val="000B14EC"/>
    <w:rsid w:val="000B159C"/>
    <w:rsid w:val="000B15AD"/>
    <w:rsid w:val="000B17DC"/>
    <w:rsid w:val="000B194B"/>
    <w:rsid w:val="000B1954"/>
    <w:rsid w:val="000B1D5D"/>
    <w:rsid w:val="000B1EE7"/>
    <w:rsid w:val="000B1EED"/>
    <w:rsid w:val="000B2054"/>
    <w:rsid w:val="000B2328"/>
    <w:rsid w:val="000B234B"/>
    <w:rsid w:val="000B2506"/>
    <w:rsid w:val="000B2703"/>
    <w:rsid w:val="000B296E"/>
    <w:rsid w:val="000B2C19"/>
    <w:rsid w:val="000B2CCD"/>
    <w:rsid w:val="000B2FDD"/>
    <w:rsid w:val="000B3354"/>
    <w:rsid w:val="000B3482"/>
    <w:rsid w:val="000B361E"/>
    <w:rsid w:val="000B3886"/>
    <w:rsid w:val="000B38D6"/>
    <w:rsid w:val="000B393A"/>
    <w:rsid w:val="000B39FA"/>
    <w:rsid w:val="000B3D2C"/>
    <w:rsid w:val="000B3F23"/>
    <w:rsid w:val="000B3FE7"/>
    <w:rsid w:val="000B41AD"/>
    <w:rsid w:val="000B41D7"/>
    <w:rsid w:val="000B41F7"/>
    <w:rsid w:val="000B445B"/>
    <w:rsid w:val="000B4952"/>
    <w:rsid w:val="000B4B8A"/>
    <w:rsid w:val="000B4C8E"/>
    <w:rsid w:val="000B4CFA"/>
    <w:rsid w:val="000B4EB2"/>
    <w:rsid w:val="000B4EE0"/>
    <w:rsid w:val="000B4F1B"/>
    <w:rsid w:val="000B5044"/>
    <w:rsid w:val="000B5069"/>
    <w:rsid w:val="000B516B"/>
    <w:rsid w:val="000B5662"/>
    <w:rsid w:val="000B590E"/>
    <w:rsid w:val="000B59D5"/>
    <w:rsid w:val="000B59F5"/>
    <w:rsid w:val="000B5AA6"/>
    <w:rsid w:val="000B5AE8"/>
    <w:rsid w:val="000B5BE7"/>
    <w:rsid w:val="000B5CDC"/>
    <w:rsid w:val="000B60E3"/>
    <w:rsid w:val="000B6250"/>
    <w:rsid w:val="000B628C"/>
    <w:rsid w:val="000B6336"/>
    <w:rsid w:val="000B6382"/>
    <w:rsid w:val="000B6594"/>
    <w:rsid w:val="000B6723"/>
    <w:rsid w:val="000B67DC"/>
    <w:rsid w:val="000B6947"/>
    <w:rsid w:val="000B69E1"/>
    <w:rsid w:val="000B6A7C"/>
    <w:rsid w:val="000B6CE0"/>
    <w:rsid w:val="000B6E5A"/>
    <w:rsid w:val="000B6EF7"/>
    <w:rsid w:val="000B6F59"/>
    <w:rsid w:val="000B6FE8"/>
    <w:rsid w:val="000B72D5"/>
    <w:rsid w:val="000B72FD"/>
    <w:rsid w:val="000B772B"/>
    <w:rsid w:val="000B7A0F"/>
    <w:rsid w:val="000B7A31"/>
    <w:rsid w:val="000B7AA9"/>
    <w:rsid w:val="000B7B2C"/>
    <w:rsid w:val="000B7B9F"/>
    <w:rsid w:val="000B7C03"/>
    <w:rsid w:val="000B7C98"/>
    <w:rsid w:val="000B7DE7"/>
    <w:rsid w:val="000B7E2C"/>
    <w:rsid w:val="000B7E55"/>
    <w:rsid w:val="000C0224"/>
    <w:rsid w:val="000C0292"/>
    <w:rsid w:val="000C037B"/>
    <w:rsid w:val="000C04CC"/>
    <w:rsid w:val="000C0946"/>
    <w:rsid w:val="000C0C02"/>
    <w:rsid w:val="000C0DF0"/>
    <w:rsid w:val="000C150B"/>
    <w:rsid w:val="000C16C0"/>
    <w:rsid w:val="000C16C5"/>
    <w:rsid w:val="000C17B1"/>
    <w:rsid w:val="000C1C84"/>
    <w:rsid w:val="000C1CD0"/>
    <w:rsid w:val="000C1F27"/>
    <w:rsid w:val="000C20E0"/>
    <w:rsid w:val="000C23DB"/>
    <w:rsid w:val="000C2883"/>
    <w:rsid w:val="000C29A7"/>
    <w:rsid w:val="000C303B"/>
    <w:rsid w:val="000C3155"/>
    <w:rsid w:val="000C31FC"/>
    <w:rsid w:val="000C3278"/>
    <w:rsid w:val="000C3744"/>
    <w:rsid w:val="000C3D80"/>
    <w:rsid w:val="000C3E34"/>
    <w:rsid w:val="000C3F34"/>
    <w:rsid w:val="000C400D"/>
    <w:rsid w:val="000C4271"/>
    <w:rsid w:val="000C4380"/>
    <w:rsid w:val="000C43B0"/>
    <w:rsid w:val="000C43DA"/>
    <w:rsid w:val="000C43EF"/>
    <w:rsid w:val="000C456C"/>
    <w:rsid w:val="000C4576"/>
    <w:rsid w:val="000C4577"/>
    <w:rsid w:val="000C479E"/>
    <w:rsid w:val="000C4B2D"/>
    <w:rsid w:val="000C4C4F"/>
    <w:rsid w:val="000C4C98"/>
    <w:rsid w:val="000C4D91"/>
    <w:rsid w:val="000C4E8D"/>
    <w:rsid w:val="000C4FBF"/>
    <w:rsid w:val="000C5111"/>
    <w:rsid w:val="000C51AD"/>
    <w:rsid w:val="000C53F4"/>
    <w:rsid w:val="000C540D"/>
    <w:rsid w:val="000C58E4"/>
    <w:rsid w:val="000C5DE3"/>
    <w:rsid w:val="000C603C"/>
    <w:rsid w:val="000C6348"/>
    <w:rsid w:val="000C64BC"/>
    <w:rsid w:val="000C65DD"/>
    <w:rsid w:val="000C664C"/>
    <w:rsid w:val="000C6920"/>
    <w:rsid w:val="000C69F9"/>
    <w:rsid w:val="000C6FC9"/>
    <w:rsid w:val="000C707A"/>
    <w:rsid w:val="000C72B1"/>
    <w:rsid w:val="000C767D"/>
    <w:rsid w:val="000C7855"/>
    <w:rsid w:val="000C7856"/>
    <w:rsid w:val="000C7A60"/>
    <w:rsid w:val="000C7ADD"/>
    <w:rsid w:val="000C7BF1"/>
    <w:rsid w:val="000C7F3E"/>
    <w:rsid w:val="000D007F"/>
    <w:rsid w:val="000D0194"/>
    <w:rsid w:val="000D01D5"/>
    <w:rsid w:val="000D0227"/>
    <w:rsid w:val="000D0234"/>
    <w:rsid w:val="000D0450"/>
    <w:rsid w:val="000D051A"/>
    <w:rsid w:val="000D0704"/>
    <w:rsid w:val="000D0856"/>
    <w:rsid w:val="000D0861"/>
    <w:rsid w:val="000D0951"/>
    <w:rsid w:val="000D0C3B"/>
    <w:rsid w:val="000D0C6A"/>
    <w:rsid w:val="000D0D35"/>
    <w:rsid w:val="000D0EA0"/>
    <w:rsid w:val="000D1053"/>
    <w:rsid w:val="000D1891"/>
    <w:rsid w:val="000D1A55"/>
    <w:rsid w:val="000D1C53"/>
    <w:rsid w:val="000D1DF0"/>
    <w:rsid w:val="000D2015"/>
    <w:rsid w:val="000D2678"/>
    <w:rsid w:val="000D27A7"/>
    <w:rsid w:val="000D3031"/>
    <w:rsid w:val="000D31C1"/>
    <w:rsid w:val="000D325B"/>
    <w:rsid w:val="000D34EA"/>
    <w:rsid w:val="000D352C"/>
    <w:rsid w:val="000D3599"/>
    <w:rsid w:val="000D369E"/>
    <w:rsid w:val="000D3825"/>
    <w:rsid w:val="000D391C"/>
    <w:rsid w:val="000D3A38"/>
    <w:rsid w:val="000D3BC9"/>
    <w:rsid w:val="000D3CC6"/>
    <w:rsid w:val="000D3F3C"/>
    <w:rsid w:val="000D4075"/>
    <w:rsid w:val="000D4306"/>
    <w:rsid w:val="000D44C4"/>
    <w:rsid w:val="000D44DA"/>
    <w:rsid w:val="000D48F9"/>
    <w:rsid w:val="000D4AE4"/>
    <w:rsid w:val="000D4CCD"/>
    <w:rsid w:val="000D4CDE"/>
    <w:rsid w:val="000D4E22"/>
    <w:rsid w:val="000D4E52"/>
    <w:rsid w:val="000D515C"/>
    <w:rsid w:val="000D520C"/>
    <w:rsid w:val="000D5743"/>
    <w:rsid w:val="000D5C21"/>
    <w:rsid w:val="000D5FBF"/>
    <w:rsid w:val="000D6095"/>
    <w:rsid w:val="000D655F"/>
    <w:rsid w:val="000D65D2"/>
    <w:rsid w:val="000D6704"/>
    <w:rsid w:val="000D68F1"/>
    <w:rsid w:val="000D692B"/>
    <w:rsid w:val="000D69CE"/>
    <w:rsid w:val="000D6C59"/>
    <w:rsid w:val="000D6CDC"/>
    <w:rsid w:val="000D6CFC"/>
    <w:rsid w:val="000D6F91"/>
    <w:rsid w:val="000D7069"/>
    <w:rsid w:val="000D7086"/>
    <w:rsid w:val="000D7161"/>
    <w:rsid w:val="000D71AC"/>
    <w:rsid w:val="000D7262"/>
    <w:rsid w:val="000D728D"/>
    <w:rsid w:val="000D74D8"/>
    <w:rsid w:val="000D7543"/>
    <w:rsid w:val="000D76F0"/>
    <w:rsid w:val="000D7C12"/>
    <w:rsid w:val="000E00B4"/>
    <w:rsid w:val="000E0174"/>
    <w:rsid w:val="000E0195"/>
    <w:rsid w:val="000E0BF9"/>
    <w:rsid w:val="000E0C88"/>
    <w:rsid w:val="000E0F4A"/>
    <w:rsid w:val="000E1231"/>
    <w:rsid w:val="000E1449"/>
    <w:rsid w:val="000E1526"/>
    <w:rsid w:val="000E17B4"/>
    <w:rsid w:val="000E1A0C"/>
    <w:rsid w:val="000E1B85"/>
    <w:rsid w:val="000E1CD5"/>
    <w:rsid w:val="000E1E20"/>
    <w:rsid w:val="000E1E34"/>
    <w:rsid w:val="000E2019"/>
    <w:rsid w:val="000E215F"/>
    <w:rsid w:val="000E2218"/>
    <w:rsid w:val="000E22E5"/>
    <w:rsid w:val="000E25A1"/>
    <w:rsid w:val="000E2616"/>
    <w:rsid w:val="000E2658"/>
    <w:rsid w:val="000E266A"/>
    <w:rsid w:val="000E26CB"/>
    <w:rsid w:val="000E2720"/>
    <w:rsid w:val="000E2950"/>
    <w:rsid w:val="000E29C2"/>
    <w:rsid w:val="000E29E5"/>
    <w:rsid w:val="000E2A06"/>
    <w:rsid w:val="000E2A94"/>
    <w:rsid w:val="000E2B0E"/>
    <w:rsid w:val="000E2E47"/>
    <w:rsid w:val="000E3370"/>
    <w:rsid w:val="000E3470"/>
    <w:rsid w:val="000E386D"/>
    <w:rsid w:val="000E38DF"/>
    <w:rsid w:val="000E38EB"/>
    <w:rsid w:val="000E3A09"/>
    <w:rsid w:val="000E4140"/>
    <w:rsid w:val="000E4457"/>
    <w:rsid w:val="000E44F7"/>
    <w:rsid w:val="000E4519"/>
    <w:rsid w:val="000E4537"/>
    <w:rsid w:val="000E4556"/>
    <w:rsid w:val="000E4781"/>
    <w:rsid w:val="000E47F9"/>
    <w:rsid w:val="000E4B6C"/>
    <w:rsid w:val="000E4F78"/>
    <w:rsid w:val="000E504D"/>
    <w:rsid w:val="000E5496"/>
    <w:rsid w:val="000E568C"/>
    <w:rsid w:val="000E58B0"/>
    <w:rsid w:val="000E5C3E"/>
    <w:rsid w:val="000E601F"/>
    <w:rsid w:val="000E61DC"/>
    <w:rsid w:val="000E67CC"/>
    <w:rsid w:val="000E69EA"/>
    <w:rsid w:val="000E6C22"/>
    <w:rsid w:val="000E6C2F"/>
    <w:rsid w:val="000E6CBE"/>
    <w:rsid w:val="000E6DD8"/>
    <w:rsid w:val="000E7161"/>
    <w:rsid w:val="000E71A5"/>
    <w:rsid w:val="000E7344"/>
    <w:rsid w:val="000E73EA"/>
    <w:rsid w:val="000E74E1"/>
    <w:rsid w:val="000E74FD"/>
    <w:rsid w:val="000E7608"/>
    <w:rsid w:val="000E7908"/>
    <w:rsid w:val="000E7BD2"/>
    <w:rsid w:val="000E7C2D"/>
    <w:rsid w:val="000E7D26"/>
    <w:rsid w:val="000E7D4C"/>
    <w:rsid w:val="000F0013"/>
    <w:rsid w:val="000F0047"/>
    <w:rsid w:val="000F03F5"/>
    <w:rsid w:val="000F041C"/>
    <w:rsid w:val="000F04C8"/>
    <w:rsid w:val="000F063D"/>
    <w:rsid w:val="000F07C3"/>
    <w:rsid w:val="000F07CC"/>
    <w:rsid w:val="000F0860"/>
    <w:rsid w:val="000F0943"/>
    <w:rsid w:val="000F0A41"/>
    <w:rsid w:val="000F0ACD"/>
    <w:rsid w:val="000F0B0F"/>
    <w:rsid w:val="000F0F21"/>
    <w:rsid w:val="000F1030"/>
    <w:rsid w:val="000F133C"/>
    <w:rsid w:val="000F14D2"/>
    <w:rsid w:val="000F16ED"/>
    <w:rsid w:val="000F17C7"/>
    <w:rsid w:val="000F18F8"/>
    <w:rsid w:val="000F1D02"/>
    <w:rsid w:val="000F1D15"/>
    <w:rsid w:val="000F1DD1"/>
    <w:rsid w:val="000F203B"/>
    <w:rsid w:val="000F20A8"/>
    <w:rsid w:val="000F245E"/>
    <w:rsid w:val="000F24C4"/>
    <w:rsid w:val="000F2729"/>
    <w:rsid w:val="000F2B64"/>
    <w:rsid w:val="000F2BCD"/>
    <w:rsid w:val="000F2CE6"/>
    <w:rsid w:val="000F2DF4"/>
    <w:rsid w:val="000F2E15"/>
    <w:rsid w:val="000F2E8A"/>
    <w:rsid w:val="000F2F65"/>
    <w:rsid w:val="000F2FD7"/>
    <w:rsid w:val="000F3307"/>
    <w:rsid w:val="000F33B7"/>
    <w:rsid w:val="000F340B"/>
    <w:rsid w:val="000F355A"/>
    <w:rsid w:val="000F3848"/>
    <w:rsid w:val="000F3883"/>
    <w:rsid w:val="000F38BB"/>
    <w:rsid w:val="000F39E4"/>
    <w:rsid w:val="000F3BB1"/>
    <w:rsid w:val="000F3BD3"/>
    <w:rsid w:val="000F3D3B"/>
    <w:rsid w:val="000F3D57"/>
    <w:rsid w:val="000F3DDC"/>
    <w:rsid w:val="000F3E77"/>
    <w:rsid w:val="000F4063"/>
    <w:rsid w:val="000F4169"/>
    <w:rsid w:val="000F423C"/>
    <w:rsid w:val="000F43C8"/>
    <w:rsid w:val="000F44CE"/>
    <w:rsid w:val="000F47AB"/>
    <w:rsid w:val="000F482D"/>
    <w:rsid w:val="000F4A19"/>
    <w:rsid w:val="000F5205"/>
    <w:rsid w:val="000F5390"/>
    <w:rsid w:val="000F579F"/>
    <w:rsid w:val="000F58C3"/>
    <w:rsid w:val="000F5A2B"/>
    <w:rsid w:val="000F5D11"/>
    <w:rsid w:val="000F5E9F"/>
    <w:rsid w:val="000F61F6"/>
    <w:rsid w:val="000F629D"/>
    <w:rsid w:val="000F6380"/>
    <w:rsid w:val="000F6398"/>
    <w:rsid w:val="000F659D"/>
    <w:rsid w:val="000F6605"/>
    <w:rsid w:val="000F68BD"/>
    <w:rsid w:val="000F68E3"/>
    <w:rsid w:val="000F6C84"/>
    <w:rsid w:val="000F6E45"/>
    <w:rsid w:val="000F75F1"/>
    <w:rsid w:val="000F77A2"/>
    <w:rsid w:val="000F7910"/>
    <w:rsid w:val="000F7BBD"/>
    <w:rsid w:val="000F7C79"/>
    <w:rsid w:val="000F7CCD"/>
    <w:rsid w:val="000F7E5B"/>
    <w:rsid w:val="00100103"/>
    <w:rsid w:val="001004F1"/>
    <w:rsid w:val="001008F9"/>
    <w:rsid w:val="00100A29"/>
    <w:rsid w:val="00100A34"/>
    <w:rsid w:val="00100A3D"/>
    <w:rsid w:val="00100AF6"/>
    <w:rsid w:val="00100BAA"/>
    <w:rsid w:val="00100E50"/>
    <w:rsid w:val="001011E1"/>
    <w:rsid w:val="00101233"/>
    <w:rsid w:val="00101398"/>
    <w:rsid w:val="0010145E"/>
    <w:rsid w:val="0010154A"/>
    <w:rsid w:val="00101691"/>
    <w:rsid w:val="001017B9"/>
    <w:rsid w:val="00101B24"/>
    <w:rsid w:val="00101C2D"/>
    <w:rsid w:val="00101C52"/>
    <w:rsid w:val="00101E26"/>
    <w:rsid w:val="0010203B"/>
    <w:rsid w:val="001020A1"/>
    <w:rsid w:val="0010228E"/>
    <w:rsid w:val="001023AB"/>
    <w:rsid w:val="0010284B"/>
    <w:rsid w:val="0010288D"/>
    <w:rsid w:val="00102ADD"/>
    <w:rsid w:val="00102E43"/>
    <w:rsid w:val="00102E52"/>
    <w:rsid w:val="00102EBB"/>
    <w:rsid w:val="0010310D"/>
    <w:rsid w:val="0010324C"/>
    <w:rsid w:val="0010325F"/>
    <w:rsid w:val="001032CB"/>
    <w:rsid w:val="001033D6"/>
    <w:rsid w:val="00103718"/>
    <w:rsid w:val="00103AAF"/>
    <w:rsid w:val="00103AE7"/>
    <w:rsid w:val="00103C1D"/>
    <w:rsid w:val="00103E60"/>
    <w:rsid w:val="0010425B"/>
    <w:rsid w:val="001043C5"/>
    <w:rsid w:val="001047B8"/>
    <w:rsid w:val="00104941"/>
    <w:rsid w:val="00104957"/>
    <w:rsid w:val="00104E81"/>
    <w:rsid w:val="00104FBE"/>
    <w:rsid w:val="00105035"/>
    <w:rsid w:val="00105207"/>
    <w:rsid w:val="0010527D"/>
    <w:rsid w:val="00105446"/>
    <w:rsid w:val="00105EBD"/>
    <w:rsid w:val="001061A5"/>
    <w:rsid w:val="001064C2"/>
    <w:rsid w:val="001064E3"/>
    <w:rsid w:val="00106834"/>
    <w:rsid w:val="001068D9"/>
    <w:rsid w:val="00106CA5"/>
    <w:rsid w:val="0010707A"/>
    <w:rsid w:val="0010707E"/>
    <w:rsid w:val="0010740C"/>
    <w:rsid w:val="00107489"/>
    <w:rsid w:val="00107611"/>
    <w:rsid w:val="001076DE"/>
    <w:rsid w:val="00107768"/>
    <w:rsid w:val="0010776B"/>
    <w:rsid w:val="0010789F"/>
    <w:rsid w:val="001079F8"/>
    <w:rsid w:val="00107C35"/>
    <w:rsid w:val="00107CBC"/>
    <w:rsid w:val="00107D37"/>
    <w:rsid w:val="00110064"/>
    <w:rsid w:val="00110103"/>
    <w:rsid w:val="00110341"/>
    <w:rsid w:val="00110542"/>
    <w:rsid w:val="001105AA"/>
    <w:rsid w:val="001106CC"/>
    <w:rsid w:val="001108E7"/>
    <w:rsid w:val="00110AA0"/>
    <w:rsid w:val="00110BE4"/>
    <w:rsid w:val="00110DB5"/>
    <w:rsid w:val="00110F79"/>
    <w:rsid w:val="0011112E"/>
    <w:rsid w:val="0011128A"/>
    <w:rsid w:val="00111374"/>
    <w:rsid w:val="00111550"/>
    <w:rsid w:val="0011192C"/>
    <w:rsid w:val="00111950"/>
    <w:rsid w:val="00111A86"/>
    <w:rsid w:val="00111C8D"/>
    <w:rsid w:val="00111E39"/>
    <w:rsid w:val="001120EA"/>
    <w:rsid w:val="00112190"/>
    <w:rsid w:val="001121E9"/>
    <w:rsid w:val="00112384"/>
    <w:rsid w:val="00112391"/>
    <w:rsid w:val="0011243A"/>
    <w:rsid w:val="001127A6"/>
    <w:rsid w:val="0011299D"/>
    <w:rsid w:val="00112AE1"/>
    <w:rsid w:val="00112D43"/>
    <w:rsid w:val="00113456"/>
    <w:rsid w:val="001134FB"/>
    <w:rsid w:val="001135E1"/>
    <w:rsid w:val="001136FA"/>
    <w:rsid w:val="0011386C"/>
    <w:rsid w:val="001139C5"/>
    <w:rsid w:val="00113A70"/>
    <w:rsid w:val="00113B67"/>
    <w:rsid w:val="00113BE1"/>
    <w:rsid w:val="00113D53"/>
    <w:rsid w:val="00113E4D"/>
    <w:rsid w:val="00113E99"/>
    <w:rsid w:val="00113FEA"/>
    <w:rsid w:val="0011413F"/>
    <w:rsid w:val="00114427"/>
    <w:rsid w:val="00114682"/>
    <w:rsid w:val="0011494B"/>
    <w:rsid w:val="00114D10"/>
    <w:rsid w:val="00114F8E"/>
    <w:rsid w:val="001150FB"/>
    <w:rsid w:val="00115122"/>
    <w:rsid w:val="00115220"/>
    <w:rsid w:val="001155D3"/>
    <w:rsid w:val="001158ED"/>
    <w:rsid w:val="00115904"/>
    <w:rsid w:val="00115AA9"/>
    <w:rsid w:val="00115B5F"/>
    <w:rsid w:val="00115C11"/>
    <w:rsid w:val="00115C2B"/>
    <w:rsid w:val="00115C3C"/>
    <w:rsid w:val="00115CBE"/>
    <w:rsid w:val="00116003"/>
    <w:rsid w:val="001162D9"/>
    <w:rsid w:val="0011640E"/>
    <w:rsid w:val="0011647B"/>
    <w:rsid w:val="00116677"/>
    <w:rsid w:val="00116775"/>
    <w:rsid w:val="00116CFB"/>
    <w:rsid w:val="00116FB2"/>
    <w:rsid w:val="00117050"/>
    <w:rsid w:val="001172ED"/>
    <w:rsid w:val="00117328"/>
    <w:rsid w:val="0011746B"/>
    <w:rsid w:val="001174A0"/>
    <w:rsid w:val="00117913"/>
    <w:rsid w:val="0011792B"/>
    <w:rsid w:val="0011798A"/>
    <w:rsid w:val="00117B60"/>
    <w:rsid w:val="00117E90"/>
    <w:rsid w:val="001201C6"/>
    <w:rsid w:val="0012037A"/>
    <w:rsid w:val="001203D1"/>
    <w:rsid w:val="001205C1"/>
    <w:rsid w:val="00120686"/>
    <w:rsid w:val="001207AF"/>
    <w:rsid w:val="00120B63"/>
    <w:rsid w:val="00120F74"/>
    <w:rsid w:val="00121067"/>
    <w:rsid w:val="001216BA"/>
    <w:rsid w:val="001217D1"/>
    <w:rsid w:val="00121821"/>
    <w:rsid w:val="00121982"/>
    <w:rsid w:val="00121983"/>
    <w:rsid w:val="00121A2A"/>
    <w:rsid w:val="00121ABD"/>
    <w:rsid w:val="00121BC2"/>
    <w:rsid w:val="00121CB7"/>
    <w:rsid w:val="00121DCE"/>
    <w:rsid w:val="00121DE4"/>
    <w:rsid w:val="00121EB3"/>
    <w:rsid w:val="00121F8D"/>
    <w:rsid w:val="00122039"/>
    <w:rsid w:val="0012212F"/>
    <w:rsid w:val="001223BD"/>
    <w:rsid w:val="00122638"/>
    <w:rsid w:val="00122743"/>
    <w:rsid w:val="0012297F"/>
    <w:rsid w:val="00122AF5"/>
    <w:rsid w:val="00122CE4"/>
    <w:rsid w:val="00122D82"/>
    <w:rsid w:val="00122F03"/>
    <w:rsid w:val="00122F91"/>
    <w:rsid w:val="00123169"/>
    <w:rsid w:val="00123177"/>
    <w:rsid w:val="001232B4"/>
    <w:rsid w:val="00123369"/>
    <w:rsid w:val="001236E7"/>
    <w:rsid w:val="00123710"/>
    <w:rsid w:val="00123840"/>
    <w:rsid w:val="00123850"/>
    <w:rsid w:val="00123AAE"/>
    <w:rsid w:val="00123D03"/>
    <w:rsid w:val="00123D3F"/>
    <w:rsid w:val="00123F1F"/>
    <w:rsid w:val="001240FD"/>
    <w:rsid w:val="00124134"/>
    <w:rsid w:val="00124186"/>
    <w:rsid w:val="0012426E"/>
    <w:rsid w:val="0012443F"/>
    <w:rsid w:val="0012452F"/>
    <w:rsid w:val="0012483C"/>
    <w:rsid w:val="001248B6"/>
    <w:rsid w:val="00124966"/>
    <w:rsid w:val="00124DD4"/>
    <w:rsid w:val="00124DDD"/>
    <w:rsid w:val="00124DF1"/>
    <w:rsid w:val="00124DF5"/>
    <w:rsid w:val="00124F5A"/>
    <w:rsid w:val="00125053"/>
    <w:rsid w:val="0012509B"/>
    <w:rsid w:val="00125128"/>
    <w:rsid w:val="00125755"/>
    <w:rsid w:val="0012581E"/>
    <w:rsid w:val="00125DAB"/>
    <w:rsid w:val="0012605D"/>
    <w:rsid w:val="00126075"/>
    <w:rsid w:val="0012624F"/>
    <w:rsid w:val="0012657C"/>
    <w:rsid w:val="0012670B"/>
    <w:rsid w:val="001267EB"/>
    <w:rsid w:val="001268AE"/>
    <w:rsid w:val="001268DE"/>
    <w:rsid w:val="00126BFD"/>
    <w:rsid w:val="00126C4E"/>
    <w:rsid w:val="00126FE4"/>
    <w:rsid w:val="00127265"/>
    <w:rsid w:val="00127592"/>
    <w:rsid w:val="00127671"/>
    <w:rsid w:val="001277DC"/>
    <w:rsid w:val="001279B8"/>
    <w:rsid w:val="00127BB8"/>
    <w:rsid w:val="00127FEF"/>
    <w:rsid w:val="0013018A"/>
    <w:rsid w:val="00130328"/>
    <w:rsid w:val="00130358"/>
    <w:rsid w:val="00130409"/>
    <w:rsid w:val="00130410"/>
    <w:rsid w:val="0013086A"/>
    <w:rsid w:val="001308DA"/>
    <w:rsid w:val="00130918"/>
    <w:rsid w:val="00130CD7"/>
    <w:rsid w:val="00130D28"/>
    <w:rsid w:val="00130D46"/>
    <w:rsid w:val="00130EFE"/>
    <w:rsid w:val="00131606"/>
    <w:rsid w:val="00131698"/>
    <w:rsid w:val="0013178D"/>
    <w:rsid w:val="00131803"/>
    <w:rsid w:val="001319CD"/>
    <w:rsid w:val="00131A2F"/>
    <w:rsid w:val="00131C50"/>
    <w:rsid w:val="00131D78"/>
    <w:rsid w:val="0013208A"/>
    <w:rsid w:val="001323F6"/>
    <w:rsid w:val="00132618"/>
    <w:rsid w:val="001327DF"/>
    <w:rsid w:val="00132874"/>
    <w:rsid w:val="00132F15"/>
    <w:rsid w:val="00133136"/>
    <w:rsid w:val="0013329E"/>
    <w:rsid w:val="00133363"/>
    <w:rsid w:val="00133423"/>
    <w:rsid w:val="00133470"/>
    <w:rsid w:val="0013369E"/>
    <w:rsid w:val="00133827"/>
    <w:rsid w:val="00133AD1"/>
    <w:rsid w:val="00133AD5"/>
    <w:rsid w:val="00133AE9"/>
    <w:rsid w:val="00133BDA"/>
    <w:rsid w:val="00133F46"/>
    <w:rsid w:val="00134090"/>
    <w:rsid w:val="0013409A"/>
    <w:rsid w:val="00134603"/>
    <w:rsid w:val="001347F5"/>
    <w:rsid w:val="00134A7F"/>
    <w:rsid w:val="00134AAD"/>
    <w:rsid w:val="00134D29"/>
    <w:rsid w:val="001350D1"/>
    <w:rsid w:val="00135212"/>
    <w:rsid w:val="001355DD"/>
    <w:rsid w:val="00135627"/>
    <w:rsid w:val="001356FE"/>
    <w:rsid w:val="001357CD"/>
    <w:rsid w:val="00135878"/>
    <w:rsid w:val="0013597A"/>
    <w:rsid w:val="00135B11"/>
    <w:rsid w:val="00135B45"/>
    <w:rsid w:val="00135B7E"/>
    <w:rsid w:val="00135C40"/>
    <w:rsid w:val="00135CF5"/>
    <w:rsid w:val="00135D97"/>
    <w:rsid w:val="00135DE5"/>
    <w:rsid w:val="00135E8C"/>
    <w:rsid w:val="00136249"/>
    <w:rsid w:val="00136434"/>
    <w:rsid w:val="00136452"/>
    <w:rsid w:val="0013686F"/>
    <w:rsid w:val="00136AC0"/>
    <w:rsid w:val="00136AC6"/>
    <w:rsid w:val="00136AE2"/>
    <w:rsid w:val="00136B48"/>
    <w:rsid w:val="00137188"/>
    <w:rsid w:val="001371A8"/>
    <w:rsid w:val="0013758F"/>
    <w:rsid w:val="00137B90"/>
    <w:rsid w:val="00137BBF"/>
    <w:rsid w:val="00137CC0"/>
    <w:rsid w:val="00137CD0"/>
    <w:rsid w:val="00137FA8"/>
    <w:rsid w:val="0014004C"/>
    <w:rsid w:val="00140084"/>
    <w:rsid w:val="0014067B"/>
    <w:rsid w:val="0014075D"/>
    <w:rsid w:val="00140A55"/>
    <w:rsid w:val="00140AA5"/>
    <w:rsid w:val="00140B64"/>
    <w:rsid w:val="00140E5F"/>
    <w:rsid w:val="00140FD0"/>
    <w:rsid w:val="001410A5"/>
    <w:rsid w:val="001411ED"/>
    <w:rsid w:val="0014124F"/>
    <w:rsid w:val="001415AD"/>
    <w:rsid w:val="00141679"/>
    <w:rsid w:val="00141E69"/>
    <w:rsid w:val="00141EDF"/>
    <w:rsid w:val="001422B8"/>
    <w:rsid w:val="00142338"/>
    <w:rsid w:val="00142455"/>
    <w:rsid w:val="0014246D"/>
    <w:rsid w:val="00142633"/>
    <w:rsid w:val="00142660"/>
    <w:rsid w:val="0014274C"/>
    <w:rsid w:val="00142842"/>
    <w:rsid w:val="001428F7"/>
    <w:rsid w:val="00142AB0"/>
    <w:rsid w:val="00142ADE"/>
    <w:rsid w:val="00142B4F"/>
    <w:rsid w:val="00142BCF"/>
    <w:rsid w:val="00142C6E"/>
    <w:rsid w:val="001432A0"/>
    <w:rsid w:val="001434DD"/>
    <w:rsid w:val="001438BE"/>
    <w:rsid w:val="00143DDB"/>
    <w:rsid w:val="00143F96"/>
    <w:rsid w:val="00143FA8"/>
    <w:rsid w:val="00144167"/>
    <w:rsid w:val="001441F4"/>
    <w:rsid w:val="001444B6"/>
    <w:rsid w:val="001446B8"/>
    <w:rsid w:val="001446E8"/>
    <w:rsid w:val="001448D1"/>
    <w:rsid w:val="001449DE"/>
    <w:rsid w:val="001449EA"/>
    <w:rsid w:val="00144A9A"/>
    <w:rsid w:val="00144A9F"/>
    <w:rsid w:val="00144ABE"/>
    <w:rsid w:val="00144AFB"/>
    <w:rsid w:val="00144B9A"/>
    <w:rsid w:val="00144C3B"/>
    <w:rsid w:val="00144D48"/>
    <w:rsid w:val="00144E9B"/>
    <w:rsid w:val="00144F25"/>
    <w:rsid w:val="00144F2A"/>
    <w:rsid w:val="00145042"/>
    <w:rsid w:val="00145524"/>
    <w:rsid w:val="00145914"/>
    <w:rsid w:val="00145D87"/>
    <w:rsid w:val="0014647B"/>
    <w:rsid w:val="001464B9"/>
    <w:rsid w:val="0014650C"/>
    <w:rsid w:val="00146936"/>
    <w:rsid w:val="001469EB"/>
    <w:rsid w:val="00146A55"/>
    <w:rsid w:val="00146C6E"/>
    <w:rsid w:val="00146F51"/>
    <w:rsid w:val="0014724D"/>
    <w:rsid w:val="001473FD"/>
    <w:rsid w:val="00147708"/>
    <w:rsid w:val="00147832"/>
    <w:rsid w:val="00147BC0"/>
    <w:rsid w:val="00147D2D"/>
    <w:rsid w:val="00147E4F"/>
    <w:rsid w:val="00147F33"/>
    <w:rsid w:val="00147FD4"/>
    <w:rsid w:val="00150040"/>
    <w:rsid w:val="00150295"/>
    <w:rsid w:val="00150497"/>
    <w:rsid w:val="0015052A"/>
    <w:rsid w:val="0015062A"/>
    <w:rsid w:val="00150747"/>
    <w:rsid w:val="001508DB"/>
    <w:rsid w:val="00150996"/>
    <w:rsid w:val="00150A22"/>
    <w:rsid w:val="00150A4D"/>
    <w:rsid w:val="00150A50"/>
    <w:rsid w:val="00150C0A"/>
    <w:rsid w:val="00150E33"/>
    <w:rsid w:val="00151005"/>
    <w:rsid w:val="00151016"/>
    <w:rsid w:val="00151073"/>
    <w:rsid w:val="00151A3E"/>
    <w:rsid w:val="00151ACA"/>
    <w:rsid w:val="00151BF6"/>
    <w:rsid w:val="00151DB3"/>
    <w:rsid w:val="00151F2D"/>
    <w:rsid w:val="00152152"/>
    <w:rsid w:val="001522FE"/>
    <w:rsid w:val="00152840"/>
    <w:rsid w:val="001528F2"/>
    <w:rsid w:val="00152951"/>
    <w:rsid w:val="001529A4"/>
    <w:rsid w:val="001529E8"/>
    <w:rsid w:val="00152A6A"/>
    <w:rsid w:val="00152B68"/>
    <w:rsid w:val="00152F45"/>
    <w:rsid w:val="00153202"/>
    <w:rsid w:val="00153646"/>
    <w:rsid w:val="00153851"/>
    <w:rsid w:val="00153894"/>
    <w:rsid w:val="00153C4B"/>
    <w:rsid w:val="00153C84"/>
    <w:rsid w:val="00153CC9"/>
    <w:rsid w:val="00153CD0"/>
    <w:rsid w:val="00153E3D"/>
    <w:rsid w:val="00153EE3"/>
    <w:rsid w:val="00153EF9"/>
    <w:rsid w:val="0015400F"/>
    <w:rsid w:val="001541BC"/>
    <w:rsid w:val="001542FA"/>
    <w:rsid w:val="001544B1"/>
    <w:rsid w:val="0015469D"/>
    <w:rsid w:val="001547B7"/>
    <w:rsid w:val="001548E3"/>
    <w:rsid w:val="00154967"/>
    <w:rsid w:val="00154F65"/>
    <w:rsid w:val="00155875"/>
    <w:rsid w:val="00155A2F"/>
    <w:rsid w:val="00155E5C"/>
    <w:rsid w:val="00155ECD"/>
    <w:rsid w:val="00155EE7"/>
    <w:rsid w:val="00155FB5"/>
    <w:rsid w:val="001560B0"/>
    <w:rsid w:val="00156314"/>
    <w:rsid w:val="00156503"/>
    <w:rsid w:val="0015674B"/>
    <w:rsid w:val="001567A8"/>
    <w:rsid w:val="00156833"/>
    <w:rsid w:val="001568EC"/>
    <w:rsid w:val="001569F3"/>
    <w:rsid w:val="00156E1F"/>
    <w:rsid w:val="00156F27"/>
    <w:rsid w:val="001572C6"/>
    <w:rsid w:val="001573C9"/>
    <w:rsid w:val="00157442"/>
    <w:rsid w:val="0015759D"/>
    <w:rsid w:val="00157712"/>
    <w:rsid w:val="001577D7"/>
    <w:rsid w:val="00157816"/>
    <w:rsid w:val="0015785D"/>
    <w:rsid w:val="00157C80"/>
    <w:rsid w:val="00157CAA"/>
    <w:rsid w:val="00157D0A"/>
    <w:rsid w:val="00157DFB"/>
    <w:rsid w:val="00157E7C"/>
    <w:rsid w:val="00157F7D"/>
    <w:rsid w:val="001600E8"/>
    <w:rsid w:val="0016036B"/>
    <w:rsid w:val="0016039A"/>
    <w:rsid w:val="001604A4"/>
    <w:rsid w:val="00160511"/>
    <w:rsid w:val="00160814"/>
    <w:rsid w:val="001608D7"/>
    <w:rsid w:val="0016093C"/>
    <w:rsid w:val="00160B7D"/>
    <w:rsid w:val="00160C3A"/>
    <w:rsid w:val="00160E6E"/>
    <w:rsid w:val="00160F4E"/>
    <w:rsid w:val="001610C9"/>
    <w:rsid w:val="00161169"/>
    <w:rsid w:val="0016139E"/>
    <w:rsid w:val="001613FE"/>
    <w:rsid w:val="00161415"/>
    <w:rsid w:val="00161636"/>
    <w:rsid w:val="001617CF"/>
    <w:rsid w:val="0016183D"/>
    <w:rsid w:val="00161923"/>
    <w:rsid w:val="00161B18"/>
    <w:rsid w:val="00161BF1"/>
    <w:rsid w:val="00161D3B"/>
    <w:rsid w:val="001621A2"/>
    <w:rsid w:val="001624F4"/>
    <w:rsid w:val="0016269C"/>
    <w:rsid w:val="00162DB0"/>
    <w:rsid w:val="00162F6B"/>
    <w:rsid w:val="00162FC3"/>
    <w:rsid w:val="00162FC6"/>
    <w:rsid w:val="001630F0"/>
    <w:rsid w:val="00163514"/>
    <w:rsid w:val="00163592"/>
    <w:rsid w:val="00163638"/>
    <w:rsid w:val="001638CD"/>
    <w:rsid w:val="001638FF"/>
    <w:rsid w:val="00163A32"/>
    <w:rsid w:val="00163A9E"/>
    <w:rsid w:val="00163D00"/>
    <w:rsid w:val="00163EBB"/>
    <w:rsid w:val="0016403C"/>
    <w:rsid w:val="001641C3"/>
    <w:rsid w:val="0016428D"/>
    <w:rsid w:val="001644F3"/>
    <w:rsid w:val="00164533"/>
    <w:rsid w:val="00164843"/>
    <w:rsid w:val="00164844"/>
    <w:rsid w:val="001648C3"/>
    <w:rsid w:val="001648D3"/>
    <w:rsid w:val="001648EA"/>
    <w:rsid w:val="00164982"/>
    <w:rsid w:val="00164AC3"/>
    <w:rsid w:val="00164E74"/>
    <w:rsid w:val="00164E78"/>
    <w:rsid w:val="00164EE3"/>
    <w:rsid w:val="00165080"/>
    <w:rsid w:val="0016524E"/>
    <w:rsid w:val="00165406"/>
    <w:rsid w:val="0016543D"/>
    <w:rsid w:val="001654F8"/>
    <w:rsid w:val="00165786"/>
    <w:rsid w:val="0016584F"/>
    <w:rsid w:val="00165853"/>
    <w:rsid w:val="0016588E"/>
    <w:rsid w:val="00165D4F"/>
    <w:rsid w:val="00165EA3"/>
    <w:rsid w:val="00166032"/>
    <w:rsid w:val="001660AA"/>
    <w:rsid w:val="00166150"/>
    <w:rsid w:val="00166386"/>
    <w:rsid w:val="0016644A"/>
    <w:rsid w:val="0016666B"/>
    <w:rsid w:val="0016693E"/>
    <w:rsid w:val="0016699A"/>
    <w:rsid w:val="00166A08"/>
    <w:rsid w:val="00166A5F"/>
    <w:rsid w:val="00166ACD"/>
    <w:rsid w:val="00166C55"/>
    <w:rsid w:val="00167048"/>
    <w:rsid w:val="00167162"/>
    <w:rsid w:val="00167205"/>
    <w:rsid w:val="001674C3"/>
    <w:rsid w:val="0016771A"/>
    <w:rsid w:val="0016773D"/>
    <w:rsid w:val="00167969"/>
    <w:rsid w:val="00167BEB"/>
    <w:rsid w:val="00167D71"/>
    <w:rsid w:val="00167F73"/>
    <w:rsid w:val="00170184"/>
    <w:rsid w:val="00170390"/>
    <w:rsid w:val="0017087D"/>
    <w:rsid w:val="00170AD3"/>
    <w:rsid w:val="00171019"/>
    <w:rsid w:val="00171056"/>
    <w:rsid w:val="00171220"/>
    <w:rsid w:val="00171277"/>
    <w:rsid w:val="0017174A"/>
    <w:rsid w:val="001717EF"/>
    <w:rsid w:val="00171801"/>
    <w:rsid w:val="001718C7"/>
    <w:rsid w:val="00171955"/>
    <w:rsid w:val="00171ABC"/>
    <w:rsid w:val="00171B79"/>
    <w:rsid w:val="00171DAA"/>
    <w:rsid w:val="00171EC4"/>
    <w:rsid w:val="001721DB"/>
    <w:rsid w:val="0017279F"/>
    <w:rsid w:val="001728B1"/>
    <w:rsid w:val="00172A0E"/>
    <w:rsid w:val="00172A2A"/>
    <w:rsid w:val="00172B40"/>
    <w:rsid w:val="00172BEB"/>
    <w:rsid w:val="00173174"/>
    <w:rsid w:val="00173198"/>
    <w:rsid w:val="00173239"/>
    <w:rsid w:val="00173300"/>
    <w:rsid w:val="00173735"/>
    <w:rsid w:val="001737B4"/>
    <w:rsid w:val="0017384A"/>
    <w:rsid w:val="00173975"/>
    <w:rsid w:val="00173B4E"/>
    <w:rsid w:val="00173BC1"/>
    <w:rsid w:val="00173BC6"/>
    <w:rsid w:val="00173D21"/>
    <w:rsid w:val="00173D52"/>
    <w:rsid w:val="00173FAA"/>
    <w:rsid w:val="00174057"/>
    <w:rsid w:val="001740CC"/>
    <w:rsid w:val="001743A5"/>
    <w:rsid w:val="001744D3"/>
    <w:rsid w:val="00174604"/>
    <w:rsid w:val="00174AD5"/>
    <w:rsid w:val="00174B61"/>
    <w:rsid w:val="00174E10"/>
    <w:rsid w:val="00174EAD"/>
    <w:rsid w:val="001751F2"/>
    <w:rsid w:val="001754FD"/>
    <w:rsid w:val="001755C2"/>
    <w:rsid w:val="00175640"/>
    <w:rsid w:val="001757B8"/>
    <w:rsid w:val="00175A3A"/>
    <w:rsid w:val="00175AA6"/>
    <w:rsid w:val="00175C84"/>
    <w:rsid w:val="00175D4D"/>
    <w:rsid w:val="00175D5E"/>
    <w:rsid w:val="00176251"/>
    <w:rsid w:val="00176343"/>
    <w:rsid w:val="00176509"/>
    <w:rsid w:val="00176576"/>
    <w:rsid w:val="00176765"/>
    <w:rsid w:val="001767B0"/>
    <w:rsid w:val="001767F2"/>
    <w:rsid w:val="0017692D"/>
    <w:rsid w:val="00176A75"/>
    <w:rsid w:val="00176AC4"/>
    <w:rsid w:val="00176AF5"/>
    <w:rsid w:val="00176B8F"/>
    <w:rsid w:val="00176E55"/>
    <w:rsid w:val="00176ECD"/>
    <w:rsid w:val="00176F39"/>
    <w:rsid w:val="00177030"/>
    <w:rsid w:val="001770CF"/>
    <w:rsid w:val="001771CD"/>
    <w:rsid w:val="0017751E"/>
    <w:rsid w:val="00177525"/>
    <w:rsid w:val="0017753A"/>
    <w:rsid w:val="0017764B"/>
    <w:rsid w:val="00177A04"/>
    <w:rsid w:val="00177A12"/>
    <w:rsid w:val="00177C91"/>
    <w:rsid w:val="00180309"/>
    <w:rsid w:val="00180512"/>
    <w:rsid w:val="001805B8"/>
    <w:rsid w:val="001807A4"/>
    <w:rsid w:val="00180B7C"/>
    <w:rsid w:val="00180C38"/>
    <w:rsid w:val="00180D9A"/>
    <w:rsid w:val="00180EDA"/>
    <w:rsid w:val="0018103F"/>
    <w:rsid w:val="001810CD"/>
    <w:rsid w:val="001813F4"/>
    <w:rsid w:val="001816B1"/>
    <w:rsid w:val="001818D4"/>
    <w:rsid w:val="00181E0B"/>
    <w:rsid w:val="00181EF2"/>
    <w:rsid w:val="00181F70"/>
    <w:rsid w:val="00181FA1"/>
    <w:rsid w:val="0018214D"/>
    <w:rsid w:val="001823E9"/>
    <w:rsid w:val="00182614"/>
    <w:rsid w:val="0018271B"/>
    <w:rsid w:val="001829CE"/>
    <w:rsid w:val="00182A5B"/>
    <w:rsid w:val="00182BF5"/>
    <w:rsid w:val="00182D9C"/>
    <w:rsid w:val="00182EF7"/>
    <w:rsid w:val="00182FED"/>
    <w:rsid w:val="001830A1"/>
    <w:rsid w:val="001831BD"/>
    <w:rsid w:val="0018338F"/>
    <w:rsid w:val="001834C1"/>
    <w:rsid w:val="0018369A"/>
    <w:rsid w:val="001837D0"/>
    <w:rsid w:val="00183961"/>
    <w:rsid w:val="00183A4C"/>
    <w:rsid w:val="00183A67"/>
    <w:rsid w:val="00183BB7"/>
    <w:rsid w:val="00183BE8"/>
    <w:rsid w:val="00183C04"/>
    <w:rsid w:val="0018430A"/>
    <w:rsid w:val="0018444A"/>
    <w:rsid w:val="001845D1"/>
    <w:rsid w:val="001846F8"/>
    <w:rsid w:val="0018499A"/>
    <w:rsid w:val="00184DF1"/>
    <w:rsid w:val="00184EE6"/>
    <w:rsid w:val="00184F61"/>
    <w:rsid w:val="00185259"/>
    <w:rsid w:val="001853DF"/>
    <w:rsid w:val="001854D8"/>
    <w:rsid w:val="00185887"/>
    <w:rsid w:val="00185BE6"/>
    <w:rsid w:val="00185DA2"/>
    <w:rsid w:val="00186013"/>
    <w:rsid w:val="00186018"/>
    <w:rsid w:val="001860C4"/>
    <w:rsid w:val="00186253"/>
    <w:rsid w:val="0018652F"/>
    <w:rsid w:val="00186854"/>
    <w:rsid w:val="00186CE0"/>
    <w:rsid w:val="0018706E"/>
    <w:rsid w:val="00187312"/>
    <w:rsid w:val="0018735C"/>
    <w:rsid w:val="001876E2"/>
    <w:rsid w:val="00187986"/>
    <w:rsid w:val="00187A19"/>
    <w:rsid w:val="00187A7D"/>
    <w:rsid w:val="00187BF7"/>
    <w:rsid w:val="00187DF8"/>
    <w:rsid w:val="00187FAA"/>
    <w:rsid w:val="00190119"/>
    <w:rsid w:val="00190248"/>
    <w:rsid w:val="001902A9"/>
    <w:rsid w:val="001902DB"/>
    <w:rsid w:val="00190382"/>
    <w:rsid w:val="00190597"/>
    <w:rsid w:val="00190685"/>
    <w:rsid w:val="001907C1"/>
    <w:rsid w:val="00190947"/>
    <w:rsid w:val="00190B8E"/>
    <w:rsid w:val="00190C73"/>
    <w:rsid w:val="00190D59"/>
    <w:rsid w:val="00190DC7"/>
    <w:rsid w:val="0019108C"/>
    <w:rsid w:val="001910F0"/>
    <w:rsid w:val="001911BA"/>
    <w:rsid w:val="001914FF"/>
    <w:rsid w:val="001918AF"/>
    <w:rsid w:val="00191A96"/>
    <w:rsid w:val="00191AAB"/>
    <w:rsid w:val="00191CE9"/>
    <w:rsid w:val="00191E9B"/>
    <w:rsid w:val="0019202D"/>
    <w:rsid w:val="0019233B"/>
    <w:rsid w:val="00192576"/>
    <w:rsid w:val="00192696"/>
    <w:rsid w:val="00192A0F"/>
    <w:rsid w:val="00192B0B"/>
    <w:rsid w:val="00192C7E"/>
    <w:rsid w:val="00192E66"/>
    <w:rsid w:val="0019305D"/>
    <w:rsid w:val="0019325B"/>
    <w:rsid w:val="001933CE"/>
    <w:rsid w:val="0019380B"/>
    <w:rsid w:val="00193949"/>
    <w:rsid w:val="00193DE6"/>
    <w:rsid w:val="00194115"/>
    <w:rsid w:val="0019439A"/>
    <w:rsid w:val="00194418"/>
    <w:rsid w:val="0019443D"/>
    <w:rsid w:val="00194697"/>
    <w:rsid w:val="001947ED"/>
    <w:rsid w:val="00194854"/>
    <w:rsid w:val="00194A21"/>
    <w:rsid w:val="00194B1B"/>
    <w:rsid w:val="00194BFD"/>
    <w:rsid w:val="00194DD1"/>
    <w:rsid w:val="00195186"/>
    <w:rsid w:val="001952E7"/>
    <w:rsid w:val="0019536D"/>
    <w:rsid w:val="00195522"/>
    <w:rsid w:val="00195B62"/>
    <w:rsid w:val="001963CE"/>
    <w:rsid w:val="0019674C"/>
    <w:rsid w:val="00196852"/>
    <w:rsid w:val="001968CD"/>
    <w:rsid w:val="001968DF"/>
    <w:rsid w:val="001969EF"/>
    <w:rsid w:val="00196A71"/>
    <w:rsid w:val="00196BF3"/>
    <w:rsid w:val="00196F13"/>
    <w:rsid w:val="001972A4"/>
    <w:rsid w:val="001972FE"/>
    <w:rsid w:val="001978B1"/>
    <w:rsid w:val="001979A9"/>
    <w:rsid w:val="00197CDD"/>
    <w:rsid w:val="00197DDB"/>
    <w:rsid w:val="00197E20"/>
    <w:rsid w:val="00197E82"/>
    <w:rsid w:val="00197F54"/>
    <w:rsid w:val="001A013A"/>
    <w:rsid w:val="001A0422"/>
    <w:rsid w:val="001A05A4"/>
    <w:rsid w:val="001A072C"/>
    <w:rsid w:val="001A09C4"/>
    <w:rsid w:val="001A0A19"/>
    <w:rsid w:val="001A0F33"/>
    <w:rsid w:val="001A1050"/>
    <w:rsid w:val="001A10B5"/>
    <w:rsid w:val="001A1138"/>
    <w:rsid w:val="001A11B1"/>
    <w:rsid w:val="001A12A0"/>
    <w:rsid w:val="001A1373"/>
    <w:rsid w:val="001A1417"/>
    <w:rsid w:val="001A195B"/>
    <w:rsid w:val="001A19C5"/>
    <w:rsid w:val="001A1AC8"/>
    <w:rsid w:val="001A1ECF"/>
    <w:rsid w:val="001A2208"/>
    <w:rsid w:val="001A24A8"/>
    <w:rsid w:val="001A28F2"/>
    <w:rsid w:val="001A2945"/>
    <w:rsid w:val="001A2A58"/>
    <w:rsid w:val="001A3043"/>
    <w:rsid w:val="001A335B"/>
    <w:rsid w:val="001A335E"/>
    <w:rsid w:val="001A3377"/>
    <w:rsid w:val="001A37C9"/>
    <w:rsid w:val="001A3868"/>
    <w:rsid w:val="001A3916"/>
    <w:rsid w:val="001A3B99"/>
    <w:rsid w:val="001A3CCD"/>
    <w:rsid w:val="001A3F4B"/>
    <w:rsid w:val="001A40E3"/>
    <w:rsid w:val="001A41AA"/>
    <w:rsid w:val="001A42AB"/>
    <w:rsid w:val="001A450E"/>
    <w:rsid w:val="001A459C"/>
    <w:rsid w:val="001A460B"/>
    <w:rsid w:val="001A4722"/>
    <w:rsid w:val="001A47DE"/>
    <w:rsid w:val="001A4D01"/>
    <w:rsid w:val="001A4D44"/>
    <w:rsid w:val="001A4FD9"/>
    <w:rsid w:val="001A501C"/>
    <w:rsid w:val="001A5185"/>
    <w:rsid w:val="001A5227"/>
    <w:rsid w:val="001A5257"/>
    <w:rsid w:val="001A5286"/>
    <w:rsid w:val="001A571E"/>
    <w:rsid w:val="001A57B4"/>
    <w:rsid w:val="001A57CB"/>
    <w:rsid w:val="001A596D"/>
    <w:rsid w:val="001A5991"/>
    <w:rsid w:val="001A59F0"/>
    <w:rsid w:val="001A5A7D"/>
    <w:rsid w:val="001A5EDB"/>
    <w:rsid w:val="001A5F7B"/>
    <w:rsid w:val="001A6107"/>
    <w:rsid w:val="001A64DC"/>
    <w:rsid w:val="001A65D0"/>
    <w:rsid w:val="001A673E"/>
    <w:rsid w:val="001A6747"/>
    <w:rsid w:val="001A676C"/>
    <w:rsid w:val="001A6C58"/>
    <w:rsid w:val="001A6C73"/>
    <w:rsid w:val="001A6E43"/>
    <w:rsid w:val="001A6F13"/>
    <w:rsid w:val="001A6FBF"/>
    <w:rsid w:val="001A764A"/>
    <w:rsid w:val="001A7A52"/>
    <w:rsid w:val="001A7A9C"/>
    <w:rsid w:val="001A7E21"/>
    <w:rsid w:val="001B04E2"/>
    <w:rsid w:val="001B0502"/>
    <w:rsid w:val="001B0528"/>
    <w:rsid w:val="001B05A6"/>
    <w:rsid w:val="001B0779"/>
    <w:rsid w:val="001B082F"/>
    <w:rsid w:val="001B089B"/>
    <w:rsid w:val="001B0B66"/>
    <w:rsid w:val="001B0C7A"/>
    <w:rsid w:val="001B0ECB"/>
    <w:rsid w:val="001B0EFF"/>
    <w:rsid w:val="001B109E"/>
    <w:rsid w:val="001B10BD"/>
    <w:rsid w:val="001B11D5"/>
    <w:rsid w:val="001B13AE"/>
    <w:rsid w:val="001B153B"/>
    <w:rsid w:val="001B15DF"/>
    <w:rsid w:val="001B16E2"/>
    <w:rsid w:val="001B18EB"/>
    <w:rsid w:val="001B194F"/>
    <w:rsid w:val="001B1EA8"/>
    <w:rsid w:val="001B1F47"/>
    <w:rsid w:val="001B1FA5"/>
    <w:rsid w:val="001B2598"/>
    <w:rsid w:val="001B2638"/>
    <w:rsid w:val="001B282D"/>
    <w:rsid w:val="001B297E"/>
    <w:rsid w:val="001B2BB1"/>
    <w:rsid w:val="001B2FE5"/>
    <w:rsid w:val="001B30CB"/>
    <w:rsid w:val="001B3357"/>
    <w:rsid w:val="001B3408"/>
    <w:rsid w:val="001B34DA"/>
    <w:rsid w:val="001B3592"/>
    <w:rsid w:val="001B38F6"/>
    <w:rsid w:val="001B39D3"/>
    <w:rsid w:val="001B3BE6"/>
    <w:rsid w:val="001B3DDE"/>
    <w:rsid w:val="001B3DFF"/>
    <w:rsid w:val="001B3F96"/>
    <w:rsid w:val="001B417B"/>
    <w:rsid w:val="001B48C4"/>
    <w:rsid w:val="001B49D9"/>
    <w:rsid w:val="001B49DE"/>
    <w:rsid w:val="001B4B1E"/>
    <w:rsid w:val="001B4BCD"/>
    <w:rsid w:val="001B4E00"/>
    <w:rsid w:val="001B4E0F"/>
    <w:rsid w:val="001B4E8E"/>
    <w:rsid w:val="001B512D"/>
    <w:rsid w:val="001B56DF"/>
    <w:rsid w:val="001B5779"/>
    <w:rsid w:val="001B5E32"/>
    <w:rsid w:val="001B5EE1"/>
    <w:rsid w:val="001B6139"/>
    <w:rsid w:val="001B6282"/>
    <w:rsid w:val="001B6549"/>
    <w:rsid w:val="001B65A5"/>
    <w:rsid w:val="001B6648"/>
    <w:rsid w:val="001B67EC"/>
    <w:rsid w:val="001B688F"/>
    <w:rsid w:val="001B6949"/>
    <w:rsid w:val="001B6B44"/>
    <w:rsid w:val="001B6B93"/>
    <w:rsid w:val="001B6BA6"/>
    <w:rsid w:val="001B6E19"/>
    <w:rsid w:val="001B6E24"/>
    <w:rsid w:val="001B7012"/>
    <w:rsid w:val="001B7019"/>
    <w:rsid w:val="001B773B"/>
    <w:rsid w:val="001B7A26"/>
    <w:rsid w:val="001B7AAC"/>
    <w:rsid w:val="001B7B93"/>
    <w:rsid w:val="001B7BB2"/>
    <w:rsid w:val="001B7CAB"/>
    <w:rsid w:val="001B7CF9"/>
    <w:rsid w:val="001B7E15"/>
    <w:rsid w:val="001C0122"/>
    <w:rsid w:val="001C045E"/>
    <w:rsid w:val="001C0724"/>
    <w:rsid w:val="001C074F"/>
    <w:rsid w:val="001C07AF"/>
    <w:rsid w:val="001C085C"/>
    <w:rsid w:val="001C0AAB"/>
    <w:rsid w:val="001C0BF4"/>
    <w:rsid w:val="001C0E82"/>
    <w:rsid w:val="001C0EBD"/>
    <w:rsid w:val="001C0F64"/>
    <w:rsid w:val="001C0FAD"/>
    <w:rsid w:val="001C159B"/>
    <w:rsid w:val="001C16ED"/>
    <w:rsid w:val="001C18E7"/>
    <w:rsid w:val="001C1A19"/>
    <w:rsid w:val="001C1B4E"/>
    <w:rsid w:val="001C1C0B"/>
    <w:rsid w:val="001C1D45"/>
    <w:rsid w:val="001C218C"/>
    <w:rsid w:val="001C2662"/>
    <w:rsid w:val="001C26A2"/>
    <w:rsid w:val="001C270F"/>
    <w:rsid w:val="001C28DF"/>
    <w:rsid w:val="001C29B2"/>
    <w:rsid w:val="001C2C98"/>
    <w:rsid w:val="001C2CA9"/>
    <w:rsid w:val="001C2D31"/>
    <w:rsid w:val="001C320E"/>
    <w:rsid w:val="001C349E"/>
    <w:rsid w:val="001C34A5"/>
    <w:rsid w:val="001C353D"/>
    <w:rsid w:val="001C39A9"/>
    <w:rsid w:val="001C39D9"/>
    <w:rsid w:val="001C3EC8"/>
    <w:rsid w:val="001C40D0"/>
    <w:rsid w:val="001C41F2"/>
    <w:rsid w:val="001C42D0"/>
    <w:rsid w:val="001C4389"/>
    <w:rsid w:val="001C43D4"/>
    <w:rsid w:val="001C453C"/>
    <w:rsid w:val="001C4742"/>
    <w:rsid w:val="001C4941"/>
    <w:rsid w:val="001C4A20"/>
    <w:rsid w:val="001C4A22"/>
    <w:rsid w:val="001C4BBB"/>
    <w:rsid w:val="001C4C88"/>
    <w:rsid w:val="001C4E0F"/>
    <w:rsid w:val="001C4F6E"/>
    <w:rsid w:val="001C5072"/>
    <w:rsid w:val="001C51B2"/>
    <w:rsid w:val="001C5B7A"/>
    <w:rsid w:val="001C5C9A"/>
    <w:rsid w:val="001C5D70"/>
    <w:rsid w:val="001C6153"/>
    <w:rsid w:val="001C62A4"/>
    <w:rsid w:val="001C642E"/>
    <w:rsid w:val="001C647E"/>
    <w:rsid w:val="001C67B6"/>
    <w:rsid w:val="001C682B"/>
    <w:rsid w:val="001C68E2"/>
    <w:rsid w:val="001C6CD8"/>
    <w:rsid w:val="001C6E26"/>
    <w:rsid w:val="001C6FB4"/>
    <w:rsid w:val="001C752B"/>
    <w:rsid w:val="001C776D"/>
    <w:rsid w:val="001C7CBB"/>
    <w:rsid w:val="001C7F37"/>
    <w:rsid w:val="001D0173"/>
    <w:rsid w:val="001D024D"/>
    <w:rsid w:val="001D0359"/>
    <w:rsid w:val="001D038F"/>
    <w:rsid w:val="001D03BF"/>
    <w:rsid w:val="001D051B"/>
    <w:rsid w:val="001D0B28"/>
    <w:rsid w:val="001D0F75"/>
    <w:rsid w:val="001D10ED"/>
    <w:rsid w:val="001D1243"/>
    <w:rsid w:val="001D1362"/>
    <w:rsid w:val="001D169D"/>
    <w:rsid w:val="001D1794"/>
    <w:rsid w:val="001D1C7A"/>
    <w:rsid w:val="001D1DFB"/>
    <w:rsid w:val="001D1E20"/>
    <w:rsid w:val="001D230C"/>
    <w:rsid w:val="001D235F"/>
    <w:rsid w:val="001D2513"/>
    <w:rsid w:val="001D2618"/>
    <w:rsid w:val="001D26A4"/>
    <w:rsid w:val="001D2979"/>
    <w:rsid w:val="001D29B0"/>
    <w:rsid w:val="001D2ABE"/>
    <w:rsid w:val="001D2B91"/>
    <w:rsid w:val="001D323C"/>
    <w:rsid w:val="001D340B"/>
    <w:rsid w:val="001D358F"/>
    <w:rsid w:val="001D36B3"/>
    <w:rsid w:val="001D38BA"/>
    <w:rsid w:val="001D4292"/>
    <w:rsid w:val="001D42BF"/>
    <w:rsid w:val="001D44FB"/>
    <w:rsid w:val="001D492B"/>
    <w:rsid w:val="001D4C75"/>
    <w:rsid w:val="001D4D36"/>
    <w:rsid w:val="001D4D5E"/>
    <w:rsid w:val="001D4DAE"/>
    <w:rsid w:val="001D4F56"/>
    <w:rsid w:val="001D5031"/>
    <w:rsid w:val="001D50B5"/>
    <w:rsid w:val="001D50D8"/>
    <w:rsid w:val="001D50FE"/>
    <w:rsid w:val="001D52BB"/>
    <w:rsid w:val="001D5309"/>
    <w:rsid w:val="001D58B3"/>
    <w:rsid w:val="001D59FE"/>
    <w:rsid w:val="001D5AD4"/>
    <w:rsid w:val="001D5D17"/>
    <w:rsid w:val="001D5EA2"/>
    <w:rsid w:val="001D6155"/>
    <w:rsid w:val="001D6199"/>
    <w:rsid w:val="001D64EB"/>
    <w:rsid w:val="001D6585"/>
    <w:rsid w:val="001D6879"/>
    <w:rsid w:val="001D68C2"/>
    <w:rsid w:val="001D6B43"/>
    <w:rsid w:val="001D6BFB"/>
    <w:rsid w:val="001D6E0E"/>
    <w:rsid w:val="001D6F0A"/>
    <w:rsid w:val="001D6F94"/>
    <w:rsid w:val="001D7274"/>
    <w:rsid w:val="001D746F"/>
    <w:rsid w:val="001D74C5"/>
    <w:rsid w:val="001D7604"/>
    <w:rsid w:val="001D766C"/>
    <w:rsid w:val="001D7739"/>
    <w:rsid w:val="001D77DB"/>
    <w:rsid w:val="001D78F9"/>
    <w:rsid w:val="001D7B52"/>
    <w:rsid w:val="001D7F3B"/>
    <w:rsid w:val="001E006C"/>
    <w:rsid w:val="001E0601"/>
    <w:rsid w:val="001E080B"/>
    <w:rsid w:val="001E0840"/>
    <w:rsid w:val="001E0CE8"/>
    <w:rsid w:val="001E0FBE"/>
    <w:rsid w:val="001E10CC"/>
    <w:rsid w:val="001E11FE"/>
    <w:rsid w:val="001E14FE"/>
    <w:rsid w:val="001E1A6F"/>
    <w:rsid w:val="001E1B6F"/>
    <w:rsid w:val="001E1DE2"/>
    <w:rsid w:val="001E1FBD"/>
    <w:rsid w:val="001E24D5"/>
    <w:rsid w:val="001E2629"/>
    <w:rsid w:val="001E2A24"/>
    <w:rsid w:val="001E2BB7"/>
    <w:rsid w:val="001E2CDD"/>
    <w:rsid w:val="001E3498"/>
    <w:rsid w:val="001E3586"/>
    <w:rsid w:val="001E3608"/>
    <w:rsid w:val="001E3A2C"/>
    <w:rsid w:val="001E3B41"/>
    <w:rsid w:val="001E3B46"/>
    <w:rsid w:val="001E3B87"/>
    <w:rsid w:val="001E3BA6"/>
    <w:rsid w:val="001E3E08"/>
    <w:rsid w:val="001E3F49"/>
    <w:rsid w:val="001E3FFB"/>
    <w:rsid w:val="001E4011"/>
    <w:rsid w:val="001E41AC"/>
    <w:rsid w:val="001E43A8"/>
    <w:rsid w:val="001E447B"/>
    <w:rsid w:val="001E44DA"/>
    <w:rsid w:val="001E4694"/>
    <w:rsid w:val="001E4877"/>
    <w:rsid w:val="001E4954"/>
    <w:rsid w:val="001E4A02"/>
    <w:rsid w:val="001E4CF7"/>
    <w:rsid w:val="001E4E9A"/>
    <w:rsid w:val="001E4EC8"/>
    <w:rsid w:val="001E4EEA"/>
    <w:rsid w:val="001E4F40"/>
    <w:rsid w:val="001E4F75"/>
    <w:rsid w:val="001E511A"/>
    <w:rsid w:val="001E51E9"/>
    <w:rsid w:val="001E53F4"/>
    <w:rsid w:val="001E544D"/>
    <w:rsid w:val="001E54E3"/>
    <w:rsid w:val="001E5785"/>
    <w:rsid w:val="001E5B0D"/>
    <w:rsid w:val="001E5F39"/>
    <w:rsid w:val="001E603E"/>
    <w:rsid w:val="001E60C7"/>
    <w:rsid w:val="001E6157"/>
    <w:rsid w:val="001E627B"/>
    <w:rsid w:val="001E62DB"/>
    <w:rsid w:val="001E6906"/>
    <w:rsid w:val="001E69FB"/>
    <w:rsid w:val="001E6B5F"/>
    <w:rsid w:val="001E6B7C"/>
    <w:rsid w:val="001E6DDD"/>
    <w:rsid w:val="001E6EA3"/>
    <w:rsid w:val="001E70D8"/>
    <w:rsid w:val="001E7196"/>
    <w:rsid w:val="001E71A1"/>
    <w:rsid w:val="001E7250"/>
    <w:rsid w:val="001E7461"/>
    <w:rsid w:val="001E7618"/>
    <w:rsid w:val="001E767A"/>
    <w:rsid w:val="001E77A9"/>
    <w:rsid w:val="001E77F6"/>
    <w:rsid w:val="001E7A17"/>
    <w:rsid w:val="001E7BB6"/>
    <w:rsid w:val="001E7C7E"/>
    <w:rsid w:val="001E7DF5"/>
    <w:rsid w:val="001E7E7B"/>
    <w:rsid w:val="001E7E84"/>
    <w:rsid w:val="001F007B"/>
    <w:rsid w:val="001F00E3"/>
    <w:rsid w:val="001F025B"/>
    <w:rsid w:val="001F04D7"/>
    <w:rsid w:val="001F05D7"/>
    <w:rsid w:val="001F0608"/>
    <w:rsid w:val="001F0614"/>
    <w:rsid w:val="001F0B64"/>
    <w:rsid w:val="001F0C80"/>
    <w:rsid w:val="001F0D61"/>
    <w:rsid w:val="001F0F48"/>
    <w:rsid w:val="001F1028"/>
    <w:rsid w:val="001F1063"/>
    <w:rsid w:val="001F10A6"/>
    <w:rsid w:val="001F116C"/>
    <w:rsid w:val="001F1263"/>
    <w:rsid w:val="001F1278"/>
    <w:rsid w:val="001F1662"/>
    <w:rsid w:val="001F169A"/>
    <w:rsid w:val="001F17CC"/>
    <w:rsid w:val="001F190A"/>
    <w:rsid w:val="001F206F"/>
    <w:rsid w:val="001F2722"/>
    <w:rsid w:val="001F279E"/>
    <w:rsid w:val="001F2927"/>
    <w:rsid w:val="001F29D8"/>
    <w:rsid w:val="001F2C34"/>
    <w:rsid w:val="001F2D58"/>
    <w:rsid w:val="001F2FBC"/>
    <w:rsid w:val="001F3043"/>
    <w:rsid w:val="001F30AA"/>
    <w:rsid w:val="001F31A8"/>
    <w:rsid w:val="001F3349"/>
    <w:rsid w:val="001F337E"/>
    <w:rsid w:val="001F33A2"/>
    <w:rsid w:val="001F34C6"/>
    <w:rsid w:val="001F3529"/>
    <w:rsid w:val="001F3603"/>
    <w:rsid w:val="001F3834"/>
    <w:rsid w:val="001F388A"/>
    <w:rsid w:val="001F3ADE"/>
    <w:rsid w:val="001F3D2E"/>
    <w:rsid w:val="001F3D59"/>
    <w:rsid w:val="001F3D69"/>
    <w:rsid w:val="001F4049"/>
    <w:rsid w:val="001F4059"/>
    <w:rsid w:val="001F4120"/>
    <w:rsid w:val="001F439C"/>
    <w:rsid w:val="001F453F"/>
    <w:rsid w:val="001F47AB"/>
    <w:rsid w:val="001F4825"/>
    <w:rsid w:val="001F4AD6"/>
    <w:rsid w:val="001F4E4C"/>
    <w:rsid w:val="001F5093"/>
    <w:rsid w:val="001F5150"/>
    <w:rsid w:val="001F52BC"/>
    <w:rsid w:val="001F5395"/>
    <w:rsid w:val="001F54FE"/>
    <w:rsid w:val="001F556A"/>
    <w:rsid w:val="001F55FA"/>
    <w:rsid w:val="001F5655"/>
    <w:rsid w:val="001F5731"/>
    <w:rsid w:val="001F5879"/>
    <w:rsid w:val="001F58B4"/>
    <w:rsid w:val="001F59B6"/>
    <w:rsid w:val="001F5B1E"/>
    <w:rsid w:val="001F5C0E"/>
    <w:rsid w:val="001F5C36"/>
    <w:rsid w:val="001F5C68"/>
    <w:rsid w:val="001F5D50"/>
    <w:rsid w:val="001F5E2F"/>
    <w:rsid w:val="001F5E49"/>
    <w:rsid w:val="001F5F29"/>
    <w:rsid w:val="001F6447"/>
    <w:rsid w:val="001F6A1B"/>
    <w:rsid w:val="001F6AA4"/>
    <w:rsid w:val="001F6BD4"/>
    <w:rsid w:val="001F6BF0"/>
    <w:rsid w:val="001F6F7E"/>
    <w:rsid w:val="001F718F"/>
    <w:rsid w:val="001F78A0"/>
    <w:rsid w:val="001F7BBE"/>
    <w:rsid w:val="001F7C2A"/>
    <w:rsid w:val="001F7CDE"/>
    <w:rsid w:val="001F7ECA"/>
    <w:rsid w:val="001F7FD5"/>
    <w:rsid w:val="00200032"/>
    <w:rsid w:val="00200093"/>
    <w:rsid w:val="002002E2"/>
    <w:rsid w:val="00200372"/>
    <w:rsid w:val="00200684"/>
    <w:rsid w:val="002006C1"/>
    <w:rsid w:val="00200A18"/>
    <w:rsid w:val="00200ABA"/>
    <w:rsid w:val="00200C77"/>
    <w:rsid w:val="00200D11"/>
    <w:rsid w:val="00200E83"/>
    <w:rsid w:val="00201329"/>
    <w:rsid w:val="00201493"/>
    <w:rsid w:val="00201518"/>
    <w:rsid w:val="0020184D"/>
    <w:rsid w:val="002019C0"/>
    <w:rsid w:val="00201C59"/>
    <w:rsid w:val="00201EAA"/>
    <w:rsid w:val="00201FFF"/>
    <w:rsid w:val="00202088"/>
    <w:rsid w:val="00202116"/>
    <w:rsid w:val="00202121"/>
    <w:rsid w:val="0020246A"/>
    <w:rsid w:val="002025F4"/>
    <w:rsid w:val="00202691"/>
    <w:rsid w:val="00202774"/>
    <w:rsid w:val="0020287F"/>
    <w:rsid w:val="0020293D"/>
    <w:rsid w:val="002029A3"/>
    <w:rsid w:val="002029C8"/>
    <w:rsid w:val="00202D16"/>
    <w:rsid w:val="00202E68"/>
    <w:rsid w:val="002033A8"/>
    <w:rsid w:val="00203519"/>
    <w:rsid w:val="00203657"/>
    <w:rsid w:val="0020369F"/>
    <w:rsid w:val="002036C7"/>
    <w:rsid w:val="0020374D"/>
    <w:rsid w:val="002039DD"/>
    <w:rsid w:val="00203B9B"/>
    <w:rsid w:val="00203BE3"/>
    <w:rsid w:val="00203C3D"/>
    <w:rsid w:val="00203D6A"/>
    <w:rsid w:val="00203EA2"/>
    <w:rsid w:val="00203F7B"/>
    <w:rsid w:val="002040F6"/>
    <w:rsid w:val="00204272"/>
    <w:rsid w:val="0020467E"/>
    <w:rsid w:val="002047C4"/>
    <w:rsid w:val="0020488A"/>
    <w:rsid w:val="002048EE"/>
    <w:rsid w:val="00204942"/>
    <w:rsid w:val="00204994"/>
    <w:rsid w:val="00204A8C"/>
    <w:rsid w:val="00204B75"/>
    <w:rsid w:val="00204F1E"/>
    <w:rsid w:val="00205017"/>
    <w:rsid w:val="00205177"/>
    <w:rsid w:val="00205189"/>
    <w:rsid w:val="0020530E"/>
    <w:rsid w:val="002055DB"/>
    <w:rsid w:val="002056CD"/>
    <w:rsid w:val="002056EE"/>
    <w:rsid w:val="0020572A"/>
    <w:rsid w:val="00205735"/>
    <w:rsid w:val="002058BB"/>
    <w:rsid w:val="002059CD"/>
    <w:rsid w:val="00205B56"/>
    <w:rsid w:val="00205B66"/>
    <w:rsid w:val="00205BA3"/>
    <w:rsid w:val="00205CD1"/>
    <w:rsid w:val="00205E14"/>
    <w:rsid w:val="0020610E"/>
    <w:rsid w:val="00206134"/>
    <w:rsid w:val="00206359"/>
    <w:rsid w:val="002063CA"/>
    <w:rsid w:val="00206440"/>
    <w:rsid w:val="002065A7"/>
    <w:rsid w:val="0020666E"/>
    <w:rsid w:val="0020668F"/>
    <w:rsid w:val="00206845"/>
    <w:rsid w:val="002069E6"/>
    <w:rsid w:val="00206D20"/>
    <w:rsid w:val="00206E14"/>
    <w:rsid w:val="00206F01"/>
    <w:rsid w:val="00207027"/>
    <w:rsid w:val="00207452"/>
    <w:rsid w:val="00207576"/>
    <w:rsid w:val="0020762F"/>
    <w:rsid w:val="00207644"/>
    <w:rsid w:val="0020765D"/>
    <w:rsid w:val="00207910"/>
    <w:rsid w:val="00207A45"/>
    <w:rsid w:val="00207A94"/>
    <w:rsid w:val="00210096"/>
    <w:rsid w:val="00210121"/>
    <w:rsid w:val="0021013F"/>
    <w:rsid w:val="002101D4"/>
    <w:rsid w:val="00210537"/>
    <w:rsid w:val="0021091E"/>
    <w:rsid w:val="00210993"/>
    <w:rsid w:val="002109F4"/>
    <w:rsid w:val="00210B1C"/>
    <w:rsid w:val="00210CE6"/>
    <w:rsid w:val="002110B8"/>
    <w:rsid w:val="002110D1"/>
    <w:rsid w:val="0021111A"/>
    <w:rsid w:val="002111D4"/>
    <w:rsid w:val="0021131E"/>
    <w:rsid w:val="002113B4"/>
    <w:rsid w:val="0021143A"/>
    <w:rsid w:val="00211443"/>
    <w:rsid w:val="0021164A"/>
    <w:rsid w:val="00211B16"/>
    <w:rsid w:val="00211DC6"/>
    <w:rsid w:val="00211ECA"/>
    <w:rsid w:val="002120AF"/>
    <w:rsid w:val="002120F8"/>
    <w:rsid w:val="0021272B"/>
    <w:rsid w:val="00212A86"/>
    <w:rsid w:val="00212DFF"/>
    <w:rsid w:val="00213588"/>
    <w:rsid w:val="002136EB"/>
    <w:rsid w:val="0021388C"/>
    <w:rsid w:val="002138D6"/>
    <w:rsid w:val="002138E1"/>
    <w:rsid w:val="0021395E"/>
    <w:rsid w:val="002139E6"/>
    <w:rsid w:val="00213F73"/>
    <w:rsid w:val="0021404C"/>
    <w:rsid w:val="00214237"/>
    <w:rsid w:val="002142C0"/>
    <w:rsid w:val="002143BC"/>
    <w:rsid w:val="00214859"/>
    <w:rsid w:val="002148B0"/>
    <w:rsid w:val="00214972"/>
    <w:rsid w:val="00214AEC"/>
    <w:rsid w:val="00214D43"/>
    <w:rsid w:val="00214E43"/>
    <w:rsid w:val="00214F84"/>
    <w:rsid w:val="002151AB"/>
    <w:rsid w:val="0021549D"/>
    <w:rsid w:val="00215586"/>
    <w:rsid w:val="00215801"/>
    <w:rsid w:val="002159C4"/>
    <w:rsid w:val="00215A55"/>
    <w:rsid w:val="00215C39"/>
    <w:rsid w:val="00215CCE"/>
    <w:rsid w:val="00215CEE"/>
    <w:rsid w:val="00215DE8"/>
    <w:rsid w:val="00215DF8"/>
    <w:rsid w:val="002161C3"/>
    <w:rsid w:val="00216272"/>
    <w:rsid w:val="002163F7"/>
    <w:rsid w:val="002164AD"/>
    <w:rsid w:val="002164B0"/>
    <w:rsid w:val="00216781"/>
    <w:rsid w:val="002169CE"/>
    <w:rsid w:val="00216A12"/>
    <w:rsid w:val="00216B8B"/>
    <w:rsid w:val="00216D2F"/>
    <w:rsid w:val="00216FE4"/>
    <w:rsid w:val="002175B0"/>
    <w:rsid w:val="002176D0"/>
    <w:rsid w:val="00217A46"/>
    <w:rsid w:val="00217D29"/>
    <w:rsid w:val="00217E6F"/>
    <w:rsid w:val="00217F12"/>
    <w:rsid w:val="00220274"/>
    <w:rsid w:val="00220353"/>
    <w:rsid w:val="0022038C"/>
    <w:rsid w:val="0022046E"/>
    <w:rsid w:val="00220552"/>
    <w:rsid w:val="00220AD3"/>
    <w:rsid w:val="00220B4A"/>
    <w:rsid w:val="00220B9F"/>
    <w:rsid w:val="00220C20"/>
    <w:rsid w:val="00220D84"/>
    <w:rsid w:val="00220DB1"/>
    <w:rsid w:val="00220EAD"/>
    <w:rsid w:val="00221110"/>
    <w:rsid w:val="0022119F"/>
    <w:rsid w:val="00221528"/>
    <w:rsid w:val="00221559"/>
    <w:rsid w:val="002216AE"/>
    <w:rsid w:val="0022172B"/>
    <w:rsid w:val="00221849"/>
    <w:rsid w:val="002218D2"/>
    <w:rsid w:val="002219CC"/>
    <w:rsid w:val="00221BC3"/>
    <w:rsid w:val="00221CC1"/>
    <w:rsid w:val="00221D7F"/>
    <w:rsid w:val="00221E9A"/>
    <w:rsid w:val="00222624"/>
    <w:rsid w:val="002226D6"/>
    <w:rsid w:val="00222994"/>
    <w:rsid w:val="00222CFC"/>
    <w:rsid w:val="00222E04"/>
    <w:rsid w:val="00222FA9"/>
    <w:rsid w:val="00223065"/>
    <w:rsid w:val="002234D9"/>
    <w:rsid w:val="00223632"/>
    <w:rsid w:val="002237DA"/>
    <w:rsid w:val="00223910"/>
    <w:rsid w:val="00223969"/>
    <w:rsid w:val="00223B38"/>
    <w:rsid w:val="00223CBB"/>
    <w:rsid w:val="00223CF1"/>
    <w:rsid w:val="00223E6E"/>
    <w:rsid w:val="00223EC0"/>
    <w:rsid w:val="00223F49"/>
    <w:rsid w:val="00224016"/>
    <w:rsid w:val="002240DE"/>
    <w:rsid w:val="0022418B"/>
    <w:rsid w:val="00224360"/>
    <w:rsid w:val="002244C6"/>
    <w:rsid w:val="00224535"/>
    <w:rsid w:val="002246A6"/>
    <w:rsid w:val="0022493A"/>
    <w:rsid w:val="00224BE7"/>
    <w:rsid w:val="00224C08"/>
    <w:rsid w:val="00224F0F"/>
    <w:rsid w:val="00225065"/>
    <w:rsid w:val="002252C6"/>
    <w:rsid w:val="002253EC"/>
    <w:rsid w:val="0022549D"/>
    <w:rsid w:val="002254E6"/>
    <w:rsid w:val="00225545"/>
    <w:rsid w:val="00225AE4"/>
    <w:rsid w:val="00225B43"/>
    <w:rsid w:val="00225CBC"/>
    <w:rsid w:val="00225FE5"/>
    <w:rsid w:val="00226095"/>
    <w:rsid w:val="002262FA"/>
    <w:rsid w:val="00226367"/>
    <w:rsid w:val="00226392"/>
    <w:rsid w:val="0022647C"/>
    <w:rsid w:val="0022654F"/>
    <w:rsid w:val="002268CC"/>
    <w:rsid w:val="00226A96"/>
    <w:rsid w:val="00226B31"/>
    <w:rsid w:val="00226B5D"/>
    <w:rsid w:val="00226BBB"/>
    <w:rsid w:val="00226F85"/>
    <w:rsid w:val="0022713E"/>
    <w:rsid w:val="00227195"/>
    <w:rsid w:val="002271EC"/>
    <w:rsid w:val="0022752C"/>
    <w:rsid w:val="00227819"/>
    <w:rsid w:val="00227BF5"/>
    <w:rsid w:val="00227C10"/>
    <w:rsid w:val="00227DBD"/>
    <w:rsid w:val="00227E3E"/>
    <w:rsid w:val="00227EBD"/>
    <w:rsid w:val="00227EEF"/>
    <w:rsid w:val="00227F95"/>
    <w:rsid w:val="00230167"/>
    <w:rsid w:val="00230217"/>
    <w:rsid w:val="00230347"/>
    <w:rsid w:val="0023063D"/>
    <w:rsid w:val="00230D78"/>
    <w:rsid w:val="00230FFB"/>
    <w:rsid w:val="0023116C"/>
    <w:rsid w:val="00231189"/>
    <w:rsid w:val="00231293"/>
    <w:rsid w:val="002312DE"/>
    <w:rsid w:val="00231341"/>
    <w:rsid w:val="00231466"/>
    <w:rsid w:val="0023149F"/>
    <w:rsid w:val="00231502"/>
    <w:rsid w:val="00231A56"/>
    <w:rsid w:val="00231AB8"/>
    <w:rsid w:val="00231AC1"/>
    <w:rsid w:val="00231C98"/>
    <w:rsid w:val="00231C9E"/>
    <w:rsid w:val="00231CB8"/>
    <w:rsid w:val="00231D40"/>
    <w:rsid w:val="00231DBF"/>
    <w:rsid w:val="00231DDD"/>
    <w:rsid w:val="00231E93"/>
    <w:rsid w:val="00231EEE"/>
    <w:rsid w:val="00231F38"/>
    <w:rsid w:val="00232008"/>
    <w:rsid w:val="00232191"/>
    <w:rsid w:val="002322AB"/>
    <w:rsid w:val="00232342"/>
    <w:rsid w:val="002326D3"/>
    <w:rsid w:val="00232AF7"/>
    <w:rsid w:val="00232CBC"/>
    <w:rsid w:val="00232D46"/>
    <w:rsid w:val="00232E7F"/>
    <w:rsid w:val="00232EF6"/>
    <w:rsid w:val="002332A3"/>
    <w:rsid w:val="0023358A"/>
    <w:rsid w:val="0023384E"/>
    <w:rsid w:val="002338C2"/>
    <w:rsid w:val="00233C75"/>
    <w:rsid w:val="00233DA6"/>
    <w:rsid w:val="00233E0D"/>
    <w:rsid w:val="00233EF9"/>
    <w:rsid w:val="002343EE"/>
    <w:rsid w:val="00234426"/>
    <w:rsid w:val="00234609"/>
    <w:rsid w:val="00234719"/>
    <w:rsid w:val="00234750"/>
    <w:rsid w:val="00234790"/>
    <w:rsid w:val="00234814"/>
    <w:rsid w:val="00234BFB"/>
    <w:rsid w:val="00234DC3"/>
    <w:rsid w:val="00234E74"/>
    <w:rsid w:val="00235071"/>
    <w:rsid w:val="002350DE"/>
    <w:rsid w:val="002351C2"/>
    <w:rsid w:val="002352B6"/>
    <w:rsid w:val="00235871"/>
    <w:rsid w:val="00235AFE"/>
    <w:rsid w:val="00235BED"/>
    <w:rsid w:val="00235D84"/>
    <w:rsid w:val="002360CF"/>
    <w:rsid w:val="002366D1"/>
    <w:rsid w:val="002367B5"/>
    <w:rsid w:val="0023699E"/>
    <w:rsid w:val="002369EA"/>
    <w:rsid w:val="00236AF1"/>
    <w:rsid w:val="00236B4D"/>
    <w:rsid w:val="00236DC4"/>
    <w:rsid w:val="00236E36"/>
    <w:rsid w:val="00236F62"/>
    <w:rsid w:val="00237000"/>
    <w:rsid w:val="00237066"/>
    <w:rsid w:val="0023714C"/>
    <w:rsid w:val="0023760A"/>
    <w:rsid w:val="0023765C"/>
    <w:rsid w:val="002376DF"/>
    <w:rsid w:val="00237B09"/>
    <w:rsid w:val="00237C98"/>
    <w:rsid w:val="0024013E"/>
    <w:rsid w:val="00240145"/>
    <w:rsid w:val="00240328"/>
    <w:rsid w:val="002407E0"/>
    <w:rsid w:val="00240ABB"/>
    <w:rsid w:val="00240B51"/>
    <w:rsid w:val="00240B55"/>
    <w:rsid w:val="00240C7C"/>
    <w:rsid w:val="00240E1C"/>
    <w:rsid w:val="00240EB5"/>
    <w:rsid w:val="00240EE1"/>
    <w:rsid w:val="002410B1"/>
    <w:rsid w:val="00241109"/>
    <w:rsid w:val="002412BF"/>
    <w:rsid w:val="00241857"/>
    <w:rsid w:val="002418AE"/>
    <w:rsid w:val="00241975"/>
    <w:rsid w:val="00241B33"/>
    <w:rsid w:val="00241C1B"/>
    <w:rsid w:val="00241CDB"/>
    <w:rsid w:val="00241D3A"/>
    <w:rsid w:val="00241D82"/>
    <w:rsid w:val="00241F69"/>
    <w:rsid w:val="002422D9"/>
    <w:rsid w:val="00242534"/>
    <w:rsid w:val="00242575"/>
    <w:rsid w:val="00242854"/>
    <w:rsid w:val="00242B13"/>
    <w:rsid w:val="00242C49"/>
    <w:rsid w:val="00242E72"/>
    <w:rsid w:val="002430D8"/>
    <w:rsid w:val="002430FC"/>
    <w:rsid w:val="00243397"/>
    <w:rsid w:val="002433CA"/>
    <w:rsid w:val="002433F1"/>
    <w:rsid w:val="0024368B"/>
    <w:rsid w:val="002436DC"/>
    <w:rsid w:val="002437CA"/>
    <w:rsid w:val="002437F3"/>
    <w:rsid w:val="0024395A"/>
    <w:rsid w:val="0024397B"/>
    <w:rsid w:val="00243C23"/>
    <w:rsid w:val="00243CA3"/>
    <w:rsid w:val="00243D51"/>
    <w:rsid w:val="00243E9B"/>
    <w:rsid w:val="00243FDC"/>
    <w:rsid w:val="0024406D"/>
    <w:rsid w:val="0024408E"/>
    <w:rsid w:val="00244129"/>
    <w:rsid w:val="00244278"/>
    <w:rsid w:val="002443A1"/>
    <w:rsid w:val="00244885"/>
    <w:rsid w:val="00244BC1"/>
    <w:rsid w:val="00244C80"/>
    <w:rsid w:val="00244CF6"/>
    <w:rsid w:val="00244D33"/>
    <w:rsid w:val="00244D5D"/>
    <w:rsid w:val="002450C8"/>
    <w:rsid w:val="00245210"/>
    <w:rsid w:val="002453CC"/>
    <w:rsid w:val="00245508"/>
    <w:rsid w:val="0024561C"/>
    <w:rsid w:val="00245640"/>
    <w:rsid w:val="0024569F"/>
    <w:rsid w:val="00245880"/>
    <w:rsid w:val="00245A64"/>
    <w:rsid w:val="00245B0A"/>
    <w:rsid w:val="00245C1E"/>
    <w:rsid w:val="002460D7"/>
    <w:rsid w:val="002460E8"/>
    <w:rsid w:val="002461C3"/>
    <w:rsid w:val="002463AC"/>
    <w:rsid w:val="002464E5"/>
    <w:rsid w:val="00246726"/>
    <w:rsid w:val="00246B3F"/>
    <w:rsid w:val="00246C11"/>
    <w:rsid w:val="00246C23"/>
    <w:rsid w:val="00246EB2"/>
    <w:rsid w:val="00247146"/>
    <w:rsid w:val="002472D6"/>
    <w:rsid w:val="002474AD"/>
    <w:rsid w:val="00247519"/>
    <w:rsid w:val="002479F9"/>
    <w:rsid w:val="00247A6D"/>
    <w:rsid w:val="00247C5B"/>
    <w:rsid w:val="00247CA3"/>
    <w:rsid w:val="00247D52"/>
    <w:rsid w:val="00247D93"/>
    <w:rsid w:val="0025032F"/>
    <w:rsid w:val="002503D1"/>
    <w:rsid w:val="00250587"/>
    <w:rsid w:val="00250880"/>
    <w:rsid w:val="00250B9C"/>
    <w:rsid w:val="00250BA2"/>
    <w:rsid w:val="00250F64"/>
    <w:rsid w:val="002511D2"/>
    <w:rsid w:val="00251233"/>
    <w:rsid w:val="00251632"/>
    <w:rsid w:val="0025178D"/>
    <w:rsid w:val="00251808"/>
    <w:rsid w:val="00251984"/>
    <w:rsid w:val="002519AC"/>
    <w:rsid w:val="002519CC"/>
    <w:rsid w:val="00251ACC"/>
    <w:rsid w:val="00251B44"/>
    <w:rsid w:val="00251B45"/>
    <w:rsid w:val="00251D1E"/>
    <w:rsid w:val="00252063"/>
    <w:rsid w:val="00252301"/>
    <w:rsid w:val="00252337"/>
    <w:rsid w:val="0025248A"/>
    <w:rsid w:val="002524D8"/>
    <w:rsid w:val="00252506"/>
    <w:rsid w:val="0025288A"/>
    <w:rsid w:val="0025292C"/>
    <w:rsid w:val="002529E1"/>
    <w:rsid w:val="00252A6C"/>
    <w:rsid w:val="00252ACF"/>
    <w:rsid w:val="00252C7F"/>
    <w:rsid w:val="00252CB1"/>
    <w:rsid w:val="00252DE9"/>
    <w:rsid w:val="0025349F"/>
    <w:rsid w:val="002534B7"/>
    <w:rsid w:val="0025356A"/>
    <w:rsid w:val="002537FF"/>
    <w:rsid w:val="0025383C"/>
    <w:rsid w:val="002538FF"/>
    <w:rsid w:val="00253B42"/>
    <w:rsid w:val="00253BDD"/>
    <w:rsid w:val="00253C68"/>
    <w:rsid w:val="00253D51"/>
    <w:rsid w:val="0025412D"/>
    <w:rsid w:val="00254160"/>
    <w:rsid w:val="002541DE"/>
    <w:rsid w:val="002541F2"/>
    <w:rsid w:val="00254319"/>
    <w:rsid w:val="00254587"/>
    <w:rsid w:val="002545E4"/>
    <w:rsid w:val="00254816"/>
    <w:rsid w:val="002549BF"/>
    <w:rsid w:val="00254E2C"/>
    <w:rsid w:val="00254E8B"/>
    <w:rsid w:val="002551BA"/>
    <w:rsid w:val="00255219"/>
    <w:rsid w:val="00255249"/>
    <w:rsid w:val="002552F6"/>
    <w:rsid w:val="00255416"/>
    <w:rsid w:val="00255441"/>
    <w:rsid w:val="00255582"/>
    <w:rsid w:val="002555BC"/>
    <w:rsid w:val="002557C2"/>
    <w:rsid w:val="00255811"/>
    <w:rsid w:val="00255CF2"/>
    <w:rsid w:val="00255D5B"/>
    <w:rsid w:val="00255EB2"/>
    <w:rsid w:val="00255FD3"/>
    <w:rsid w:val="002562CD"/>
    <w:rsid w:val="00256599"/>
    <w:rsid w:val="00256757"/>
    <w:rsid w:val="002568FE"/>
    <w:rsid w:val="00256B87"/>
    <w:rsid w:val="00256E23"/>
    <w:rsid w:val="0025709A"/>
    <w:rsid w:val="002575B4"/>
    <w:rsid w:val="002576D4"/>
    <w:rsid w:val="00257899"/>
    <w:rsid w:val="002578EB"/>
    <w:rsid w:val="002578FF"/>
    <w:rsid w:val="00257C15"/>
    <w:rsid w:val="00257DF7"/>
    <w:rsid w:val="002601DC"/>
    <w:rsid w:val="002602D3"/>
    <w:rsid w:val="00260471"/>
    <w:rsid w:val="002604E2"/>
    <w:rsid w:val="0026059B"/>
    <w:rsid w:val="0026073D"/>
    <w:rsid w:val="0026091C"/>
    <w:rsid w:val="00260A1D"/>
    <w:rsid w:val="00260E3B"/>
    <w:rsid w:val="00260FD4"/>
    <w:rsid w:val="002613B4"/>
    <w:rsid w:val="00261C23"/>
    <w:rsid w:val="00261C40"/>
    <w:rsid w:val="00261CEC"/>
    <w:rsid w:val="00261F2F"/>
    <w:rsid w:val="0026211D"/>
    <w:rsid w:val="00262318"/>
    <w:rsid w:val="0026254A"/>
    <w:rsid w:val="002628C3"/>
    <w:rsid w:val="002628E4"/>
    <w:rsid w:val="002629AA"/>
    <w:rsid w:val="00262B81"/>
    <w:rsid w:val="00263537"/>
    <w:rsid w:val="002635FC"/>
    <w:rsid w:val="00263A44"/>
    <w:rsid w:val="00263E25"/>
    <w:rsid w:val="00263F62"/>
    <w:rsid w:val="00264118"/>
    <w:rsid w:val="00264287"/>
    <w:rsid w:val="00264AA8"/>
    <w:rsid w:val="00264AF4"/>
    <w:rsid w:val="00264D83"/>
    <w:rsid w:val="002655D0"/>
    <w:rsid w:val="002658ED"/>
    <w:rsid w:val="002659C3"/>
    <w:rsid w:val="00265AEF"/>
    <w:rsid w:val="00265C60"/>
    <w:rsid w:val="00265CB6"/>
    <w:rsid w:val="00265E32"/>
    <w:rsid w:val="00265F34"/>
    <w:rsid w:val="00265FBD"/>
    <w:rsid w:val="0026606A"/>
    <w:rsid w:val="0026628B"/>
    <w:rsid w:val="00266407"/>
    <w:rsid w:val="002665B7"/>
    <w:rsid w:val="002665D6"/>
    <w:rsid w:val="002665EA"/>
    <w:rsid w:val="00266792"/>
    <w:rsid w:val="00266A03"/>
    <w:rsid w:val="00266C58"/>
    <w:rsid w:val="00266CBD"/>
    <w:rsid w:val="00266E94"/>
    <w:rsid w:val="00267174"/>
    <w:rsid w:val="00267254"/>
    <w:rsid w:val="0026736C"/>
    <w:rsid w:val="002674E0"/>
    <w:rsid w:val="002676A7"/>
    <w:rsid w:val="0026792A"/>
    <w:rsid w:val="00267BE9"/>
    <w:rsid w:val="00267D0E"/>
    <w:rsid w:val="00267D6A"/>
    <w:rsid w:val="00267DB1"/>
    <w:rsid w:val="00267E58"/>
    <w:rsid w:val="002701E8"/>
    <w:rsid w:val="0027063D"/>
    <w:rsid w:val="00270668"/>
    <w:rsid w:val="002707C6"/>
    <w:rsid w:val="0027086E"/>
    <w:rsid w:val="00270898"/>
    <w:rsid w:val="00270A7E"/>
    <w:rsid w:val="00270B65"/>
    <w:rsid w:val="00270DCF"/>
    <w:rsid w:val="00270DE0"/>
    <w:rsid w:val="00270FEA"/>
    <w:rsid w:val="00271068"/>
    <w:rsid w:val="002712CA"/>
    <w:rsid w:val="00271347"/>
    <w:rsid w:val="002713E2"/>
    <w:rsid w:val="0027153D"/>
    <w:rsid w:val="00271740"/>
    <w:rsid w:val="0027177C"/>
    <w:rsid w:val="00271804"/>
    <w:rsid w:val="00271B58"/>
    <w:rsid w:val="00271BBC"/>
    <w:rsid w:val="00271C14"/>
    <w:rsid w:val="00271CC9"/>
    <w:rsid w:val="00271D94"/>
    <w:rsid w:val="00271FF5"/>
    <w:rsid w:val="002723F3"/>
    <w:rsid w:val="00272565"/>
    <w:rsid w:val="002726FE"/>
    <w:rsid w:val="0027282E"/>
    <w:rsid w:val="00272A23"/>
    <w:rsid w:val="00272B6D"/>
    <w:rsid w:val="00272C6D"/>
    <w:rsid w:val="00272CD7"/>
    <w:rsid w:val="00272CD9"/>
    <w:rsid w:val="00272E38"/>
    <w:rsid w:val="00273349"/>
    <w:rsid w:val="00273488"/>
    <w:rsid w:val="002735D8"/>
    <w:rsid w:val="00273666"/>
    <w:rsid w:val="00273779"/>
    <w:rsid w:val="00273837"/>
    <w:rsid w:val="00273924"/>
    <w:rsid w:val="00273B09"/>
    <w:rsid w:val="00273BFA"/>
    <w:rsid w:val="00273E2D"/>
    <w:rsid w:val="00273E33"/>
    <w:rsid w:val="00273E74"/>
    <w:rsid w:val="00273F5F"/>
    <w:rsid w:val="00274011"/>
    <w:rsid w:val="00274024"/>
    <w:rsid w:val="00274178"/>
    <w:rsid w:val="00274227"/>
    <w:rsid w:val="002744CB"/>
    <w:rsid w:val="0027479F"/>
    <w:rsid w:val="00274965"/>
    <w:rsid w:val="00274991"/>
    <w:rsid w:val="002749FC"/>
    <w:rsid w:val="00274ADB"/>
    <w:rsid w:val="00274D2B"/>
    <w:rsid w:val="00274DAD"/>
    <w:rsid w:val="00275176"/>
    <w:rsid w:val="0027527A"/>
    <w:rsid w:val="002752AD"/>
    <w:rsid w:val="002752CA"/>
    <w:rsid w:val="0027556C"/>
    <w:rsid w:val="00275586"/>
    <w:rsid w:val="00275609"/>
    <w:rsid w:val="0027577D"/>
    <w:rsid w:val="002758BF"/>
    <w:rsid w:val="002758CA"/>
    <w:rsid w:val="00276368"/>
    <w:rsid w:val="002763BD"/>
    <w:rsid w:val="00276451"/>
    <w:rsid w:val="002766C3"/>
    <w:rsid w:val="002768DC"/>
    <w:rsid w:val="00276A72"/>
    <w:rsid w:val="00276AE6"/>
    <w:rsid w:val="00276F7A"/>
    <w:rsid w:val="00277187"/>
    <w:rsid w:val="002771DE"/>
    <w:rsid w:val="00277480"/>
    <w:rsid w:val="002776CB"/>
    <w:rsid w:val="00277ABE"/>
    <w:rsid w:val="00277C9A"/>
    <w:rsid w:val="00277D57"/>
    <w:rsid w:val="00280246"/>
    <w:rsid w:val="0028079B"/>
    <w:rsid w:val="0028092F"/>
    <w:rsid w:val="0028094F"/>
    <w:rsid w:val="00280BCD"/>
    <w:rsid w:val="002810F3"/>
    <w:rsid w:val="00281476"/>
    <w:rsid w:val="002815B8"/>
    <w:rsid w:val="0028160E"/>
    <w:rsid w:val="0028166A"/>
    <w:rsid w:val="002816F9"/>
    <w:rsid w:val="00281727"/>
    <w:rsid w:val="00281822"/>
    <w:rsid w:val="00281B7A"/>
    <w:rsid w:val="00281C66"/>
    <w:rsid w:val="0028210E"/>
    <w:rsid w:val="0028233E"/>
    <w:rsid w:val="002823F6"/>
    <w:rsid w:val="00282692"/>
    <w:rsid w:val="00282881"/>
    <w:rsid w:val="00282A0E"/>
    <w:rsid w:val="00282A4F"/>
    <w:rsid w:val="00282A5F"/>
    <w:rsid w:val="00282AB0"/>
    <w:rsid w:val="00282B41"/>
    <w:rsid w:val="00282C82"/>
    <w:rsid w:val="00282DFE"/>
    <w:rsid w:val="00282E44"/>
    <w:rsid w:val="00282EF5"/>
    <w:rsid w:val="002830BB"/>
    <w:rsid w:val="0028335B"/>
    <w:rsid w:val="002835D7"/>
    <w:rsid w:val="00283620"/>
    <w:rsid w:val="00283773"/>
    <w:rsid w:val="002838B0"/>
    <w:rsid w:val="00283A86"/>
    <w:rsid w:val="00283AA2"/>
    <w:rsid w:val="00283CBE"/>
    <w:rsid w:val="00283D8D"/>
    <w:rsid w:val="00283DC9"/>
    <w:rsid w:val="002840AA"/>
    <w:rsid w:val="00284327"/>
    <w:rsid w:val="002843F5"/>
    <w:rsid w:val="0028449B"/>
    <w:rsid w:val="00284680"/>
    <w:rsid w:val="002849B0"/>
    <w:rsid w:val="00284A55"/>
    <w:rsid w:val="00284B6F"/>
    <w:rsid w:val="002851E1"/>
    <w:rsid w:val="00285408"/>
    <w:rsid w:val="00285417"/>
    <w:rsid w:val="0028558C"/>
    <w:rsid w:val="002855C1"/>
    <w:rsid w:val="002856F6"/>
    <w:rsid w:val="00285813"/>
    <w:rsid w:val="002859BB"/>
    <w:rsid w:val="00285A76"/>
    <w:rsid w:val="00285BF1"/>
    <w:rsid w:val="00285D08"/>
    <w:rsid w:val="00285F6D"/>
    <w:rsid w:val="00285FF1"/>
    <w:rsid w:val="002860C4"/>
    <w:rsid w:val="002864B3"/>
    <w:rsid w:val="0028658C"/>
    <w:rsid w:val="00286606"/>
    <w:rsid w:val="0028675F"/>
    <w:rsid w:val="00286BA1"/>
    <w:rsid w:val="00286C0B"/>
    <w:rsid w:val="00286E05"/>
    <w:rsid w:val="00286E3B"/>
    <w:rsid w:val="00286F94"/>
    <w:rsid w:val="00287804"/>
    <w:rsid w:val="00287A89"/>
    <w:rsid w:val="00287C9D"/>
    <w:rsid w:val="00287D0E"/>
    <w:rsid w:val="00290024"/>
    <w:rsid w:val="0029027B"/>
    <w:rsid w:val="0029027F"/>
    <w:rsid w:val="00290437"/>
    <w:rsid w:val="0029057B"/>
    <w:rsid w:val="002908EA"/>
    <w:rsid w:val="002909E4"/>
    <w:rsid w:val="00290A0A"/>
    <w:rsid w:val="00290A52"/>
    <w:rsid w:val="00290BC0"/>
    <w:rsid w:val="00290C6F"/>
    <w:rsid w:val="00290CA4"/>
    <w:rsid w:val="00290EC7"/>
    <w:rsid w:val="00290ED4"/>
    <w:rsid w:val="00290F03"/>
    <w:rsid w:val="00291398"/>
    <w:rsid w:val="002915D9"/>
    <w:rsid w:val="002916D9"/>
    <w:rsid w:val="002918B9"/>
    <w:rsid w:val="00291947"/>
    <w:rsid w:val="00291A15"/>
    <w:rsid w:val="00291A44"/>
    <w:rsid w:val="00291AD7"/>
    <w:rsid w:val="00291D2B"/>
    <w:rsid w:val="00291D2D"/>
    <w:rsid w:val="00291DC0"/>
    <w:rsid w:val="00291EC9"/>
    <w:rsid w:val="0029216D"/>
    <w:rsid w:val="00292181"/>
    <w:rsid w:val="002921E0"/>
    <w:rsid w:val="00292732"/>
    <w:rsid w:val="0029282A"/>
    <w:rsid w:val="00292845"/>
    <w:rsid w:val="002928B1"/>
    <w:rsid w:val="00292AAE"/>
    <w:rsid w:val="00292BD3"/>
    <w:rsid w:val="00292C22"/>
    <w:rsid w:val="00293152"/>
    <w:rsid w:val="002931FF"/>
    <w:rsid w:val="00293228"/>
    <w:rsid w:val="00293849"/>
    <w:rsid w:val="00293AB6"/>
    <w:rsid w:val="00293B27"/>
    <w:rsid w:val="00293CDD"/>
    <w:rsid w:val="00293D29"/>
    <w:rsid w:val="002940A4"/>
    <w:rsid w:val="002943B3"/>
    <w:rsid w:val="00294477"/>
    <w:rsid w:val="0029471C"/>
    <w:rsid w:val="00294819"/>
    <w:rsid w:val="0029493A"/>
    <w:rsid w:val="00294BE5"/>
    <w:rsid w:val="00294EB4"/>
    <w:rsid w:val="00294F08"/>
    <w:rsid w:val="00294F54"/>
    <w:rsid w:val="0029503A"/>
    <w:rsid w:val="0029569C"/>
    <w:rsid w:val="0029588C"/>
    <w:rsid w:val="002959CB"/>
    <w:rsid w:val="00295A2B"/>
    <w:rsid w:val="00295B48"/>
    <w:rsid w:val="00295D1B"/>
    <w:rsid w:val="00295EA7"/>
    <w:rsid w:val="00296086"/>
    <w:rsid w:val="002960BE"/>
    <w:rsid w:val="00296150"/>
    <w:rsid w:val="002963B6"/>
    <w:rsid w:val="00296641"/>
    <w:rsid w:val="002968A5"/>
    <w:rsid w:val="00296902"/>
    <w:rsid w:val="00296B24"/>
    <w:rsid w:val="00296D4C"/>
    <w:rsid w:val="00296E18"/>
    <w:rsid w:val="0029707E"/>
    <w:rsid w:val="002970C9"/>
    <w:rsid w:val="00297148"/>
    <w:rsid w:val="002971E0"/>
    <w:rsid w:val="002973AD"/>
    <w:rsid w:val="002973FA"/>
    <w:rsid w:val="0029785C"/>
    <w:rsid w:val="0029796C"/>
    <w:rsid w:val="002979D3"/>
    <w:rsid w:val="00297B18"/>
    <w:rsid w:val="00297D5F"/>
    <w:rsid w:val="00297D97"/>
    <w:rsid w:val="002A0152"/>
    <w:rsid w:val="002A056F"/>
    <w:rsid w:val="002A05D1"/>
    <w:rsid w:val="002A070C"/>
    <w:rsid w:val="002A086E"/>
    <w:rsid w:val="002A0C90"/>
    <w:rsid w:val="002A10A7"/>
    <w:rsid w:val="002A10EA"/>
    <w:rsid w:val="002A1289"/>
    <w:rsid w:val="002A14E8"/>
    <w:rsid w:val="002A186C"/>
    <w:rsid w:val="002A1874"/>
    <w:rsid w:val="002A19E5"/>
    <w:rsid w:val="002A19EA"/>
    <w:rsid w:val="002A1CA2"/>
    <w:rsid w:val="002A1CB8"/>
    <w:rsid w:val="002A1D2D"/>
    <w:rsid w:val="002A1FF9"/>
    <w:rsid w:val="002A2013"/>
    <w:rsid w:val="002A2733"/>
    <w:rsid w:val="002A28B5"/>
    <w:rsid w:val="002A2E66"/>
    <w:rsid w:val="002A30F2"/>
    <w:rsid w:val="002A32D7"/>
    <w:rsid w:val="002A330B"/>
    <w:rsid w:val="002A3411"/>
    <w:rsid w:val="002A3434"/>
    <w:rsid w:val="002A392B"/>
    <w:rsid w:val="002A39E8"/>
    <w:rsid w:val="002A3A4D"/>
    <w:rsid w:val="002A3C89"/>
    <w:rsid w:val="002A3EF2"/>
    <w:rsid w:val="002A3FA4"/>
    <w:rsid w:val="002A3FF6"/>
    <w:rsid w:val="002A416E"/>
    <w:rsid w:val="002A435B"/>
    <w:rsid w:val="002A4489"/>
    <w:rsid w:val="002A44DD"/>
    <w:rsid w:val="002A44F6"/>
    <w:rsid w:val="002A4506"/>
    <w:rsid w:val="002A470F"/>
    <w:rsid w:val="002A474B"/>
    <w:rsid w:val="002A4A3F"/>
    <w:rsid w:val="002A4A96"/>
    <w:rsid w:val="002A4BB2"/>
    <w:rsid w:val="002A500E"/>
    <w:rsid w:val="002A5199"/>
    <w:rsid w:val="002A51F7"/>
    <w:rsid w:val="002A55CD"/>
    <w:rsid w:val="002A5613"/>
    <w:rsid w:val="002A5811"/>
    <w:rsid w:val="002A58CC"/>
    <w:rsid w:val="002A5924"/>
    <w:rsid w:val="002A59BC"/>
    <w:rsid w:val="002A59FC"/>
    <w:rsid w:val="002A5BB0"/>
    <w:rsid w:val="002A5E85"/>
    <w:rsid w:val="002A6131"/>
    <w:rsid w:val="002A61DA"/>
    <w:rsid w:val="002A6661"/>
    <w:rsid w:val="002A66A8"/>
    <w:rsid w:val="002A66DB"/>
    <w:rsid w:val="002A6734"/>
    <w:rsid w:val="002A678F"/>
    <w:rsid w:val="002A69BF"/>
    <w:rsid w:val="002A6B80"/>
    <w:rsid w:val="002A6CEE"/>
    <w:rsid w:val="002A6DF5"/>
    <w:rsid w:val="002A6F46"/>
    <w:rsid w:val="002A7061"/>
    <w:rsid w:val="002A7613"/>
    <w:rsid w:val="002A7702"/>
    <w:rsid w:val="002A7964"/>
    <w:rsid w:val="002A7D37"/>
    <w:rsid w:val="002A7FAA"/>
    <w:rsid w:val="002B00AE"/>
    <w:rsid w:val="002B0101"/>
    <w:rsid w:val="002B0157"/>
    <w:rsid w:val="002B03D8"/>
    <w:rsid w:val="002B07F1"/>
    <w:rsid w:val="002B0C3A"/>
    <w:rsid w:val="002B1057"/>
    <w:rsid w:val="002B10DB"/>
    <w:rsid w:val="002B1110"/>
    <w:rsid w:val="002B1128"/>
    <w:rsid w:val="002B11FA"/>
    <w:rsid w:val="002B12A9"/>
    <w:rsid w:val="002B1347"/>
    <w:rsid w:val="002B13B5"/>
    <w:rsid w:val="002B1567"/>
    <w:rsid w:val="002B166C"/>
    <w:rsid w:val="002B167C"/>
    <w:rsid w:val="002B19D6"/>
    <w:rsid w:val="002B1C9F"/>
    <w:rsid w:val="002B1D75"/>
    <w:rsid w:val="002B1DB0"/>
    <w:rsid w:val="002B1EED"/>
    <w:rsid w:val="002B1EFD"/>
    <w:rsid w:val="002B231B"/>
    <w:rsid w:val="002B241E"/>
    <w:rsid w:val="002B24AA"/>
    <w:rsid w:val="002B2730"/>
    <w:rsid w:val="002B27D0"/>
    <w:rsid w:val="002B281E"/>
    <w:rsid w:val="002B2844"/>
    <w:rsid w:val="002B2A1B"/>
    <w:rsid w:val="002B2A96"/>
    <w:rsid w:val="002B2ADD"/>
    <w:rsid w:val="002B2BA7"/>
    <w:rsid w:val="002B2DCD"/>
    <w:rsid w:val="002B316E"/>
    <w:rsid w:val="002B33B5"/>
    <w:rsid w:val="002B34C9"/>
    <w:rsid w:val="002B34DC"/>
    <w:rsid w:val="002B35FD"/>
    <w:rsid w:val="002B3621"/>
    <w:rsid w:val="002B3835"/>
    <w:rsid w:val="002B3862"/>
    <w:rsid w:val="002B392B"/>
    <w:rsid w:val="002B3A16"/>
    <w:rsid w:val="002B3C9E"/>
    <w:rsid w:val="002B3CCD"/>
    <w:rsid w:val="002B3D43"/>
    <w:rsid w:val="002B3E7E"/>
    <w:rsid w:val="002B3F98"/>
    <w:rsid w:val="002B40F1"/>
    <w:rsid w:val="002B42ED"/>
    <w:rsid w:val="002B434A"/>
    <w:rsid w:val="002B44C4"/>
    <w:rsid w:val="002B45FB"/>
    <w:rsid w:val="002B4A2D"/>
    <w:rsid w:val="002B4A65"/>
    <w:rsid w:val="002B4E9E"/>
    <w:rsid w:val="002B585D"/>
    <w:rsid w:val="002B593B"/>
    <w:rsid w:val="002B5A42"/>
    <w:rsid w:val="002B5AD9"/>
    <w:rsid w:val="002B5C9C"/>
    <w:rsid w:val="002B5CE1"/>
    <w:rsid w:val="002B5D92"/>
    <w:rsid w:val="002B5F9D"/>
    <w:rsid w:val="002B6335"/>
    <w:rsid w:val="002B6468"/>
    <w:rsid w:val="002B6620"/>
    <w:rsid w:val="002B666B"/>
    <w:rsid w:val="002B6994"/>
    <w:rsid w:val="002B6A7F"/>
    <w:rsid w:val="002B6D2B"/>
    <w:rsid w:val="002B6EF7"/>
    <w:rsid w:val="002B6F04"/>
    <w:rsid w:val="002B7043"/>
    <w:rsid w:val="002B7047"/>
    <w:rsid w:val="002B709B"/>
    <w:rsid w:val="002B7127"/>
    <w:rsid w:val="002B7142"/>
    <w:rsid w:val="002B732E"/>
    <w:rsid w:val="002B7474"/>
    <w:rsid w:val="002B77F0"/>
    <w:rsid w:val="002B7B85"/>
    <w:rsid w:val="002B7CBF"/>
    <w:rsid w:val="002B7E58"/>
    <w:rsid w:val="002B7E75"/>
    <w:rsid w:val="002B7FE0"/>
    <w:rsid w:val="002C0407"/>
    <w:rsid w:val="002C0544"/>
    <w:rsid w:val="002C0B71"/>
    <w:rsid w:val="002C0D82"/>
    <w:rsid w:val="002C0F9E"/>
    <w:rsid w:val="002C10B9"/>
    <w:rsid w:val="002C13B9"/>
    <w:rsid w:val="002C183D"/>
    <w:rsid w:val="002C18DB"/>
    <w:rsid w:val="002C1A5C"/>
    <w:rsid w:val="002C1B3D"/>
    <w:rsid w:val="002C1B5A"/>
    <w:rsid w:val="002C1CDB"/>
    <w:rsid w:val="002C1DFE"/>
    <w:rsid w:val="002C2003"/>
    <w:rsid w:val="002C201C"/>
    <w:rsid w:val="002C2157"/>
    <w:rsid w:val="002C21B2"/>
    <w:rsid w:val="002C24E0"/>
    <w:rsid w:val="002C2525"/>
    <w:rsid w:val="002C2683"/>
    <w:rsid w:val="002C2713"/>
    <w:rsid w:val="002C2A5C"/>
    <w:rsid w:val="002C2A75"/>
    <w:rsid w:val="002C2D0E"/>
    <w:rsid w:val="002C2D67"/>
    <w:rsid w:val="002C3109"/>
    <w:rsid w:val="002C318D"/>
    <w:rsid w:val="002C38E7"/>
    <w:rsid w:val="002C3909"/>
    <w:rsid w:val="002C39AF"/>
    <w:rsid w:val="002C3BAA"/>
    <w:rsid w:val="002C3D4D"/>
    <w:rsid w:val="002C443F"/>
    <w:rsid w:val="002C466A"/>
    <w:rsid w:val="002C4A64"/>
    <w:rsid w:val="002C4BE9"/>
    <w:rsid w:val="002C4CF0"/>
    <w:rsid w:val="002C4E25"/>
    <w:rsid w:val="002C5404"/>
    <w:rsid w:val="002C55E8"/>
    <w:rsid w:val="002C57BD"/>
    <w:rsid w:val="002C59F9"/>
    <w:rsid w:val="002C5FF0"/>
    <w:rsid w:val="002C643D"/>
    <w:rsid w:val="002C65E0"/>
    <w:rsid w:val="002C6704"/>
    <w:rsid w:val="002C6826"/>
    <w:rsid w:val="002C691F"/>
    <w:rsid w:val="002C69A4"/>
    <w:rsid w:val="002C6AE3"/>
    <w:rsid w:val="002C6B65"/>
    <w:rsid w:val="002C6CED"/>
    <w:rsid w:val="002C71A7"/>
    <w:rsid w:val="002C7214"/>
    <w:rsid w:val="002C79BB"/>
    <w:rsid w:val="002C7A79"/>
    <w:rsid w:val="002C7BD2"/>
    <w:rsid w:val="002C7BF6"/>
    <w:rsid w:val="002C7D72"/>
    <w:rsid w:val="002C7DFE"/>
    <w:rsid w:val="002C7E9E"/>
    <w:rsid w:val="002D01B9"/>
    <w:rsid w:val="002D01DA"/>
    <w:rsid w:val="002D0446"/>
    <w:rsid w:val="002D0450"/>
    <w:rsid w:val="002D05AD"/>
    <w:rsid w:val="002D06A8"/>
    <w:rsid w:val="002D06CA"/>
    <w:rsid w:val="002D06F4"/>
    <w:rsid w:val="002D0825"/>
    <w:rsid w:val="002D0928"/>
    <w:rsid w:val="002D0944"/>
    <w:rsid w:val="002D0967"/>
    <w:rsid w:val="002D0B63"/>
    <w:rsid w:val="002D0C00"/>
    <w:rsid w:val="002D0F6A"/>
    <w:rsid w:val="002D0F84"/>
    <w:rsid w:val="002D1114"/>
    <w:rsid w:val="002D1129"/>
    <w:rsid w:val="002D12FF"/>
    <w:rsid w:val="002D13FE"/>
    <w:rsid w:val="002D1411"/>
    <w:rsid w:val="002D14DA"/>
    <w:rsid w:val="002D2197"/>
    <w:rsid w:val="002D2226"/>
    <w:rsid w:val="002D26E0"/>
    <w:rsid w:val="002D26E5"/>
    <w:rsid w:val="002D28C2"/>
    <w:rsid w:val="002D2AC0"/>
    <w:rsid w:val="002D2BCE"/>
    <w:rsid w:val="002D2BF5"/>
    <w:rsid w:val="002D2C59"/>
    <w:rsid w:val="002D2C77"/>
    <w:rsid w:val="002D2CA1"/>
    <w:rsid w:val="002D2EB3"/>
    <w:rsid w:val="002D2FB5"/>
    <w:rsid w:val="002D3022"/>
    <w:rsid w:val="002D30D8"/>
    <w:rsid w:val="002D3737"/>
    <w:rsid w:val="002D392D"/>
    <w:rsid w:val="002D3938"/>
    <w:rsid w:val="002D3AC5"/>
    <w:rsid w:val="002D3BBE"/>
    <w:rsid w:val="002D3CE6"/>
    <w:rsid w:val="002D3E99"/>
    <w:rsid w:val="002D3EA8"/>
    <w:rsid w:val="002D4404"/>
    <w:rsid w:val="002D4421"/>
    <w:rsid w:val="002D4445"/>
    <w:rsid w:val="002D45C5"/>
    <w:rsid w:val="002D475B"/>
    <w:rsid w:val="002D488C"/>
    <w:rsid w:val="002D4B6C"/>
    <w:rsid w:val="002D4F08"/>
    <w:rsid w:val="002D5152"/>
    <w:rsid w:val="002D5171"/>
    <w:rsid w:val="002D5172"/>
    <w:rsid w:val="002D5382"/>
    <w:rsid w:val="002D583A"/>
    <w:rsid w:val="002D593F"/>
    <w:rsid w:val="002D5AD0"/>
    <w:rsid w:val="002D5D96"/>
    <w:rsid w:val="002D6108"/>
    <w:rsid w:val="002D61A1"/>
    <w:rsid w:val="002D6733"/>
    <w:rsid w:val="002D6867"/>
    <w:rsid w:val="002D69AB"/>
    <w:rsid w:val="002D69F9"/>
    <w:rsid w:val="002D6AE8"/>
    <w:rsid w:val="002D6BC9"/>
    <w:rsid w:val="002D6D80"/>
    <w:rsid w:val="002D6DA5"/>
    <w:rsid w:val="002D7058"/>
    <w:rsid w:val="002D72F0"/>
    <w:rsid w:val="002D734C"/>
    <w:rsid w:val="002D757E"/>
    <w:rsid w:val="002D7589"/>
    <w:rsid w:val="002D7B23"/>
    <w:rsid w:val="002D7B71"/>
    <w:rsid w:val="002D7CEE"/>
    <w:rsid w:val="002D7D95"/>
    <w:rsid w:val="002D7DF0"/>
    <w:rsid w:val="002D7E9C"/>
    <w:rsid w:val="002E00EA"/>
    <w:rsid w:val="002E0108"/>
    <w:rsid w:val="002E0389"/>
    <w:rsid w:val="002E0851"/>
    <w:rsid w:val="002E08C3"/>
    <w:rsid w:val="002E08C9"/>
    <w:rsid w:val="002E0920"/>
    <w:rsid w:val="002E09D6"/>
    <w:rsid w:val="002E0CBB"/>
    <w:rsid w:val="002E0CDF"/>
    <w:rsid w:val="002E0E2C"/>
    <w:rsid w:val="002E0F08"/>
    <w:rsid w:val="002E0FFB"/>
    <w:rsid w:val="002E1088"/>
    <w:rsid w:val="002E10F8"/>
    <w:rsid w:val="002E1311"/>
    <w:rsid w:val="002E13ED"/>
    <w:rsid w:val="002E154C"/>
    <w:rsid w:val="002E16C5"/>
    <w:rsid w:val="002E183F"/>
    <w:rsid w:val="002E1A7C"/>
    <w:rsid w:val="002E1F92"/>
    <w:rsid w:val="002E2056"/>
    <w:rsid w:val="002E205C"/>
    <w:rsid w:val="002E222E"/>
    <w:rsid w:val="002E235B"/>
    <w:rsid w:val="002E2509"/>
    <w:rsid w:val="002E251E"/>
    <w:rsid w:val="002E2629"/>
    <w:rsid w:val="002E27E9"/>
    <w:rsid w:val="002E2982"/>
    <w:rsid w:val="002E2ABF"/>
    <w:rsid w:val="002E2BAA"/>
    <w:rsid w:val="002E2D53"/>
    <w:rsid w:val="002E2F17"/>
    <w:rsid w:val="002E37B6"/>
    <w:rsid w:val="002E3945"/>
    <w:rsid w:val="002E3A44"/>
    <w:rsid w:val="002E3D2A"/>
    <w:rsid w:val="002E3D49"/>
    <w:rsid w:val="002E3E18"/>
    <w:rsid w:val="002E3EC9"/>
    <w:rsid w:val="002E3F95"/>
    <w:rsid w:val="002E4053"/>
    <w:rsid w:val="002E4257"/>
    <w:rsid w:val="002E42A1"/>
    <w:rsid w:val="002E4545"/>
    <w:rsid w:val="002E4672"/>
    <w:rsid w:val="002E49CE"/>
    <w:rsid w:val="002E4C00"/>
    <w:rsid w:val="002E4C73"/>
    <w:rsid w:val="002E4E59"/>
    <w:rsid w:val="002E4F1F"/>
    <w:rsid w:val="002E4F37"/>
    <w:rsid w:val="002E512D"/>
    <w:rsid w:val="002E5310"/>
    <w:rsid w:val="002E55E9"/>
    <w:rsid w:val="002E5884"/>
    <w:rsid w:val="002E5A63"/>
    <w:rsid w:val="002E5D0B"/>
    <w:rsid w:val="002E5D91"/>
    <w:rsid w:val="002E5E26"/>
    <w:rsid w:val="002E60E4"/>
    <w:rsid w:val="002E60E7"/>
    <w:rsid w:val="002E61F0"/>
    <w:rsid w:val="002E6693"/>
    <w:rsid w:val="002E6783"/>
    <w:rsid w:val="002E6839"/>
    <w:rsid w:val="002E68C2"/>
    <w:rsid w:val="002E68D3"/>
    <w:rsid w:val="002E6913"/>
    <w:rsid w:val="002E6D83"/>
    <w:rsid w:val="002E72AE"/>
    <w:rsid w:val="002E7447"/>
    <w:rsid w:val="002E76A1"/>
    <w:rsid w:val="002E76C3"/>
    <w:rsid w:val="002E7781"/>
    <w:rsid w:val="002E7897"/>
    <w:rsid w:val="002E7B8C"/>
    <w:rsid w:val="002E7BFF"/>
    <w:rsid w:val="002E7E27"/>
    <w:rsid w:val="002E7F50"/>
    <w:rsid w:val="002F0204"/>
    <w:rsid w:val="002F0435"/>
    <w:rsid w:val="002F0590"/>
    <w:rsid w:val="002F066E"/>
    <w:rsid w:val="002F06A4"/>
    <w:rsid w:val="002F07BD"/>
    <w:rsid w:val="002F0823"/>
    <w:rsid w:val="002F0B15"/>
    <w:rsid w:val="002F0C3C"/>
    <w:rsid w:val="002F0CC2"/>
    <w:rsid w:val="002F0F5B"/>
    <w:rsid w:val="002F0F60"/>
    <w:rsid w:val="002F1295"/>
    <w:rsid w:val="002F17B9"/>
    <w:rsid w:val="002F17F6"/>
    <w:rsid w:val="002F185B"/>
    <w:rsid w:val="002F1974"/>
    <w:rsid w:val="002F1B69"/>
    <w:rsid w:val="002F1DD4"/>
    <w:rsid w:val="002F1DE9"/>
    <w:rsid w:val="002F1DF5"/>
    <w:rsid w:val="002F1E81"/>
    <w:rsid w:val="002F1F10"/>
    <w:rsid w:val="002F1F77"/>
    <w:rsid w:val="002F1FB4"/>
    <w:rsid w:val="002F2152"/>
    <w:rsid w:val="002F21A3"/>
    <w:rsid w:val="002F2525"/>
    <w:rsid w:val="002F26BB"/>
    <w:rsid w:val="002F28BE"/>
    <w:rsid w:val="002F291C"/>
    <w:rsid w:val="002F3072"/>
    <w:rsid w:val="002F3157"/>
    <w:rsid w:val="002F33EF"/>
    <w:rsid w:val="002F347F"/>
    <w:rsid w:val="002F3528"/>
    <w:rsid w:val="002F3649"/>
    <w:rsid w:val="002F39D7"/>
    <w:rsid w:val="002F3C58"/>
    <w:rsid w:val="002F3E89"/>
    <w:rsid w:val="002F3E8E"/>
    <w:rsid w:val="002F3F4C"/>
    <w:rsid w:val="002F451A"/>
    <w:rsid w:val="002F4656"/>
    <w:rsid w:val="002F467B"/>
    <w:rsid w:val="002F491C"/>
    <w:rsid w:val="002F4995"/>
    <w:rsid w:val="002F4B60"/>
    <w:rsid w:val="002F4BC8"/>
    <w:rsid w:val="002F4C5C"/>
    <w:rsid w:val="002F4C62"/>
    <w:rsid w:val="002F5276"/>
    <w:rsid w:val="002F5355"/>
    <w:rsid w:val="002F5526"/>
    <w:rsid w:val="002F5582"/>
    <w:rsid w:val="002F55AF"/>
    <w:rsid w:val="002F5714"/>
    <w:rsid w:val="002F586B"/>
    <w:rsid w:val="002F5AB6"/>
    <w:rsid w:val="002F5B8B"/>
    <w:rsid w:val="002F5C0B"/>
    <w:rsid w:val="002F5CD2"/>
    <w:rsid w:val="002F61D9"/>
    <w:rsid w:val="002F6213"/>
    <w:rsid w:val="002F6322"/>
    <w:rsid w:val="002F633A"/>
    <w:rsid w:val="002F6568"/>
    <w:rsid w:val="002F6662"/>
    <w:rsid w:val="002F6683"/>
    <w:rsid w:val="002F6786"/>
    <w:rsid w:val="002F680B"/>
    <w:rsid w:val="002F684F"/>
    <w:rsid w:val="002F6857"/>
    <w:rsid w:val="002F694F"/>
    <w:rsid w:val="002F6A04"/>
    <w:rsid w:val="002F6B9B"/>
    <w:rsid w:val="002F6C8B"/>
    <w:rsid w:val="002F717A"/>
    <w:rsid w:val="002F737A"/>
    <w:rsid w:val="002F76F8"/>
    <w:rsid w:val="002F7A12"/>
    <w:rsid w:val="002F7FEF"/>
    <w:rsid w:val="003000BB"/>
    <w:rsid w:val="0030010A"/>
    <w:rsid w:val="0030013A"/>
    <w:rsid w:val="00300363"/>
    <w:rsid w:val="00300402"/>
    <w:rsid w:val="0030048D"/>
    <w:rsid w:val="003004A1"/>
    <w:rsid w:val="003004BD"/>
    <w:rsid w:val="00300532"/>
    <w:rsid w:val="003005A8"/>
    <w:rsid w:val="00300AE2"/>
    <w:rsid w:val="00300B87"/>
    <w:rsid w:val="00300BF9"/>
    <w:rsid w:val="00300D1C"/>
    <w:rsid w:val="00301320"/>
    <w:rsid w:val="0030136D"/>
    <w:rsid w:val="003015D3"/>
    <w:rsid w:val="003015D7"/>
    <w:rsid w:val="0030168F"/>
    <w:rsid w:val="003016CB"/>
    <w:rsid w:val="003016F0"/>
    <w:rsid w:val="00301993"/>
    <w:rsid w:val="00302297"/>
    <w:rsid w:val="00302716"/>
    <w:rsid w:val="003029D8"/>
    <w:rsid w:val="003029F5"/>
    <w:rsid w:val="003029FF"/>
    <w:rsid w:val="00302C35"/>
    <w:rsid w:val="00302DFB"/>
    <w:rsid w:val="00302E4E"/>
    <w:rsid w:val="00303077"/>
    <w:rsid w:val="003030AE"/>
    <w:rsid w:val="0030337E"/>
    <w:rsid w:val="00303524"/>
    <w:rsid w:val="003036B1"/>
    <w:rsid w:val="003036B5"/>
    <w:rsid w:val="00303732"/>
    <w:rsid w:val="00303D8E"/>
    <w:rsid w:val="00303DBA"/>
    <w:rsid w:val="00303DE4"/>
    <w:rsid w:val="00303E56"/>
    <w:rsid w:val="00303E84"/>
    <w:rsid w:val="00303EFD"/>
    <w:rsid w:val="00303F4C"/>
    <w:rsid w:val="00303F8A"/>
    <w:rsid w:val="0030405E"/>
    <w:rsid w:val="003040D3"/>
    <w:rsid w:val="00304346"/>
    <w:rsid w:val="0030475E"/>
    <w:rsid w:val="00304B48"/>
    <w:rsid w:val="00304B8B"/>
    <w:rsid w:val="00304C07"/>
    <w:rsid w:val="00304D8B"/>
    <w:rsid w:val="003051AB"/>
    <w:rsid w:val="0030520E"/>
    <w:rsid w:val="00305691"/>
    <w:rsid w:val="00305765"/>
    <w:rsid w:val="00305824"/>
    <w:rsid w:val="00305942"/>
    <w:rsid w:val="00305A0D"/>
    <w:rsid w:val="00305ADA"/>
    <w:rsid w:val="00305E03"/>
    <w:rsid w:val="00305E81"/>
    <w:rsid w:val="00305E83"/>
    <w:rsid w:val="00305FF7"/>
    <w:rsid w:val="003063FF"/>
    <w:rsid w:val="003066EF"/>
    <w:rsid w:val="003067DF"/>
    <w:rsid w:val="00306845"/>
    <w:rsid w:val="00306A26"/>
    <w:rsid w:val="00306AA8"/>
    <w:rsid w:val="00306BCC"/>
    <w:rsid w:val="00306C40"/>
    <w:rsid w:val="00306CF5"/>
    <w:rsid w:val="00306CFC"/>
    <w:rsid w:val="00306D24"/>
    <w:rsid w:val="00306EE9"/>
    <w:rsid w:val="00306FA2"/>
    <w:rsid w:val="00307038"/>
    <w:rsid w:val="00307451"/>
    <w:rsid w:val="003074E6"/>
    <w:rsid w:val="003075A4"/>
    <w:rsid w:val="00307613"/>
    <w:rsid w:val="003076BD"/>
    <w:rsid w:val="003076EC"/>
    <w:rsid w:val="00307955"/>
    <w:rsid w:val="00307B1D"/>
    <w:rsid w:val="00307C24"/>
    <w:rsid w:val="00307D51"/>
    <w:rsid w:val="00310180"/>
    <w:rsid w:val="003101DB"/>
    <w:rsid w:val="00310272"/>
    <w:rsid w:val="003102C8"/>
    <w:rsid w:val="003104DE"/>
    <w:rsid w:val="00310B32"/>
    <w:rsid w:val="00310B67"/>
    <w:rsid w:val="00310B70"/>
    <w:rsid w:val="00310C35"/>
    <w:rsid w:val="00310C57"/>
    <w:rsid w:val="00310CCB"/>
    <w:rsid w:val="00310E7E"/>
    <w:rsid w:val="00310F83"/>
    <w:rsid w:val="00310F9B"/>
    <w:rsid w:val="0031145D"/>
    <w:rsid w:val="00311527"/>
    <w:rsid w:val="0031167E"/>
    <w:rsid w:val="00311A71"/>
    <w:rsid w:val="00311ADE"/>
    <w:rsid w:val="00311B4E"/>
    <w:rsid w:val="00311B60"/>
    <w:rsid w:val="00311E02"/>
    <w:rsid w:val="00311E81"/>
    <w:rsid w:val="00311F45"/>
    <w:rsid w:val="003121BC"/>
    <w:rsid w:val="00312226"/>
    <w:rsid w:val="0031240B"/>
    <w:rsid w:val="003125F1"/>
    <w:rsid w:val="003125FD"/>
    <w:rsid w:val="00312698"/>
    <w:rsid w:val="003127AB"/>
    <w:rsid w:val="003127D0"/>
    <w:rsid w:val="00312987"/>
    <w:rsid w:val="00312C61"/>
    <w:rsid w:val="00312D88"/>
    <w:rsid w:val="00312EA5"/>
    <w:rsid w:val="00312EEE"/>
    <w:rsid w:val="00312F53"/>
    <w:rsid w:val="00313386"/>
    <w:rsid w:val="003134DF"/>
    <w:rsid w:val="003135DC"/>
    <w:rsid w:val="003136F8"/>
    <w:rsid w:val="00313C33"/>
    <w:rsid w:val="00313CF9"/>
    <w:rsid w:val="00313FAD"/>
    <w:rsid w:val="00314013"/>
    <w:rsid w:val="00314440"/>
    <w:rsid w:val="00314548"/>
    <w:rsid w:val="00314647"/>
    <w:rsid w:val="003146B6"/>
    <w:rsid w:val="003148C8"/>
    <w:rsid w:val="00314927"/>
    <w:rsid w:val="00314C76"/>
    <w:rsid w:val="00314C8B"/>
    <w:rsid w:val="00314E0A"/>
    <w:rsid w:val="00314E37"/>
    <w:rsid w:val="00314F0B"/>
    <w:rsid w:val="00314F6D"/>
    <w:rsid w:val="00315349"/>
    <w:rsid w:val="00315472"/>
    <w:rsid w:val="003154BC"/>
    <w:rsid w:val="0031587A"/>
    <w:rsid w:val="00315ECD"/>
    <w:rsid w:val="0031663D"/>
    <w:rsid w:val="003167B6"/>
    <w:rsid w:val="00316B37"/>
    <w:rsid w:val="00316CA1"/>
    <w:rsid w:val="00316DB4"/>
    <w:rsid w:val="0031704F"/>
    <w:rsid w:val="003171E1"/>
    <w:rsid w:val="003172F6"/>
    <w:rsid w:val="00317454"/>
    <w:rsid w:val="003175F9"/>
    <w:rsid w:val="00317645"/>
    <w:rsid w:val="00317654"/>
    <w:rsid w:val="00317934"/>
    <w:rsid w:val="00317BA9"/>
    <w:rsid w:val="00317CA1"/>
    <w:rsid w:val="00317D8B"/>
    <w:rsid w:val="00317DCF"/>
    <w:rsid w:val="003201DA"/>
    <w:rsid w:val="0032032E"/>
    <w:rsid w:val="00320343"/>
    <w:rsid w:val="0032039E"/>
    <w:rsid w:val="003206D2"/>
    <w:rsid w:val="003207CD"/>
    <w:rsid w:val="0032093F"/>
    <w:rsid w:val="003209DF"/>
    <w:rsid w:val="00320D42"/>
    <w:rsid w:val="00320E96"/>
    <w:rsid w:val="00320F3A"/>
    <w:rsid w:val="00321403"/>
    <w:rsid w:val="003216FE"/>
    <w:rsid w:val="00321722"/>
    <w:rsid w:val="00321A89"/>
    <w:rsid w:val="00321AED"/>
    <w:rsid w:val="00321CA7"/>
    <w:rsid w:val="00321CC2"/>
    <w:rsid w:val="00321D30"/>
    <w:rsid w:val="00321E02"/>
    <w:rsid w:val="00321ED3"/>
    <w:rsid w:val="00321F22"/>
    <w:rsid w:val="00321F64"/>
    <w:rsid w:val="00322008"/>
    <w:rsid w:val="003220ED"/>
    <w:rsid w:val="003221B6"/>
    <w:rsid w:val="00322201"/>
    <w:rsid w:val="003223CE"/>
    <w:rsid w:val="00322543"/>
    <w:rsid w:val="003228D1"/>
    <w:rsid w:val="00322AC5"/>
    <w:rsid w:val="00322F92"/>
    <w:rsid w:val="00322FB1"/>
    <w:rsid w:val="00323103"/>
    <w:rsid w:val="00323137"/>
    <w:rsid w:val="003233F5"/>
    <w:rsid w:val="00323633"/>
    <w:rsid w:val="0032367C"/>
    <w:rsid w:val="00323C7D"/>
    <w:rsid w:val="00323F79"/>
    <w:rsid w:val="003240F6"/>
    <w:rsid w:val="0032421A"/>
    <w:rsid w:val="003242A6"/>
    <w:rsid w:val="003245D7"/>
    <w:rsid w:val="00324ABE"/>
    <w:rsid w:val="00324D5E"/>
    <w:rsid w:val="003251F3"/>
    <w:rsid w:val="00325214"/>
    <w:rsid w:val="00325259"/>
    <w:rsid w:val="00325975"/>
    <w:rsid w:val="00325C1A"/>
    <w:rsid w:val="003260C7"/>
    <w:rsid w:val="003263C2"/>
    <w:rsid w:val="003267BE"/>
    <w:rsid w:val="00326902"/>
    <w:rsid w:val="00326D73"/>
    <w:rsid w:val="00326DB8"/>
    <w:rsid w:val="00326EFE"/>
    <w:rsid w:val="0032724D"/>
    <w:rsid w:val="003272A7"/>
    <w:rsid w:val="003272B9"/>
    <w:rsid w:val="003273F6"/>
    <w:rsid w:val="003274F5"/>
    <w:rsid w:val="00327631"/>
    <w:rsid w:val="0032783F"/>
    <w:rsid w:val="00327CD7"/>
    <w:rsid w:val="00327E02"/>
    <w:rsid w:val="00327E43"/>
    <w:rsid w:val="00327F19"/>
    <w:rsid w:val="0033008A"/>
    <w:rsid w:val="003302EC"/>
    <w:rsid w:val="003302EF"/>
    <w:rsid w:val="0033049E"/>
    <w:rsid w:val="00330651"/>
    <w:rsid w:val="003307B3"/>
    <w:rsid w:val="00330948"/>
    <w:rsid w:val="00330F0E"/>
    <w:rsid w:val="00330F3C"/>
    <w:rsid w:val="003310FD"/>
    <w:rsid w:val="0033120F"/>
    <w:rsid w:val="00331489"/>
    <w:rsid w:val="0033148B"/>
    <w:rsid w:val="003315D7"/>
    <w:rsid w:val="00331686"/>
    <w:rsid w:val="003316E1"/>
    <w:rsid w:val="00331705"/>
    <w:rsid w:val="00331786"/>
    <w:rsid w:val="00331B33"/>
    <w:rsid w:val="00331C11"/>
    <w:rsid w:val="00331C55"/>
    <w:rsid w:val="00331C85"/>
    <w:rsid w:val="00331E4D"/>
    <w:rsid w:val="0033207B"/>
    <w:rsid w:val="0033210D"/>
    <w:rsid w:val="003324C5"/>
    <w:rsid w:val="0033250F"/>
    <w:rsid w:val="00332658"/>
    <w:rsid w:val="003326A6"/>
    <w:rsid w:val="003326C9"/>
    <w:rsid w:val="00332744"/>
    <w:rsid w:val="003328E4"/>
    <w:rsid w:val="003328EC"/>
    <w:rsid w:val="00332919"/>
    <w:rsid w:val="00332BAA"/>
    <w:rsid w:val="00332C9F"/>
    <w:rsid w:val="0033327A"/>
    <w:rsid w:val="003334BA"/>
    <w:rsid w:val="003335B4"/>
    <w:rsid w:val="0033366E"/>
    <w:rsid w:val="00333A7F"/>
    <w:rsid w:val="00333C46"/>
    <w:rsid w:val="00333EF6"/>
    <w:rsid w:val="00333FDB"/>
    <w:rsid w:val="0033462B"/>
    <w:rsid w:val="00334663"/>
    <w:rsid w:val="0033497C"/>
    <w:rsid w:val="00334A13"/>
    <w:rsid w:val="00334AA5"/>
    <w:rsid w:val="00334D6D"/>
    <w:rsid w:val="00334D8E"/>
    <w:rsid w:val="00334F9D"/>
    <w:rsid w:val="0033504A"/>
    <w:rsid w:val="003350F9"/>
    <w:rsid w:val="00335230"/>
    <w:rsid w:val="00335238"/>
    <w:rsid w:val="003353A3"/>
    <w:rsid w:val="00335493"/>
    <w:rsid w:val="003355B7"/>
    <w:rsid w:val="00335699"/>
    <w:rsid w:val="00335957"/>
    <w:rsid w:val="003359B9"/>
    <w:rsid w:val="003359FE"/>
    <w:rsid w:val="00335BCA"/>
    <w:rsid w:val="00335C4D"/>
    <w:rsid w:val="00335F4B"/>
    <w:rsid w:val="00335FCF"/>
    <w:rsid w:val="003361AE"/>
    <w:rsid w:val="00336556"/>
    <w:rsid w:val="003366C0"/>
    <w:rsid w:val="00336979"/>
    <w:rsid w:val="003369D8"/>
    <w:rsid w:val="00336A69"/>
    <w:rsid w:val="00336BC7"/>
    <w:rsid w:val="00336C8A"/>
    <w:rsid w:val="00336DB5"/>
    <w:rsid w:val="00337055"/>
    <w:rsid w:val="003371F9"/>
    <w:rsid w:val="003373A6"/>
    <w:rsid w:val="003374FC"/>
    <w:rsid w:val="003375BD"/>
    <w:rsid w:val="003376E2"/>
    <w:rsid w:val="00337849"/>
    <w:rsid w:val="00337988"/>
    <w:rsid w:val="00337A64"/>
    <w:rsid w:val="00337A9C"/>
    <w:rsid w:val="00337ABF"/>
    <w:rsid w:val="00337C67"/>
    <w:rsid w:val="00337F51"/>
    <w:rsid w:val="00337FB0"/>
    <w:rsid w:val="0034005E"/>
    <w:rsid w:val="003400AC"/>
    <w:rsid w:val="003401A5"/>
    <w:rsid w:val="003404B9"/>
    <w:rsid w:val="0034063E"/>
    <w:rsid w:val="003406E8"/>
    <w:rsid w:val="00340D75"/>
    <w:rsid w:val="00341140"/>
    <w:rsid w:val="0034114E"/>
    <w:rsid w:val="0034131C"/>
    <w:rsid w:val="003413F9"/>
    <w:rsid w:val="0034163D"/>
    <w:rsid w:val="003417B4"/>
    <w:rsid w:val="0034184A"/>
    <w:rsid w:val="00341C91"/>
    <w:rsid w:val="00341FEE"/>
    <w:rsid w:val="003422FA"/>
    <w:rsid w:val="003424AF"/>
    <w:rsid w:val="0034262D"/>
    <w:rsid w:val="0034266D"/>
    <w:rsid w:val="00342763"/>
    <w:rsid w:val="00342AA5"/>
    <w:rsid w:val="00342AD6"/>
    <w:rsid w:val="00342E80"/>
    <w:rsid w:val="00342F3E"/>
    <w:rsid w:val="00343643"/>
    <w:rsid w:val="00343721"/>
    <w:rsid w:val="00343774"/>
    <w:rsid w:val="003437A1"/>
    <w:rsid w:val="003437FD"/>
    <w:rsid w:val="003438C1"/>
    <w:rsid w:val="00343A0A"/>
    <w:rsid w:val="00343A63"/>
    <w:rsid w:val="00343B14"/>
    <w:rsid w:val="00344071"/>
    <w:rsid w:val="00344198"/>
    <w:rsid w:val="0034459C"/>
    <w:rsid w:val="003446F4"/>
    <w:rsid w:val="00344823"/>
    <w:rsid w:val="00344925"/>
    <w:rsid w:val="00344932"/>
    <w:rsid w:val="00344B51"/>
    <w:rsid w:val="00344BF0"/>
    <w:rsid w:val="00344C3C"/>
    <w:rsid w:val="00344F98"/>
    <w:rsid w:val="00345060"/>
    <w:rsid w:val="003451A7"/>
    <w:rsid w:val="003453B0"/>
    <w:rsid w:val="00345408"/>
    <w:rsid w:val="003454B9"/>
    <w:rsid w:val="00345677"/>
    <w:rsid w:val="00345714"/>
    <w:rsid w:val="003459C2"/>
    <w:rsid w:val="00345A6B"/>
    <w:rsid w:val="00345AA5"/>
    <w:rsid w:val="00346027"/>
    <w:rsid w:val="003460CF"/>
    <w:rsid w:val="00346120"/>
    <w:rsid w:val="00346162"/>
    <w:rsid w:val="00346343"/>
    <w:rsid w:val="003466C6"/>
    <w:rsid w:val="003466CF"/>
    <w:rsid w:val="003466F6"/>
    <w:rsid w:val="00346806"/>
    <w:rsid w:val="0034685A"/>
    <w:rsid w:val="00346A1A"/>
    <w:rsid w:val="00346AFF"/>
    <w:rsid w:val="00346B9C"/>
    <w:rsid w:val="0034717E"/>
    <w:rsid w:val="0034719A"/>
    <w:rsid w:val="00347239"/>
    <w:rsid w:val="00347311"/>
    <w:rsid w:val="00347582"/>
    <w:rsid w:val="0034773C"/>
    <w:rsid w:val="00347751"/>
    <w:rsid w:val="00347CFA"/>
    <w:rsid w:val="00347D63"/>
    <w:rsid w:val="00347E99"/>
    <w:rsid w:val="00350506"/>
    <w:rsid w:val="00350786"/>
    <w:rsid w:val="00350A4F"/>
    <w:rsid w:val="00350C33"/>
    <w:rsid w:val="00350E01"/>
    <w:rsid w:val="003511F0"/>
    <w:rsid w:val="0035131C"/>
    <w:rsid w:val="00351400"/>
    <w:rsid w:val="0035165B"/>
    <w:rsid w:val="00351695"/>
    <w:rsid w:val="00351710"/>
    <w:rsid w:val="003518DA"/>
    <w:rsid w:val="00351A13"/>
    <w:rsid w:val="00351B4C"/>
    <w:rsid w:val="00351DB7"/>
    <w:rsid w:val="00351ECC"/>
    <w:rsid w:val="0035213B"/>
    <w:rsid w:val="003521F1"/>
    <w:rsid w:val="0035235F"/>
    <w:rsid w:val="003524AE"/>
    <w:rsid w:val="00352504"/>
    <w:rsid w:val="003525C0"/>
    <w:rsid w:val="00352A9C"/>
    <w:rsid w:val="00352BED"/>
    <w:rsid w:val="00352D07"/>
    <w:rsid w:val="00352E1B"/>
    <w:rsid w:val="00352EB5"/>
    <w:rsid w:val="00352F5E"/>
    <w:rsid w:val="0035302D"/>
    <w:rsid w:val="0035305A"/>
    <w:rsid w:val="003530C8"/>
    <w:rsid w:val="003530D4"/>
    <w:rsid w:val="0035316C"/>
    <w:rsid w:val="0035320E"/>
    <w:rsid w:val="00353218"/>
    <w:rsid w:val="00353418"/>
    <w:rsid w:val="00353488"/>
    <w:rsid w:val="003534A6"/>
    <w:rsid w:val="003535FD"/>
    <w:rsid w:val="003537DD"/>
    <w:rsid w:val="003539F9"/>
    <w:rsid w:val="00353B28"/>
    <w:rsid w:val="00353F31"/>
    <w:rsid w:val="00353FE0"/>
    <w:rsid w:val="00354141"/>
    <w:rsid w:val="0035417B"/>
    <w:rsid w:val="0035424B"/>
    <w:rsid w:val="003544E1"/>
    <w:rsid w:val="0035469A"/>
    <w:rsid w:val="003549D5"/>
    <w:rsid w:val="00354A0B"/>
    <w:rsid w:val="00354D10"/>
    <w:rsid w:val="00354D8B"/>
    <w:rsid w:val="00355198"/>
    <w:rsid w:val="003551A1"/>
    <w:rsid w:val="0035535F"/>
    <w:rsid w:val="00355428"/>
    <w:rsid w:val="0035554D"/>
    <w:rsid w:val="0035575B"/>
    <w:rsid w:val="00355802"/>
    <w:rsid w:val="00355805"/>
    <w:rsid w:val="00355C9E"/>
    <w:rsid w:val="00355EBC"/>
    <w:rsid w:val="00355F04"/>
    <w:rsid w:val="00356211"/>
    <w:rsid w:val="003564E0"/>
    <w:rsid w:val="00356734"/>
    <w:rsid w:val="003568EC"/>
    <w:rsid w:val="00356AEE"/>
    <w:rsid w:val="00356EC5"/>
    <w:rsid w:val="00356FC6"/>
    <w:rsid w:val="003570C3"/>
    <w:rsid w:val="003574C9"/>
    <w:rsid w:val="0035775F"/>
    <w:rsid w:val="00357D0A"/>
    <w:rsid w:val="00357D4E"/>
    <w:rsid w:val="00357E13"/>
    <w:rsid w:val="00357FBB"/>
    <w:rsid w:val="00360644"/>
    <w:rsid w:val="003607C7"/>
    <w:rsid w:val="003608CB"/>
    <w:rsid w:val="00360CCF"/>
    <w:rsid w:val="00360E51"/>
    <w:rsid w:val="003611E9"/>
    <w:rsid w:val="00361685"/>
    <w:rsid w:val="0036183F"/>
    <w:rsid w:val="003619B4"/>
    <w:rsid w:val="00361E23"/>
    <w:rsid w:val="00361E40"/>
    <w:rsid w:val="003622AD"/>
    <w:rsid w:val="00362366"/>
    <w:rsid w:val="00362624"/>
    <w:rsid w:val="003627EC"/>
    <w:rsid w:val="003628CE"/>
    <w:rsid w:val="00362A89"/>
    <w:rsid w:val="00362AF7"/>
    <w:rsid w:val="00362BE1"/>
    <w:rsid w:val="00362C05"/>
    <w:rsid w:val="00362CD3"/>
    <w:rsid w:val="00363029"/>
    <w:rsid w:val="00363046"/>
    <w:rsid w:val="0036320F"/>
    <w:rsid w:val="003632FA"/>
    <w:rsid w:val="003633AA"/>
    <w:rsid w:val="0036341A"/>
    <w:rsid w:val="00363B67"/>
    <w:rsid w:val="00363BF1"/>
    <w:rsid w:val="00363C6E"/>
    <w:rsid w:val="00363DD3"/>
    <w:rsid w:val="00364251"/>
    <w:rsid w:val="00364315"/>
    <w:rsid w:val="0036442D"/>
    <w:rsid w:val="00364671"/>
    <w:rsid w:val="003648A4"/>
    <w:rsid w:val="003649C2"/>
    <w:rsid w:val="00364C5D"/>
    <w:rsid w:val="00364C7B"/>
    <w:rsid w:val="0036502E"/>
    <w:rsid w:val="003650C9"/>
    <w:rsid w:val="003652D5"/>
    <w:rsid w:val="00365387"/>
    <w:rsid w:val="00365850"/>
    <w:rsid w:val="00365D16"/>
    <w:rsid w:val="00365D6B"/>
    <w:rsid w:val="00365D9C"/>
    <w:rsid w:val="00365EC1"/>
    <w:rsid w:val="0036614F"/>
    <w:rsid w:val="00366162"/>
    <w:rsid w:val="00366222"/>
    <w:rsid w:val="0036639E"/>
    <w:rsid w:val="003663D0"/>
    <w:rsid w:val="00366444"/>
    <w:rsid w:val="0036653A"/>
    <w:rsid w:val="0036658E"/>
    <w:rsid w:val="003665D8"/>
    <w:rsid w:val="00366722"/>
    <w:rsid w:val="00366740"/>
    <w:rsid w:val="0036679F"/>
    <w:rsid w:val="0036695F"/>
    <w:rsid w:val="003669E6"/>
    <w:rsid w:val="003669EC"/>
    <w:rsid w:val="00366AE4"/>
    <w:rsid w:val="00366B07"/>
    <w:rsid w:val="0036718E"/>
    <w:rsid w:val="00367350"/>
    <w:rsid w:val="003674F1"/>
    <w:rsid w:val="003677B0"/>
    <w:rsid w:val="003677FB"/>
    <w:rsid w:val="00367885"/>
    <w:rsid w:val="003678C0"/>
    <w:rsid w:val="003678DA"/>
    <w:rsid w:val="00367B26"/>
    <w:rsid w:val="00367B55"/>
    <w:rsid w:val="00367B9E"/>
    <w:rsid w:val="00367DC0"/>
    <w:rsid w:val="00367E0D"/>
    <w:rsid w:val="00367F56"/>
    <w:rsid w:val="003700A5"/>
    <w:rsid w:val="003705A6"/>
    <w:rsid w:val="003705EA"/>
    <w:rsid w:val="003706A5"/>
    <w:rsid w:val="0037075F"/>
    <w:rsid w:val="00370880"/>
    <w:rsid w:val="00370CF4"/>
    <w:rsid w:val="00370D81"/>
    <w:rsid w:val="00370F0E"/>
    <w:rsid w:val="00371231"/>
    <w:rsid w:val="00371319"/>
    <w:rsid w:val="003713AB"/>
    <w:rsid w:val="00371487"/>
    <w:rsid w:val="003718FC"/>
    <w:rsid w:val="00371D6B"/>
    <w:rsid w:val="00371F43"/>
    <w:rsid w:val="003722DE"/>
    <w:rsid w:val="00372494"/>
    <w:rsid w:val="00372526"/>
    <w:rsid w:val="00372670"/>
    <w:rsid w:val="00372735"/>
    <w:rsid w:val="00372749"/>
    <w:rsid w:val="00372C57"/>
    <w:rsid w:val="00372CC7"/>
    <w:rsid w:val="00372CDB"/>
    <w:rsid w:val="00372F3B"/>
    <w:rsid w:val="00372F71"/>
    <w:rsid w:val="00372F7B"/>
    <w:rsid w:val="003732B0"/>
    <w:rsid w:val="003732E9"/>
    <w:rsid w:val="00373337"/>
    <w:rsid w:val="003733F4"/>
    <w:rsid w:val="003733FE"/>
    <w:rsid w:val="00373411"/>
    <w:rsid w:val="00373524"/>
    <w:rsid w:val="0037366C"/>
    <w:rsid w:val="00373817"/>
    <w:rsid w:val="003738C3"/>
    <w:rsid w:val="00373983"/>
    <w:rsid w:val="003739DA"/>
    <w:rsid w:val="00373DA6"/>
    <w:rsid w:val="00373DB8"/>
    <w:rsid w:val="00373DE0"/>
    <w:rsid w:val="00373E20"/>
    <w:rsid w:val="003740EE"/>
    <w:rsid w:val="00374187"/>
    <w:rsid w:val="00374223"/>
    <w:rsid w:val="0037431F"/>
    <w:rsid w:val="00374561"/>
    <w:rsid w:val="003745B1"/>
    <w:rsid w:val="0037488B"/>
    <w:rsid w:val="00374A57"/>
    <w:rsid w:val="00374B3E"/>
    <w:rsid w:val="00374E0B"/>
    <w:rsid w:val="00374F99"/>
    <w:rsid w:val="0037524B"/>
    <w:rsid w:val="00375352"/>
    <w:rsid w:val="003753AB"/>
    <w:rsid w:val="0037554C"/>
    <w:rsid w:val="003755E2"/>
    <w:rsid w:val="00375666"/>
    <w:rsid w:val="00375692"/>
    <w:rsid w:val="003757ED"/>
    <w:rsid w:val="00375893"/>
    <w:rsid w:val="003758C0"/>
    <w:rsid w:val="00375B75"/>
    <w:rsid w:val="00375C20"/>
    <w:rsid w:val="00375D19"/>
    <w:rsid w:val="00375DB5"/>
    <w:rsid w:val="00375EE3"/>
    <w:rsid w:val="0037604E"/>
    <w:rsid w:val="0037614D"/>
    <w:rsid w:val="003763E7"/>
    <w:rsid w:val="003764C5"/>
    <w:rsid w:val="003765FE"/>
    <w:rsid w:val="00376E2F"/>
    <w:rsid w:val="00377146"/>
    <w:rsid w:val="0037760B"/>
    <w:rsid w:val="00377BB8"/>
    <w:rsid w:val="00377D5A"/>
    <w:rsid w:val="0038014E"/>
    <w:rsid w:val="003802C6"/>
    <w:rsid w:val="00380336"/>
    <w:rsid w:val="003803C3"/>
    <w:rsid w:val="0038057D"/>
    <w:rsid w:val="003805B3"/>
    <w:rsid w:val="003808A4"/>
    <w:rsid w:val="003809A9"/>
    <w:rsid w:val="00380A70"/>
    <w:rsid w:val="00380CA5"/>
    <w:rsid w:val="00380FC9"/>
    <w:rsid w:val="003811F1"/>
    <w:rsid w:val="0038126D"/>
    <w:rsid w:val="003812DA"/>
    <w:rsid w:val="0038182B"/>
    <w:rsid w:val="00381DA5"/>
    <w:rsid w:val="00381E58"/>
    <w:rsid w:val="003821A7"/>
    <w:rsid w:val="003822F7"/>
    <w:rsid w:val="00382447"/>
    <w:rsid w:val="003827E2"/>
    <w:rsid w:val="00382918"/>
    <w:rsid w:val="003829A0"/>
    <w:rsid w:val="00382DE2"/>
    <w:rsid w:val="00382E64"/>
    <w:rsid w:val="00382F5A"/>
    <w:rsid w:val="0038321F"/>
    <w:rsid w:val="0038324B"/>
    <w:rsid w:val="00383328"/>
    <w:rsid w:val="00383643"/>
    <w:rsid w:val="003837EC"/>
    <w:rsid w:val="00383D45"/>
    <w:rsid w:val="00383DBB"/>
    <w:rsid w:val="00383E12"/>
    <w:rsid w:val="0038403E"/>
    <w:rsid w:val="003844C4"/>
    <w:rsid w:val="0038455E"/>
    <w:rsid w:val="003845A0"/>
    <w:rsid w:val="00384A14"/>
    <w:rsid w:val="00384B57"/>
    <w:rsid w:val="00384BB2"/>
    <w:rsid w:val="00384C7E"/>
    <w:rsid w:val="00384F98"/>
    <w:rsid w:val="00384F9A"/>
    <w:rsid w:val="003851F3"/>
    <w:rsid w:val="00385209"/>
    <w:rsid w:val="003852DC"/>
    <w:rsid w:val="0038573F"/>
    <w:rsid w:val="003857CB"/>
    <w:rsid w:val="003858D5"/>
    <w:rsid w:val="00385A6A"/>
    <w:rsid w:val="00385B8F"/>
    <w:rsid w:val="00385CF4"/>
    <w:rsid w:val="00386231"/>
    <w:rsid w:val="003863A6"/>
    <w:rsid w:val="0038669C"/>
    <w:rsid w:val="003867A3"/>
    <w:rsid w:val="003868F2"/>
    <w:rsid w:val="00386B0D"/>
    <w:rsid w:val="00386D8B"/>
    <w:rsid w:val="0038713D"/>
    <w:rsid w:val="003873B1"/>
    <w:rsid w:val="00387485"/>
    <w:rsid w:val="003874F3"/>
    <w:rsid w:val="00387512"/>
    <w:rsid w:val="003875B0"/>
    <w:rsid w:val="003875EA"/>
    <w:rsid w:val="00387A07"/>
    <w:rsid w:val="00387A38"/>
    <w:rsid w:val="00387ED0"/>
    <w:rsid w:val="003900B8"/>
    <w:rsid w:val="00390150"/>
    <w:rsid w:val="003904FE"/>
    <w:rsid w:val="00390726"/>
    <w:rsid w:val="00390785"/>
    <w:rsid w:val="003907E5"/>
    <w:rsid w:val="00390943"/>
    <w:rsid w:val="00390D4C"/>
    <w:rsid w:val="00390E27"/>
    <w:rsid w:val="003910FC"/>
    <w:rsid w:val="00391244"/>
    <w:rsid w:val="003914F0"/>
    <w:rsid w:val="003915CF"/>
    <w:rsid w:val="0039186E"/>
    <w:rsid w:val="0039190D"/>
    <w:rsid w:val="00391A86"/>
    <w:rsid w:val="00391B66"/>
    <w:rsid w:val="00391CE2"/>
    <w:rsid w:val="003925D2"/>
    <w:rsid w:val="00392797"/>
    <w:rsid w:val="0039287F"/>
    <w:rsid w:val="00392B05"/>
    <w:rsid w:val="00392B9D"/>
    <w:rsid w:val="00392E60"/>
    <w:rsid w:val="00392F19"/>
    <w:rsid w:val="00392FCE"/>
    <w:rsid w:val="003931A1"/>
    <w:rsid w:val="003933B0"/>
    <w:rsid w:val="00393415"/>
    <w:rsid w:val="0039350E"/>
    <w:rsid w:val="003936A6"/>
    <w:rsid w:val="003937D9"/>
    <w:rsid w:val="0039393C"/>
    <w:rsid w:val="003939E0"/>
    <w:rsid w:val="00393BC4"/>
    <w:rsid w:val="00393E32"/>
    <w:rsid w:val="00393EC5"/>
    <w:rsid w:val="00393EFF"/>
    <w:rsid w:val="0039410E"/>
    <w:rsid w:val="00394261"/>
    <w:rsid w:val="003942F2"/>
    <w:rsid w:val="003949A7"/>
    <w:rsid w:val="00394AF0"/>
    <w:rsid w:val="00394B37"/>
    <w:rsid w:val="00394D75"/>
    <w:rsid w:val="00394E06"/>
    <w:rsid w:val="00394E88"/>
    <w:rsid w:val="00394EAB"/>
    <w:rsid w:val="00395020"/>
    <w:rsid w:val="003952E3"/>
    <w:rsid w:val="00395373"/>
    <w:rsid w:val="0039540E"/>
    <w:rsid w:val="003955CB"/>
    <w:rsid w:val="00395707"/>
    <w:rsid w:val="0039575E"/>
    <w:rsid w:val="003957A2"/>
    <w:rsid w:val="0039589B"/>
    <w:rsid w:val="00395B2D"/>
    <w:rsid w:val="00395BA9"/>
    <w:rsid w:val="00395EED"/>
    <w:rsid w:val="0039612E"/>
    <w:rsid w:val="0039628A"/>
    <w:rsid w:val="003964CE"/>
    <w:rsid w:val="003968D0"/>
    <w:rsid w:val="003968F2"/>
    <w:rsid w:val="00396B8F"/>
    <w:rsid w:val="00396BFF"/>
    <w:rsid w:val="00396D42"/>
    <w:rsid w:val="00396E74"/>
    <w:rsid w:val="00396F16"/>
    <w:rsid w:val="0039719C"/>
    <w:rsid w:val="003973C6"/>
    <w:rsid w:val="00397707"/>
    <w:rsid w:val="0039788C"/>
    <w:rsid w:val="00397D74"/>
    <w:rsid w:val="00397DCC"/>
    <w:rsid w:val="00397F28"/>
    <w:rsid w:val="00397FAF"/>
    <w:rsid w:val="003A0054"/>
    <w:rsid w:val="003A00F2"/>
    <w:rsid w:val="003A0120"/>
    <w:rsid w:val="003A07E0"/>
    <w:rsid w:val="003A08C1"/>
    <w:rsid w:val="003A0911"/>
    <w:rsid w:val="003A0A57"/>
    <w:rsid w:val="003A0BFE"/>
    <w:rsid w:val="003A0C35"/>
    <w:rsid w:val="003A0EC2"/>
    <w:rsid w:val="003A0FBD"/>
    <w:rsid w:val="003A1057"/>
    <w:rsid w:val="003A11D1"/>
    <w:rsid w:val="003A1285"/>
    <w:rsid w:val="003A13B3"/>
    <w:rsid w:val="003A14D0"/>
    <w:rsid w:val="003A16DD"/>
    <w:rsid w:val="003A1927"/>
    <w:rsid w:val="003A1A31"/>
    <w:rsid w:val="003A1CE2"/>
    <w:rsid w:val="003A1DA0"/>
    <w:rsid w:val="003A1EC7"/>
    <w:rsid w:val="003A22D1"/>
    <w:rsid w:val="003A2397"/>
    <w:rsid w:val="003A2417"/>
    <w:rsid w:val="003A25B9"/>
    <w:rsid w:val="003A264F"/>
    <w:rsid w:val="003A2721"/>
    <w:rsid w:val="003A28A8"/>
    <w:rsid w:val="003A2942"/>
    <w:rsid w:val="003A2950"/>
    <w:rsid w:val="003A2952"/>
    <w:rsid w:val="003A2D9A"/>
    <w:rsid w:val="003A2FCE"/>
    <w:rsid w:val="003A31DE"/>
    <w:rsid w:val="003A31ED"/>
    <w:rsid w:val="003A3255"/>
    <w:rsid w:val="003A339E"/>
    <w:rsid w:val="003A33AE"/>
    <w:rsid w:val="003A35F6"/>
    <w:rsid w:val="003A376A"/>
    <w:rsid w:val="003A3865"/>
    <w:rsid w:val="003A3B29"/>
    <w:rsid w:val="003A3B67"/>
    <w:rsid w:val="003A3DD3"/>
    <w:rsid w:val="003A3FAA"/>
    <w:rsid w:val="003A40F3"/>
    <w:rsid w:val="003A4243"/>
    <w:rsid w:val="003A42F3"/>
    <w:rsid w:val="003A446A"/>
    <w:rsid w:val="003A4812"/>
    <w:rsid w:val="003A4845"/>
    <w:rsid w:val="003A4C3F"/>
    <w:rsid w:val="003A4CA3"/>
    <w:rsid w:val="003A4CCF"/>
    <w:rsid w:val="003A504F"/>
    <w:rsid w:val="003A534A"/>
    <w:rsid w:val="003A56B2"/>
    <w:rsid w:val="003A56B5"/>
    <w:rsid w:val="003A597A"/>
    <w:rsid w:val="003A5A8E"/>
    <w:rsid w:val="003A5C55"/>
    <w:rsid w:val="003A5F85"/>
    <w:rsid w:val="003A5FCF"/>
    <w:rsid w:val="003A6008"/>
    <w:rsid w:val="003A6317"/>
    <w:rsid w:val="003A654D"/>
    <w:rsid w:val="003A66DB"/>
    <w:rsid w:val="003A68C2"/>
    <w:rsid w:val="003A6C35"/>
    <w:rsid w:val="003A6C6F"/>
    <w:rsid w:val="003A6DB2"/>
    <w:rsid w:val="003A70F7"/>
    <w:rsid w:val="003A7645"/>
    <w:rsid w:val="003A76A3"/>
    <w:rsid w:val="003A7862"/>
    <w:rsid w:val="003A794E"/>
    <w:rsid w:val="003A7C83"/>
    <w:rsid w:val="003A7ECA"/>
    <w:rsid w:val="003A7F3B"/>
    <w:rsid w:val="003A7F6D"/>
    <w:rsid w:val="003A7FBC"/>
    <w:rsid w:val="003B0110"/>
    <w:rsid w:val="003B0352"/>
    <w:rsid w:val="003B0499"/>
    <w:rsid w:val="003B06C8"/>
    <w:rsid w:val="003B07DC"/>
    <w:rsid w:val="003B0920"/>
    <w:rsid w:val="003B0AA3"/>
    <w:rsid w:val="003B0E18"/>
    <w:rsid w:val="003B1094"/>
    <w:rsid w:val="003B11DB"/>
    <w:rsid w:val="003B13AE"/>
    <w:rsid w:val="003B1487"/>
    <w:rsid w:val="003B15AD"/>
    <w:rsid w:val="003B178C"/>
    <w:rsid w:val="003B1A73"/>
    <w:rsid w:val="003B1C44"/>
    <w:rsid w:val="003B1D9F"/>
    <w:rsid w:val="003B1E70"/>
    <w:rsid w:val="003B1E7D"/>
    <w:rsid w:val="003B1F56"/>
    <w:rsid w:val="003B2000"/>
    <w:rsid w:val="003B21E9"/>
    <w:rsid w:val="003B2284"/>
    <w:rsid w:val="003B236A"/>
    <w:rsid w:val="003B2571"/>
    <w:rsid w:val="003B2879"/>
    <w:rsid w:val="003B28B6"/>
    <w:rsid w:val="003B2966"/>
    <w:rsid w:val="003B2995"/>
    <w:rsid w:val="003B2C27"/>
    <w:rsid w:val="003B303E"/>
    <w:rsid w:val="003B306F"/>
    <w:rsid w:val="003B3141"/>
    <w:rsid w:val="003B31C5"/>
    <w:rsid w:val="003B333A"/>
    <w:rsid w:val="003B36F0"/>
    <w:rsid w:val="003B3724"/>
    <w:rsid w:val="003B39DD"/>
    <w:rsid w:val="003B3DFB"/>
    <w:rsid w:val="003B4072"/>
    <w:rsid w:val="003B40DB"/>
    <w:rsid w:val="003B4250"/>
    <w:rsid w:val="003B4498"/>
    <w:rsid w:val="003B46DD"/>
    <w:rsid w:val="003B4B81"/>
    <w:rsid w:val="003B4C2C"/>
    <w:rsid w:val="003B4D21"/>
    <w:rsid w:val="003B4D5D"/>
    <w:rsid w:val="003B4E6D"/>
    <w:rsid w:val="003B4F1B"/>
    <w:rsid w:val="003B4F81"/>
    <w:rsid w:val="003B4FC1"/>
    <w:rsid w:val="003B5015"/>
    <w:rsid w:val="003B543C"/>
    <w:rsid w:val="003B5540"/>
    <w:rsid w:val="003B5A2E"/>
    <w:rsid w:val="003B5AAC"/>
    <w:rsid w:val="003B5BB9"/>
    <w:rsid w:val="003B5BFD"/>
    <w:rsid w:val="003B5CAA"/>
    <w:rsid w:val="003B60D0"/>
    <w:rsid w:val="003B6327"/>
    <w:rsid w:val="003B6661"/>
    <w:rsid w:val="003B67F0"/>
    <w:rsid w:val="003B68BF"/>
    <w:rsid w:val="003B6F52"/>
    <w:rsid w:val="003B6FB5"/>
    <w:rsid w:val="003B70B2"/>
    <w:rsid w:val="003B72B5"/>
    <w:rsid w:val="003B7487"/>
    <w:rsid w:val="003B7617"/>
    <w:rsid w:val="003B7837"/>
    <w:rsid w:val="003B7868"/>
    <w:rsid w:val="003B7BD0"/>
    <w:rsid w:val="003B7F99"/>
    <w:rsid w:val="003C02B3"/>
    <w:rsid w:val="003C04CA"/>
    <w:rsid w:val="003C0803"/>
    <w:rsid w:val="003C080A"/>
    <w:rsid w:val="003C0873"/>
    <w:rsid w:val="003C09B7"/>
    <w:rsid w:val="003C0B5C"/>
    <w:rsid w:val="003C0C02"/>
    <w:rsid w:val="003C1185"/>
    <w:rsid w:val="003C11E1"/>
    <w:rsid w:val="003C11F2"/>
    <w:rsid w:val="003C12F9"/>
    <w:rsid w:val="003C143B"/>
    <w:rsid w:val="003C150D"/>
    <w:rsid w:val="003C1C34"/>
    <w:rsid w:val="003C1C53"/>
    <w:rsid w:val="003C1DD0"/>
    <w:rsid w:val="003C21D6"/>
    <w:rsid w:val="003C2664"/>
    <w:rsid w:val="003C266A"/>
    <w:rsid w:val="003C2730"/>
    <w:rsid w:val="003C27C9"/>
    <w:rsid w:val="003C2A33"/>
    <w:rsid w:val="003C2F39"/>
    <w:rsid w:val="003C2FE7"/>
    <w:rsid w:val="003C3331"/>
    <w:rsid w:val="003C334F"/>
    <w:rsid w:val="003C3363"/>
    <w:rsid w:val="003C339D"/>
    <w:rsid w:val="003C33D1"/>
    <w:rsid w:val="003C36B1"/>
    <w:rsid w:val="003C3B9C"/>
    <w:rsid w:val="003C3C58"/>
    <w:rsid w:val="003C3FF8"/>
    <w:rsid w:val="003C40B3"/>
    <w:rsid w:val="003C42D1"/>
    <w:rsid w:val="003C42FA"/>
    <w:rsid w:val="003C4422"/>
    <w:rsid w:val="003C4458"/>
    <w:rsid w:val="003C4731"/>
    <w:rsid w:val="003C4751"/>
    <w:rsid w:val="003C4807"/>
    <w:rsid w:val="003C4854"/>
    <w:rsid w:val="003C4855"/>
    <w:rsid w:val="003C494B"/>
    <w:rsid w:val="003C4CF7"/>
    <w:rsid w:val="003C507E"/>
    <w:rsid w:val="003C5113"/>
    <w:rsid w:val="003C5141"/>
    <w:rsid w:val="003C51F6"/>
    <w:rsid w:val="003C5416"/>
    <w:rsid w:val="003C5534"/>
    <w:rsid w:val="003C58DB"/>
    <w:rsid w:val="003C5D25"/>
    <w:rsid w:val="003C5F30"/>
    <w:rsid w:val="003C6099"/>
    <w:rsid w:val="003C6209"/>
    <w:rsid w:val="003C6724"/>
    <w:rsid w:val="003C6776"/>
    <w:rsid w:val="003C6791"/>
    <w:rsid w:val="003C6AC1"/>
    <w:rsid w:val="003C6AEA"/>
    <w:rsid w:val="003C6D8B"/>
    <w:rsid w:val="003C6DA7"/>
    <w:rsid w:val="003C6E9B"/>
    <w:rsid w:val="003C6F1D"/>
    <w:rsid w:val="003C6FA8"/>
    <w:rsid w:val="003C7020"/>
    <w:rsid w:val="003C718C"/>
    <w:rsid w:val="003C72F4"/>
    <w:rsid w:val="003C7877"/>
    <w:rsid w:val="003C7B45"/>
    <w:rsid w:val="003C7C4B"/>
    <w:rsid w:val="003D0141"/>
    <w:rsid w:val="003D02A3"/>
    <w:rsid w:val="003D02B8"/>
    <w:rsid w:val="003D0386"/>
    <w:rsid w:val="003D051B"/>
    <w:rsid w:val="003D0531"/>
    <w:rsid w:val="003D062B"/>
    <w:rsid w:val="003D0794"/>
    <w:rsid w:val="003D0AF8"/>
    <w:rsid w:val="003D0CE4"/>
    <w:rsid w:val="003D0EFE"/>
    <w:rsid w:val="003D0F95"/>
    <w:rsid w:val="003D1062"/>
    <w:rsid w:val="003D1465"/>
    <w:rsid w:val="003D14E7"/>
    <w:rsid w:val="003D156E"/>
    <w:rsid w:val="003D1929"/>
    <w:rsid w:val="003D19B1"/>
    <w:rsid w:val="003D19B6"/>
    <w:rsid w:val="003D1A54"/>
    <w:rsid w:val="003D1BBD"/>
    <w:rsid w:val="003D1C50"/>
    <w:rsid w:val="003D1C6C"/>
    <w:rsid w:val="003D1F5B"/>
    <w:rsid w:val="003D1F6F"/>
    <w:rsid w:val="003D1FBC"/>
    <w:rsid w:val="003D21B6"/>
    <w:rsid w:val="003D2206"/>
    <w:rsid w:val="003D2436"/>
    <w:rsid w:val="003D245E"/>
    <w:rsid w:val="003D250D"/>
    <w:rsid w:val="003D2573"/>
    <w:rsid w:val="003D2767"/>
    <w:rsid w:val="003D281B"/>
    <w:rsid w:val="003D2A5E"/>
    <w:rsid w:val="003D2A8E"/>
    <w:rsid w:val="003D2D9C"/>
    <w:rsid w:val="003D2EEF"/>
    <w:rsid w:val="003D330F"/>
    <w:rsid w:val="003D356D"/>
    <w:rsid w:val="003D363B"/>
    <w:rsid w:val="003D3758"/>
    <w:rsid w:val="003D396B"/>
    <w:rsid w:val="003D3993"/>
    <w:rsid w:val="003D3A17"/>
    <w:rsid w:val="003D3A7A"/>
    <w:rsid w:val="003D3CEE"/>
    <w:rsid w:val="003D3EF4"/>
    <w:rsid w:val="003D422D"/>
    <w:rsid w:val="003D45C6"/>
    <w:rsid w:val="003D4643"/>
    <w:rsid w:val="003D4714"/>
    <w:rsid w:val="003D4726"/>
    <w:rsid w:val="003D495B"/>
    <w:rsid w:val="003D4ABC"/>
    <w:rsid w:val="003D4C8F"/>
    <w:rsid w:val="003D4D05"/>
    <w:rsid w:val="003D4D38"/>
    <w:rsid w:val="003D4E0E"/>
    <w:rsid w:val="003D4E84"/>
    <w:rsid w:val="003D4FF2"/>
    <w:rsid w:val="003D5024"/>
    <w:rsid w:val="003D51B3"/>
    <w:rsid w:val="003D565C"/>
    <w:rsid w:val="003D5677"/>
    <w:rsid w:val="003D567D"/>
    <w:rsid w:val="003D574C"/>
    <w:rsid w:val="003D5892"/>
    <w:rsid w:val="003D63CD"/>
    <w:rsid w:val="003D6509"/>
    <w:rsid w:val="003D6841"/>
    <w:rsid w:val="003D6970"/>
    <w:rsid w:val="003D6B58"/>
    <w:rsid w:val="003D6CB6"/>
    <w:rsid w:val="003D6CDC"/>
    <w:rsid w:val="003D6D21"/>
    <w:rsid w:val="003D7031"/>
    <w:rsid w:val="003D70E9"/>
    <w:rsid w:val="003D718F"/>
    <w:rsid w:val="003D71DD"/>
    <w:rsid w:val="003D7498"/>
    <w:rsid w:val="003D7769"/>
    <w:rsid w:val="003D7993"/>
    <w:rsid w:val="003D7F91"/>
    <w:rsid w:val="003E05E5"/>
    <w:rsid w:val="003E0679"/>
    <w:rsid w:val="003E09A8"/>
    <w:rsid w:val="003E0F13"/>
    <w:rsid w:val="003E100C"/>
    <w:rsid w:val="003E110B"/>
    <w:rsid w:val="003E11D0"/>
    <w:rsid w:val="003E12A6"/>
    <w:rsid w:val="003E13F4"/>
    <w:rsid w:val="003E1433"/>
    <w:rsid w:val="003E147E"/>
    <w:rsid w:val="003E1499"/>
    <w:rsid w:val="003E1503"/>
    <w:rsid w:val="003E15E3"/>
    <w:rsid w:val="003E167B"/>
    <w:rsid w:val="003E17C2"/>
    <w:rsid w:val="003E1BCE"/>
    <w:rsid w:val="003E214E"/>
    <w:rsid w:val="003E249A"/>
    <w:rsid w:val="003E24D6"/>
    <w:rsid w:val="003E2574"/>
    <w:rsid w:val="003E25E9"/>
    <w:rsid w:val="003E262A"/>
    <w:rsid w:val="003E28C7"/>
    <w:rsid w:val="003E2929"/>
    <w:rsid w:val="003E2C0A"/>
    <w:rsid w:val="003E2D28"/>
    <w:rsid w:val="003E2D5B"/>
    <w:rsid w:val="003E2D8D"/>
    <w:rsid w:val="003E2EFA"/>
    <w:rsid w:val="003E3588"/>
    <w:rsid w:val="003E3613"/>
    <w:rsid w:val="003E36EA"/>
    <w:rsid w:val="003E3871"/>
    <w:rsid w:val="003E393C"/>
    <w:rsid w:val="003E3A5C"/>
    <w:rsid w:val="003E3D14"/>
    <w:rsid w:val="003E3E2C"/>
    <w:rsid w:val="003E3E6C"/>
    <w:rsid w:val="003E416F"/>
    <w:rsid w:val="003E49B2"/>
    <w:rsid w:val="003E4B6B"/>
    <w:rsid w:val="003E4BA7"/>
    <w:rsid w:val="003E4C85"/>
    <w:rsid w:val="003E4D12"/>
    <w:rsid w:val="003E4E84"/>
    <w:rsid w:val="003E4EF9"/>
    <w:rsid w:val="003E4FB9"/>
    <w:rsid w:val="003E4FE6"/>
    <w:rsid w:val="003E5073"/>
    <w:rsid w:val="003E51ED"/>
    <w:rsid w:val="003E5258"/>
    <w:rsid w:val="003E5643"/>
    <w:rsid w:val="003E58E6"/>
    <w:rsid w:val="003E5986"/>
    <w:rsid w:val="003E5B5C"/>
    <w:rsid w:val="003E5E32"/>
    <w:rsid w:val="003E5F47"/>
    <w:rsid w:val="003E66C6"/>
    <w:rsid w:val="003E6F28"/>
    <w:rsid w:val="003E6F48"/>
    <w:rsid w:val="003E7021"/>
    <w:rsid w:val="003E7089"/>
    <w:rsid w:val="003E752D"/>
    <w:rsid w:val="003E75A4"/>
    <w:rsid w:val="003E78F6"/>
    <w:rsid w:val="003E7D6F"/>
    <w:rsid w:val="003E7DE0"/>
    <w:rsid w:val="003F014E"/>
    <w:rsid w:val="003F01CF"/>
    <w:rsid w:val="003F0631"/>
    <w:rsid w:val="003F0AE7"/>
    <w:rsid w:val="003F0BEC"/>
    <w:rsid w:val="003F0C95"/>
    <w:rsid w:val="003F0DD7"/>
    <w:rsid w:val="003F0EF9"/>
    <w:rsid w:val="003F1101"/>
    <w:rsid w:val="003F135A"/>
    <w:rsid w:val="003F13F4"/>
    <w:rsid w:val="003F1479"/>
    <w:rsid w:val="003F147F"/>
    <w:rsid w:val="003F1639"/>
    <w:rsid w:val="003F17D0"/>
    <w:rsid w:val="003F1AD7"/>
    <w:rsid w:val="003F1C71"/>
    <w:rsid w:val="003F1CDD"/>
    <w:rsid w:val="003F1F06"/>
    <w:rsid w:val="003F226D"/>
    <w:rsid w:val="003F22DE"/>
    <w:rsid w:val="003F2428"/>
    <w:rsid w:val="003F277F"/>
    <w:rsid w:val="003F27C9"/>
    <w:rsid w:val="003F27D8"/>
    <w:rsid w:val="003F295A"/>
    <w:rsid w:val="003F2BC3"/>
    <w:rsid w:val="003F2C64"/>
    <w:rsid w:val="003F2FB6"/>
    <w:rsid w:val="003F3008"/>
    <w:rsid w:val="003F305D"/>
    <w:rsid w:val="003F3094"/>
    <w:rsid w:val="003F30FC"/>
    <w:rsid w:val="003F3448"/>
    <w:rsid w:val="003F367C"/>
    <w:rsid w:val="003F3719"/>
    <w:rsid w:val="003F38BE"/>
    <w:rsid w:val="003F3A13"/>
    <w:rsid w:val="003F3C12"/>
    <w:rsid w:val="003F3C1C"/>
    <w:rsid w:val="003F3CDF"/>
    <w:rsid w:val="003F421D"/>
    <w:rsid w:val="003F42D2"/>
    <w:rsid w:val="003F44C5"/>
    <w:rsid w:val="003F45BE"/>
    <w:rsid w:val="003F47A0"/>
    <w:rsid w:val="003F4946"/>
    <w:rsid w:val="003F4A19"/>
    <w:rsid w:val="003F4A7E"/>
    <w:rsid w:val="003F4C50"/>
    <w:rsid w:val="003F4EB9"/>
    <w:rsid w:val="003F513D"/>
    <w:rsid w:val="003F52C1"/>
    <w:rsid w:val="003F532D"/>
    <w:rsid w:val="003F571A"/>
    <w:rsid w:val="003F5AF6"/>
    <w:rsid w:val="003F5B7B"/>
    <w:rsid w:val="003F5CA8"/>
    <w:rsid w:val="003F5D84"/>
    <w:rsid w:val="003F5DCD"/>
    <w:rsid w:val="003F628C"/>
    <w:rsid w:val="003F6370"/>
    <w:rsid w:val="003F65A6"/>
    <w:rsid w:val="003F6B43"/>
    <w:rsid w:val="003F6CD2"/>
    <w:rsid w:val="003F6D02"/>
    <w:rsid w:val="003F6DF3"/>
    <w:rsid w:val="003F72DC"/>
    <w:rsid w:val="003F777A"/>
    <w:rsid w:val="003F7850"/>
    <w:rsid w:val="003F7A2D"/>
    <w:rsid w:val="003F7AD3"/>
    <w:rsid w:val="003F7AD7"/>
    <w:rsid w:val="004000AF"/>
    <w:rsid w:val="004002AC"/>
    <w:rsid w:val="004002D3"/>
    <w:rsid w:val="004004A0"/>
    <w:rsid w:val="004006B5"/>
    <w:rsid w:val="00400A3E"/>
    <w:rsid w:val="00400D02"/>
    <w:rsid w:val="00400D53"/>
    <w:rsid w:val="00400ECB"/>
    <w:rsid w:val="004017A7"/>
    <w:rsid w:val="00401A3E"/>
    <w:rsid w:val="00401C65"/>
    <w:rsid w:val="00401D17"/>
    <w:rsid w:val="00401DE6"/>
    <w:rsid w:val="0040203A"/>
    <w:rsid w:val="004022FA"/>
    <w:rsid w:val="00402503"/>
    <w:rsid w:val="0040257D"/>
    <w:rsid w:val="004025CF"/>
    <w:rsid w:val="00402628"/>
    <w:rsid w:val="004027B8"/>
    <w:rsid w:val="004027EB"/>
    <w:rsid w:val="004028B1"/>
    <w:rsid w:val="00402A2F"/>
    <w:rsid w:val="00402A47"/>
    <w:rsid w:val="00402BF7"/>
    <w:rsid w:val="00402C34"/>
    <w:rsid w:val="00402FC4"/>
    <w:rsid w:val="004034DE"/>
    <w:rsid w:val="004034FC"/>
    <w:rsid w:val="00403531"/>
    <w:rsid w:val="00403541"/>
    <w:rsid w:val="004036A8"/>
    <w:rsid w:val="004037F8"/>
    <w:rsid w:val="00403AB0"/>
    <w:rsid w:val="00403B0E"/>
    <w:rsid w:val="00403CEC"/>
    <w:rsid w:val="00403D4A"/>
    <w:rsid w:val="00403FF3"/>
    <w:rsid w:val="0040414E"/>
    <w:rsid w:val="004041BC"/>
    <w:rsid w:val="004042F1"/>
    <w:rsid w:val="004043CA"/>
    <w:rsid w:val="0040442D"/>
    <w:rsid w:val="004047F8"/>
    <w:rsid w:val="0040492A"/>
    <w:rsid w:val="00404BB9"/>
    <w:rsid w:val="00404D76"/>
    <w:rsid w:val="00404E7E"/>
    <w:rsid w:val="00404FF1"/>
    <w:rsid w:val="004052BD"/>
    <w:rsid w:val="004052E5"/>
    <w:rsid w:val="004057F1"/>
    <w:rsid w:val="0040598D"/>
    <w:rsid w:val="00405A7D"/>
    <w:rsid w:val="00405CFD"/>
    <w:rsid w:val="00405F84"/>
    <w:rsid w:val="0040607A"/>
    <w:rsid w:val="00406179"/>
    <w:rsid w:val="004064E9"/>
    <w:rsid w:val="00406534"/>
    <w:rsid w:val="0040667B"/>
    <w:rsid w:val="004067B6"/>
    <w:rsid w:val="0040694B"/>
    <w:rsid w:val="004069F7"/>
    <w:rsid w:val="00406A10"/>
    <w:rsid w:val="00406CE4"/>
    <w:rsid w:val="00406DD2"/>
    <w:rsid w:val="00406F2A"/>
    <w:rsid w:val="004070F2"/>
    <w:rsid w:val="00407100"/>
    <w:rsid w:val="00407144"/>
    <w:rsid w:val="00407191"/>
    <w:rsid w:val="0040726C"/>
    <w:rsid w:val="004072C7"/>
    <w:rsid w:val="00407494"/>
    <w:rsid w:val="004074EB"/>
    <w:rsid w:val="004077AE"/>
    <w:rsid w:val="004077D6"/>
    <w:rsid w:val="00407833"/>
    <w:rsid w:val="004078FF"/>
    <w:rsid w:val="00407B38"/>
    <w:rsid w:val="00407D18"/>
    <w:rsid w:val="00410175"/>
    <w:rsid w:val="00410239"/>
    <w:rsid w:val="004102AB"/>
    <w:rsid w:val="00410324"/>
    <w:rsid w:val="0041033F"/>
    <w:rsid w:val="004103D5"/>
    <w:rsid w:val="00410675"/>
    <w:rsid w:val="004109C3"/>
    <w:rsid w:val="00410DCB"/>
    <w:rsid w:val="0041119A"/>
    <w:rsid w:val="00411358"/>
    <w:rsid w:val="00411389"/>
    <w:rsid w:val="004113DD"/>
    <w:rsid w:val="00411BAF"/>
    <w:rsid w:val="00411C14"/>
    <w:rsid w:val="00411FB2"/>
    <w:rsid w:val="004122AC"/>
    <w:rsid w:val="004123D8"/>
    <w:rsid w:val="004124DD"/>
    <w:rsid w:val="00412523"/>
    <w:rsid w:val="004128B1"/>
    <w:rsid w:val="00412E25"/>
    <w:rsid w:val="00412EB6"/>
    <w:rsid w:val="00413312"/>
    <w:rsid w:val="004133FE"/>
    <w:rsid w:val="0041343B"/>
    <w:rsid w:val="0041344C"/>
    <w:rsid w:val="004134BA"/>
    <w:rsid w:val="00413501"/>
    <w:rsid w:val="0041350C"/>
    <w:rsid w:val="0041376E"/>
    <w:rsid w:val="00413879"/>
    <w:rsid w:val="004138FB"/>
    <w:rsid w:val="00413C4D"/>
    <w:rsid w:val="00413E0E"/>
    <w:rsid w:val="00413E54"/>
    <w:rsid w:val="00414015"/>
    <w:rsid w:val="0041402F"/>
    <w:rsid w:val="00414068"/>
    <w:rsid w:val="00414762"/>
    <w:rsid w:val="00414B88"/>
    <w:rsid w:val="00414BF9"/>
    <w:rsid w:val="00414D6A"/>
    <w:rsid w:val="0041500B"/>
    <w:rsid w:val="00415206"/>
    <w:rsid w:val="00415281"/>
    <w:rsid w:val="004152CC"/>
    <w:rsid w:val="004157B9"/>
    <w:rsid w:val="00415902"/>
    <w:rsid w:val="00415A4F"/>
    <w:rsid w:val="00415B78"/>
    <w:rsid w:val="00415D83"/>
    <w:rsid w:val="00415E32"/>
    <w:rsid w:val="004160E1"/>
    <w:rsid w:val="00416155"/>
    <w:rsid w:val="0041636F"/>
    <w:rsid w:val="0041642C"/>
    <w:rsid w:val="0041654A"/>
    <w:rsid w:val="004165A5"/>
    <w:rsid w:val="00416808"/>
    <w:rsid w:val="00416937"/>
    <w:rsid w:val="00416A45"/>
    <w:rsid w:val="00416D5D"/>
    <w:rsid w:val="00416D9A"/>
    <w:rsid w:val="004171B5"/>
    <w:rsid w:val="0041736B"/>
    <w:rsid w:val="0041756C"/>
    <w:rsid w:val="00417667"/>
    <w:rsid w:val="00417759"/>
    <w:rsid w:val="004179B5"/>
    <w:rsid w:val="00417CF8"/>
    <w:rsid w:val="00417D2F"/>
    <w:rsid w:val="00417E72"/>
    <w:rsid w:val="00420316"/>
    <w:rsid w:val="004205E2"/>
    <w:rsid w:val="0042072C"/>
    <w:rsid w:val="00420C0C"/>
    <w:rsid w:val="00420C8F"/>
    <w:rsid w:val="00420E76"/>
    <w:rsid w:val="004211EC"/>
    <w:rsid w:val="0042120E"/>
    <w:rsid w:val="004215B1"/>
    <w:rsid w:val="004215EC"/>
    <w:rsid w:val="004217D7"/>
    <w:rsid w:val="0042186F"/>
    <w:rsid w:val="004218AD"/>
    <w:rsid w:val="004218E6"/>
    <w:rsid w:val="004219E9"/>
    <w:rsid w:val="00421D17"/>
    <w:rsid w:val="00421E6C"/>
    <w:rsid w:val="00421FDA"/>
    <w:rsid w:val="00422034"/>
    <w:rsid w:val="0042208A"/>
    <w:rsid w:val="004220DF"/>
    <w:rsid w:val="0042246F"/>
    <w:rsid w:val="00422761"/>
    <w:rsid w:val="00422CFA"/>
    <w:rsid w:val="00423370"/>
    <w:rsid w:val="004233B9"/>
    <w:rsid w:val="0042361B"/>
    <w:rsid w:val="00423653"/>
    <w:rsid w:val="00423A64"/>
    <w:rsid w:val="00423B2B"/>
    <w:rsid w:val="00423C81"/>
    <w:rsid w:val="00423D1C"/>
    <w:rsid w:val="00423E68"/>
    <w:rsid w:val="004240E2"/>
    <w:rsid w:val="00424304"/>
    <w:rsid w:val="004243F6"/>
    <w:rsid w:val="00424406"/>
    <w:rsid w:val="00424681"/>
    <w:rsid w:val="0042485B"/>
    <w:rsid w:val="00424B63"/>
    <w:rsid w:val="00424B90"/>
    <w:rsid w:val="00424D0E"/>
    <w:rsid w:val="00424E13"/>
    <w:rsid w:val="00424EEA"/>
    <w:rsid w:val="00425295"/>
    <w:rsid w:val="004252CB"/>
    <w:rsid w:val="00425363"/>
    <w:rsid w:val="0042561C"/>
    <w:rsid w:val="004257A0"/>
    <w:rsid w:val="00425B76"/>
    <w:rsid w:val="004264B3"/>
    <w:rsid w:val="004265F1"/>
    <w:rsid w:val="0042666C"/>
    <w:rsid w:val="0042693B"/>
    <w:rsid w:val="00426C32"/>
    <w:rsid w:val="00426D6A"/>
    <w:rsid w:val="00426E40"/>
    <w:rsid w:val="00426F11"/>
    <w:rsid w:val="00426F7A"/>
    <w:rsid w:val="0042706A"/>
    <w:rsid w:val="00427187"/>
    <w:rsid w:val="00427488"/>
    <w:rsid w:val="004274DD"/>
    <w:rsid w:val="004275C4"/>
    <w:rsid w:val="004275D7"/>
    <w:rsid w:val="0042765D"/>
    <w:rsid w:val="0042768B"/>
    <w:rsid w:val="0042785D"/>
    <w:rsid w:val="00427978"/>
    <w:rsid w:val="00427992"/>
    <w:rsid w:val="00427B81"/>
    <w:rsid w:val="00427DF7"/>
    <w:rsid w:val="00427E86"/>
    <w:rsid w:val="0043029C"/>
    <w:rsid w:val="0043037F"/>
    <w:rsid w:val="004307E3"/>
    <w:rsid w:val="00430823"/>
    <w:rsid w:val="00430920"/>
    <w:rsid w:val="00430EA7"/>
    <w:rsid w:val="00431294"/>
    <w:rsid w:val="00431863"/>
    <w:rsid w:val="004318C4"/>
    <w:rsid w:val="0043194A"/>
    <w:rsid w:val="00431AAC"/>
    <w:rsid w:val="00431BA5"/>
    <w:rsid w:val="00431CDC"/>
    <w:rsid w:val="00431E08"/>
    <w:rsid w:val="00431F6B"/>
    <w:rsid w:val="004325CB"/>
    <w:rsid w:val="00432605"/>
    <w:rsid w:val="004327F4"/>
    <w:rsid w:val="00432D42"/>
    <w:rsid w:val="00432FA1"/>
    <w:rsid w:val="004333E3"/>
    <w:rsid w:val="00433408"/>
    <w:rsid w:val="0043346F"/>
    <w:rsid w:val="004335CC"/>
    <w:rsid w:val="00433951"/>
    <w:rsid w:val="004342CB"/>
    <w:rsid w:val="004343EA"/>
    <w:rsid w:val="004345DC"/>
    <w:rsid w:val="004345E7"/>
    <w:rsid w:val="0043464B"/>
    <w:rsid w:val="0043477A"/>
    <w:rsid w:val="004347CC"/>
    <w:rsid w:val="00434CD8"/>
    <w:rsid w:val="00434E06"/>
    <w:rsid w:val="00434E07"/>
    <w:rsid w:val="00434F6D"/>
    <w:rsid w:val="004350B4"/>
    <w:rsid w:val="004351C2"/>
    <w:rsid w:val="00435241"/>
    <w:rsid w:val="00435334"/>
    <w:rsid w:val="004354D3"/>
    <w:rsid w:val="004356D8"/>
    <w:rsid w:val="004359FD"/>
    <w:rsid w:val="00435AC6"/>
    <w:rsid w:val="00435B16"/>
    <w:rsid w:val="00435BAF"/>
    <w:rsid w:val="00435C32"/>
    <w:rsid w:val="00435CA5"/>
    <w:rsid w:val="00435D53"/>
    <w:rsid w:val="00435E28"/>
    <w:rsid w:val="00435F2D"/>
    <w:rsid w:val="0043615E"/>
    <w:rsid w:val="00436430"/>
    <w:rsid w:val="00436655"/>
    <w:rsid w:val="00436738"/>
    <w:rsid w:val="00436865"/>
    <w:rsid w:val="0043695B"/>
    <w:rsid w:val="0043699A"/>
    <w:rsid w:val="00436AE3"/>
    <w:rsid w:val="00436C18"/>
    <w:rsid w:val="0043714C"/>
    <w:rsid w:val="004372B6"/>
    <w:rsid w:val="004375C2"/>
    <w:rsid w:val="004377D6"/>
    <w:rsid w:val="00437893"/>
    <w:rsid w:val="004378B7"/>
    <w:rsid w:val="004379E1"/>
    <w:rsid w:val="004379F6"/>
    <w:rsid w:val="00437E55"/>
    <w:rsid w:val="00440050"/>
    <w:rsid w:val="004400CB"/>
    <w:rsid w:val="00440485"/>
    <w:rsid w:val="004404BE"/>
    <w:rsid w:val="004406E6"/>
    <w:rsid w:val="004406EE"/>
    <w:rsid w:val="00440817"/>
    <w:rsid w:val="00440894"/>
    <w:rsid w:val="00440B6D"/>
    <w:rsid w:val="00440DDC"/>
    <w:rsid w:val="00440E35"/>
    <w:rsid w:val="00440E41"/>
    <w:rsid w:val="004410CE"/>
    <w:rsid w:val="00441184"/>
    <w:rsid w:val="004411D7"/>
    <w:rsid w:val="004412DF"/>
    <w:rsid w:val="004413DB"/>
    <w:rsid w:val="00441759"/>
    <w:rsid w:val="004417E5"/>
    <w:rsid w:val="004417F3"/>
    <w:rsid w:val="004418FE"/>
    <w:rsid w:val="00441DA1"/>
    <w:rsid w:val="0044216B"/>
    <w:rsid w:val="0044227C"/>
    <w:rsid w:val="004426DD"/>
    <w:rsid w:val="004428E5"/>
    <w:rsid w:val="004429BD"/>
    <w:rsid w:val="004429F9"/>
    <w:rsid w:val="00442A32"/>
    <w:rsid w:val="00442A7B"/>
    <w:rsid w:val="00442B00"/>
    <w:rsid w:val="00442D9F"/>
    <w:rsid w:val="00442E0B"/>
    <w:rsid w:val="00442E9D"/>
    <w:rsid w:val="00442F99"/>
    <w:rsid w:val="00443118"/>
    <w:rsid w:val="00443178"/>
    <w:rsid w:val="00443536"/>
    <w:rsid w:val="00443788"/>
    <w:rsid w:val="0044379A"/>
    <w:rsid w:val="00443A79"/>
    <w:rsid w:val="00443C1B"/>
    <w:rsid w:val="00443D45"/>
    <w:rsid w:val="00443F3B"/>
    <w:rsid w:val="004441EA"/>
    <w:rsid w:val="004442A1"/>
    <w:rsid w:val="004442C1"/>
    <w:rsid w:val="004442D4"/>
    <w:rsid w:val="00444413"/>
    <w:rsid w:val="00444698"/>
    <w:rsid w:val="0044472E"/>
    <w:rsid w:val="0044482B"/>
    <w:rsid w:val="004449B7"/>
    <w:rsid w:val="00444D52"/>
    <w:rsid w:val="00444F10"/>
    <w:rsid w:val="00444F3C"/>
    <w:rsid w:val="00445010"/>
    <w:rsid w:val="0044501E"/>
    <w:rsid w:val="00445390"/>
    <w:rsid w:val="004453CF"/>
    <w:rsid w:val="00445527"/>
    <w:rsid w:val="004458CD"/>
    <w:rsid w:val="0044597E"/>
    <w:rsid w:val="0044598D"/>
    <w:rsid w:val="00445AC9"/>
    <w:rsid w:val="00445ADA"/>
    <w:rsid w:val="00445C4D"/>
    <w:rsid w:val="00445D44"/>
    <w:rsid w:val="00445DD5"/>
    <w:rsid w:val="00445E92"/>
    <w:rsid w:val="004461A8"/>
    <w:rsid w:val="00446507"/>
    <w:rsid w:val="004466A8"/>
    <w:rsid w:val="004466B1"/>
    <w:rsid w:val="00446ACF"/>
    <w:rsid w:val="00446B50"/>
    <w:rsid w:val="00447275"/>
    <w:rsid w:val="00447324"/>
    <w:rsid w:val="004473C0"/>
    <w:rsid w:val="00447A3A"/>
    <w:rsid w:val="00447BCC"/>
    <w:rsid w:val="00447C76"/>
    <w:rsid w:val="00447FA6"/>
    <w:rsid w:val="00447FEB"/>
    <w:rsid w:val="00447FF9"/>
    <w:rsid w:val="00450029"/>
    <w:rsid w:val="0045023A"/>
    <w:rsid w:val="0045031A"/>
    <w:rsid w:val="0045099D"/>
    <w:rsid w:val="00450D78"/>
    <w:rsid w:val="00450DC2"/>
    <w:rsid w:val="00450DD2"/>
    <w:rsid w:val="00450FB7"/>
    <w:rsid w:val="00451139"/>
    <w:rsid w:val="00451234"/>
    <w:rsid w:val="004512D3"/>
    <w:rsid w:val="004513A6"/>
    <w:rsid w:val="004517CD"/>
    <w:rsid w:val="00451B19"/>
    <w:rsid w:val="00451B22"/>
    <w:rsid w:val="00451C12"/>
    <w:rsid w:val="00451E3A"/>
    <w:rsid w:val="00451E4C"/>
    <w:rsid w:val="00452047"/>
    <w:rsid w:val="00452061"/>
    <w:rsid w:val="004521D2"/>
    <w:rsid w:val="004523F9"/>
    <w:rsid w:val="00452425"/>
    <w:rsid w:val="0045242D"/>
    <w:rsid w:val="00452455"/>
    <w:rsid w:val="0045259E"/>
    <w:rsid w:val="004525A1"/>
    <w:rsid w:val="004528B1"/>
    <w:rsid w:val="00452C99"/>
    <w:rsid w:val="00452D03"/>
    <w:rsid w:val="00453123"/>
    <w:rsid w:val="0045336F"/>
    <w:rsid w:val="00453518"/>
    <w:rsid w:val="004539D2"/>
    <w:rsid w:val="00453BD1"/>
    <w:rsid w:val="0045434A"/>
    <w:rsid w:val="00454445"/>
    <w:rsid w:val="00454694"/>
    <w:rsid w:val="004546B8"/>
    <w:rsid w:val="00454E41"/>
    <w:rsid w:val="004550F5"/>
    <w:rsid w:val="0045536D"/>
    <w:rsid w:val="0045537F"/>
    <w:rsid w:val="00455401"/>
    <w:rsid w:val="004558B0"/>
    <w:rsid w:val="00455EC6"/>
    <w:rsid w:val="004561F9"/>
    <w:rsid w:val="004561FF"/>
    <w:rsid w:val="0045623B"/>
    <w:rsid w:val="0045661F"/>
    <w:rsid w:val="0045679C"/>
    <w:rsid w:val="00456844"/>
    <w:rsid w:val="004568C8"/>
    <w:rsid w:val="00456A54"/>
    <w:rsid w:val="00456FAE"/>
    <w:rsid w:val="004570E3"/>
    <w:rsid w:val="004571BE"/>
    <w:rsid w:val="004574C6"/>
    <w:rsid w:val="004575CF"/>
    <w:rsid w:val="0045769D"/>
    <w:rsid w:val="004579A8"/>
    <w:rsid w:val="004579D4"/>
    <w:rsid w:val="00457A4D"/>
    <w:rsid w:val="00457C76"/>
    <w:rsid w:val="0046017F"/>
    <w:rsid w:val="0046027A"/>
    <w:rsid w:val="00460516"/>
    <w:rsid w:val="0046093B"/>
    <w:rsid w:val="004609DA"/>
    <w:rsid w:val="00460A35"/>
    <w:rsid w:val="00460BA0"/>
    <w:rsid w:val="00460C46"/>
    <w:rsid w:val="00460D38"/>
    <w:rsid w:val="00460FA6"/>
    <w:rsid w:val="00460FDA"/>
    <w:rsid w:val="00461009"/>
    <w:rsid w:val="004610AC"/>
    <w:rsid w:val="0046141C"/>
    <w:rsid w:val="00461B1A"/>
    <w:rsid w:val="00461EB1"/>
    <w:rsid w:val="00461FAA"/>
    <w:rsid w:val="00461FDB"/>
    <w:rsid w:val="0046206E"/>
    <w:rsid w:val="0046228D"/>
    <w:rsid w:val="004622A9"/>
    <w:rsid w:val="0046264E"/>
    <w:rsid w:val="0046265A"/>
    <w:rsid w:val="004628E6"/>
    <w:rsid w:val="00462A23"/>
    <w:rsid w:val="00462D5D"/>
    <w:rsid w:val="00462DCF"/>
    <w:rsid w:val="00463046"/>
    <w:rsid w:val="00463592"/>
    <w:rsid w:val="0046397B"/>
    <w:rsid w:val="004639C5"/>
    <w:rsid w:val="00463A7C"/>
    <w:rsid w:val="00464001"/>
    <w:rsid w:val="00464018"/>
    <w:rsid w:val="004640DD"/>
    <w:rsid w:val="0046414E"/>
    <w:rsid w:val="00464206"/>
    <w:rsid w:val="004642FD"/>
    <w:rsid w:val="004644B8"/>
    <w:rsid w:val="00464A60"/>
    <w:rsid w:val="00464EE3"/>
    <w:rsid w:val="0046515C"/>
    <w:rsid w:val="004651F6"/>
    <w:rsid w:val="004653FD"/>
    <w:rsid w:val="0046551B"/>
    <w:rsid w:val="00465557"/>
    <w:rsid w:val="00465855"/>
    <w:rsid w:val="004659A7"/>
    <w:rsid w:val="00465BA4"/>
    <w:rsid w:val="00465C7F"/>
    <w:rsid w:val="00465C8C"/>
    <w:rsid w:val="00465FC8"/>
    <w:rsid w:val="00466142"/>
    <w:rsid w:val="0046628A"/>
    <w:rsid w:val="004662A5"/>
    <w:rsid w:val="004662E3"/>
    <w:rsid w:val="0046661B"/>
    <w:rsid w:val="00466662"/>
    <w:rsid w:val="0046666F"/>
    <w:rsid w:val="004667E1"/>
    <w:rsid w:val="00466A5B"/>
    <w:rsid w:val="00466B64"/>
    <w:rsid w:val="00466C35"/>
    <w:rsid w:val="00466CB7"/>
    <w:rsid w:val="00466D24"/>
    <w:rsid w:val="00466E4B"/>
    <w:rsid w:val="004673DD"/>
    <w:rsid w:val="00467C02"/>
    <w:rsid w:val="00467C44"/>
    <w:rsid w:val="00467D3E"/>
    <w:rsid w:val="00467D62"/>
    <w:rsid w:val="00467DCC"/>
    <w:rsid w:val="00467FCC"/>
    <w:rsid w:val="00467FEB"/>
    <w:rsid w:val="0047010A"/>
    <w:rsid w:val="004701B3"/>
    <w:rsid w:val="00470324"/>
    <w:rsid w:val="00470386"/>
    <w:rsid w:val="004705A8"/>
    <w:rsid w:val="00470980"/>
    <w:rsid w:val="004709AA"/>
    <w:rsid w:val="00470DBA"/>
    <w:rsid w:val="00471044"/>
    <w:rsid w:val="0047144F"/>
    <w:rsid w:val="004717DA"/>
    <w:rsid w:val="0047190F"/>
    <w:rsid w:val="00471A31"/>
    <w:rsid w:val="00471E12"/>
    <w:rsid w:val="00471E88"/>
    <w:rsid w:val="00472158"/>
    <w:rsid w:val="004722B8"/>
    <w:rsid w:val="00472472"/>
    <w:rsid w:val="004726DE"/>
    <w:rsid w:val="00472A2B"/>
    <w:rsid w:val="00472B8C"/>
    <w:rsid w:val="00472DA6"/>
    <w:rsid w:val="00472FA5"/>
    <w:rsid w:val="0047300D"/>
    <w:rsid w:val="00473033"/>
    <w:rsid w:val="00473216"/>
    <w:rsid w:val="00473262"/>
    <w:rsid w:val="004733A3"/>
    <w:rsid w:val="0047354A"/>
    <w:rsid w:val="0047357A"/>
    <w:rsid w:val="00473972"/>
    <w:rsid w:val="004739DD"/>
    <w:rsid w:val="00473A21"/>
    <w:rsid w:val="00473CB6"/>
    <w:rsid w:val="00473CBF"/>
    <w:rsid w:val="00473E2C"/>
    <w:rsid w:val="00474350"/>
    <w:rsid w:val="00474845"/>
    <w:rsid w:val="004749DC"/>
    <w:rsid w:val="00474B45"/>
    <w:rsid w:val="00474C2A"/>
    <w:rsid w:val="00474F05"/>
    <w:rsid w:val="00474FEB"/>
    <w:rsid w:val="00475131"/>
    <w:rsid w:val="00475512"/>
    <w:rsid w:val="004755DE"/>
    <w:rsid w:val="004756D3"/>
    <w:rsid w:val="00475C43"/>
    <w:rsid w:val="00475E48"/>
    <w:rsid w:val="00475E9A"/>
    <w:rsid w:val="00476168"/>
    <w:rsid w:val="004762F3"/>
    <w:rsid w:val="0047681B"/>
    <w:rsid w:val="0047686D"/>
    <w:rsid w:val="0047686E"/>
    <w:rsid w:val="00476931"/>
    <w:rsid w:val="00476DDC"/>
    <w:rsid w:val="00476F83"/>
    <w:rsid w:val="00476F84"/>
    <w:rsid w:val="004771E7"/>
    <w:rsid w:val="00477201"/>
    <w:rsid w:val="00477661"/>
    <w:rsid w:val="00477663"/>
    <w:rsid w:val="0047769E"/>
    <w:rsid w:val="004776C9"/>
    <w:rsid w:val="004777B3"/>
    <w:rsid w:val="00477898"/>
    <w:rsid w:val="004779EA"/>
    <w:rsid w:val="00477B98"/>
    <w:rsid w:val="00477BFC"/>
    <w:rsid w:val="00477D29"/>
    <w:rsid w:val="00477DFC"/>
    <w:rsid w:val="00477E32"/>
    <w:rsid w:val="004802E0"/>
    <w:rsid w:val="00480358"/>
    <w:rsid w:val="00480362"/>
    <w:rsid w:val="0048059A"/>
    <w:rsid w:val="004806E1"/>
    <w:rsid w:val="004809C9"/>
    <w:rsid w:val="00480AC6"/>
    <w:rsid w:val="00480C2F"/>
    <w:rsid w:val="00480D6D"/>
    <w:rsid w:val="00480E01"/>
    <w:rsid w:val="00481047"/>
    <w:rsid w:val="00481064"/>
    <w:rsid w:val="00481169"/>
    <w:rsid w:val="0048135E"/>
    <w:rsid w:val="0048173E"/>
    <w:rsid w:val="0048180E"/>
    <w:rsid w:val="004818C8"/>
    <w:rsid w:val="00481AFA"/>
    <w:rsid w:val="00481BA4"/>
    <w:rsid w:val="00481BB5"/>
    <w:rsid w:val="00481C69"/>
    <w:rsid w:val="00481D32"/>
    <w:rsid w:val="00481DAE"/>
    <w:rsid w:val="00481DEA"/>
    <w:rsid w:val="00481E46"/>
    <w:rsid w:val="00481E52"/>
    <w:rsid w:val="00481F51"/>
    <w:rsid w:val="004821EE"/>
    <w:rsid w:val="0048236E"/>
    <w:rsid w:val="004824A8"/>
    <w:rsid w:val="004824FF"/>
    <w:rsid w:val="00482671"/>
    <w:rsid w:val="00482750"/>
    <w:rsid w:val="004828AB"/>
    <w:rsid w:val="0048292A"/>
    <w:rsid w:val="004829EE"/>
    <w:rsid w:val="00482D66"/>
    <w:rsid w:val="00482DC4"/>
    <w:rsid w:val="00482E24"/>
    <w:rsid w:val="00483104"/>
    <w:rsid w:val="00483510"/>
    <w:rsid w:val="004835D9"/>
    <w:rsid w:val="004837CD"/>
    <w:rsid w:val="004837D6"/>
    <w:rsid w:val="004838BD"/>
    <w:rsid w:val="00483B06"/>
    <w:rsid w:val="00483B0C"/>
    <w:rsid w:val="00483BEC"/>
    <w:rsid w:val="00483D22"/>
    <w:rsid w:val="00484055"/>
    <w:rsid w:val="004842E4"/>
    <w:rsid w:val="00484432"/>
    <w:rsid w:val="004845D8"/>
    <w:rsid w:val="004845FF"/>
    <w:rsid w:val="004847D7"/>
    <w:rsid w:val="00484D45"/>
    <w:rsid w:val="00484F67"/>
    <w:rsid w:val="0048505D"/>
    <w:rsid w:val="0048552A"/>
    <w:rsid w:val="00485689"/>
    <w:rsid w:val="004856C8"/>
    <w:rsid w:val="004857C8"/>
    <w:rsid w:val="004859F5"/>
    <w:rsid w:val="00485AC0"/>
    <w:rsid w:val="00485D6D"/>
    <w:rsid w:val="00485F87"/>
    <w:rsid w:val="00486140"/>
    <w:rsid w:val="00486146"/>
    <w:rsid w:val="00486249"/>
    <w:rsid w:val="00486407"/>
    <w:rsid w:val="00486632"/>
    <w:rsid w:val="004867BB"/>
    <w:rsid w:val="004867BF"/>
    <w:rsid w:val="00486965"/>
    <w:rsid w:val="00486ABF"/>
    <w:rsid w:val="00486AD4"/>
    <w:rsid w:val="00486C1E"/>
    <w:rsid w:val="00486D3C"/>
    <w:rsid w:val="00486D8A"/>
    <w:rsid w:val="00486E2A"/>
    <w:rsid w:val="00486E98"/>
    <w:rsid w:val="00487046"/>
    <w:rsid w:val="0048712F"/>
    <w:rsid w:val="00487178"/>
    <w:rsid w:val="00487437"/>
    <w:rsid w:val="00487519"/>
    <w:rsid w:val="00487535"/>
    <w:rsid w:val="0048760B"/>
    <w:rsid w:val="0048774F"/>
    <w:rsid w:val="00487A93"/>
    <w:rsid w:val="00487C2C"/>
    <w:rsid w:val="00487C8C"/>
    <w:rsid w:val="00487CBA"/>
    <w:rsid w:val="00487D7A"/>
    <w:rsid w:val="00490117"/>
    <w:rsid w:val="0049026E"/>
    <w:rsid w:val="0049082A"/>
    <w:rsid w:val="00490945"/>
    <w:rsid w:val="00490B16"/>
    <w:rsid w:val="00490D19"/>
    <w:rsid w:val="00490F50"/>
    <w:rsid w:val="004910B6"/>
    <w:rsid w:val="00491273"/>
    <w:rsid w:val="004912D8"/>
    <w:rsid w:val="0049136B"/>
    <w:rsid w:val="00491398"/>
    <w:rsid w:val="004913DD"/>
    <w:rsid w:val="00491448"/>
    <w:rsid w:val="004915F9"/>
    <w:rsid w:val="0049161D"/>
    <w:rsid w:val="004917D6"/>
    <w:rsid w:val="004917EB"/>
    <w:rsid w:val="004919F8"/>
    <w:rsid w:val="00491A57"/>
    <w:rsid w:val="00491BE6"/>
    <w:rsid w:val="00491BF8"/>
    <w:rsid w:val="00491DFA"/>
    <w:rsid w:val="00491EEC"/>
    <w:rsid w:val="00491F64"/>
    <w:rsid w:val="0049255E"/>
    <w:rsid w:val="004925B3"/>
    <w:rsid w:val="0049286F"/>
    <w:rsid w:val="00492964"/>
    <w:rsid w:val="004929D4"/>
    <w:rsid w:val="00492D78"/>
    <w:rsid w:val="004931CB"/>
    <w:rsid w:val="004931D7"/>
    <w:rsid w:val="0049325D"/>
    <w:rsid w:val="00493302"/>
    <w:rsid w:val="00493358"/>
    <w:rsid w:val="00493546"/>
    <w:rsid w:val="00493A33"/>
    <w:rsid w:val="00493C94"/>
    <w:rsid w:val="00493E2D"/>
    <w:rsid w:val="00493E7B"/>
    <w:rsid w:val="00493FC3"/>
    <w:rsid w:val="00493FD4"/>
    <w:rsid w:val="004944E5"/>
    <w:rsid w:val="00494522"/>
    <w:rsid w:val="004947DB"/>
    <w:rsid w:val="0049485B"/>
    <w:rsid w:val="00494AD4"/>
    <w:rsid w:val="00494CF5"/>
    <w:rsid w:val="00494E7E"/>
    <w:rsid w:val="00495043"/>
    <w:rsid w:val="00495086"/>
    <w:rsid w:val="0049521C"/>
    <w:rsid w:val="0049542A"/>
    <w:rsid w:val="004955F7"/>
    <w:rsid w:val="004956E4"/>
    <w:rsid w:val="00495889"/>
    <w:rsid w:val="00495AD9"/>
    <w:rsid w:val="00495B49"/>
    <w:rsid w:val="00495C81"/>
    <w:rsid w:val="00495CFD"/>
    <w:rsid w:val="004960E7"/>
    <w:rsid w:val="0049610A"/>
    <w:rsid w:val="00496272"/>
    <w:rsid w:val="004965F7"/>
    <w:rsid w:val="00496AC9"/>
    <w:rsid w:val="00496DA5"/>
    <w:rsid w:val="00496E3E"/>
    <w:rsid w:val="00496E6C"/>
    <w:rsid w:val="00496E94"/>
    <w:rsid w:val="00496F86"/>
    <w:rsid w:val="0049709E"/>
    <w:rsid w:val="0049713D"/>
    <w:rsid w:val="004971EA"/>
    <w:rsid w:val="00497313"/>
    <w:rsid w:val="004973F9"/>
    <w:rsid w:val="0049740D"/>
    <w:rsid w:val="00497533"/>
    <w:rsid w:val="0049767E"/>
    <w:rsid w:val="0049786E"/>
    <w:rsid w:val="004978D9"/>
    <w:rsid w:val="00497BFD"/>
    <w:rsid w:val="00497D2F"/>
    <w:rsid w:val="00497FB9"/>
    <w:rsid w:val="004A0162"/>
    <w:rsid w:val="004A0202"/>
    <w:rsid w:val="004A03FD"/>
    <w:rsid w:val="004A0444"/>
    <w:rsid w:val="004A04F2"/>
    <w:rsid w:val="004A05B7"/>
    <w:rsid w:val="004A0652"/>
    <w:rsid w:val="004A0966"/>
    <w:rsid w:val="004A0B6B"/>
    <w:rsid w:val="004A0C4C"/>
    <w:rsid w:val="004A0E15"/>
    <w:rsid w:val="004A0E51"/>
    <w:rsid w:val="004A1020"/>
    <w:rsid w:val="004A10C5"/>
    <w:rsid w:val="004A1181"/>
    <w:rsid w:val="004A15EE"/>
    <w:rsid w:val="004A1627"/>
    <w:rsid w:val="004A16CA"/>
    <w:rsid w:val="004A1828"/>
    <w:rsid w:val="004A18A4"/>
    <w:rsid w:val="004A18BB"/>
    <w:rsid w:val="004A1BDD"/>
    <w:rsid w:val="004A1BE3"/>
    <w:rsid w:val="004A1CED"/>
    <w:rsid w:val="004A1D7C"/>
    <w:rsid w:val="004A1FF3"/>
    <w:rsid w:val="004A21B3"/>
    <w:rsid w:val="004A224C"/>
    <w:rsid w:val="004A2254"/>
    <w:rsid w:val="004A22E6"/>
    <w:rsid w:val="004A2654"/>
    <w:rsid w:val="004A2BD6"/>
    <w:rsid w:val="004A2D25"/>
    <w:rsid w:val="004A2D39"/>
    <w:rsid w:val="004A2D8F"/>
    <w:rsid w:val="004A2E51"/>
    <w:rsid w:val="004A3463"/>
    <w:rsid w:val="004A3633"/>
    <w:rsid w:val="004A37C7"/>
    <w:rsid w:val="004A3841"/>
    <w:rsid w:val="004A402F"/>
    <w:rsid w:val="004A41C1"/>
    <w:rsid w:val="004A4315"/>
    <w:rsid w:val="004A4318"/>
    <w:rsid w:val="004A450E"/>
    <w:rsid w:val="004A4629"/>
    <w:rsid w:val="004A46F0"/>
    <w:rsid w:val="004A492C"/>
    <w:rsid w:val="004A4AAD"/>
    <w:rsid w:val="004A4C05"/>
    <w:rsid w:val="004A4C17"/>
    <w:rsid w:val="004A4E1E"/>
    <w:rsid w:val="004A4F9D"/>
    <w:rsid w:val="004A5096"/>
    <w:rsid w:val="004A5139"/>
    <w:rsid w:val="004A5147"/>
    <w:rsid w:val="004A532A"/>
    <w:rsid w:val="004A53F2"/>
    <w:rsid w:val="004A544C"/>
    <w:rsid w:val="004A54A2"/>
    <w:rsid w:val="004A5739"/>
    <w:rsid w:val="004A5CAB"/>
    <w:rsid w:val="004A5DC2"/>
    <w:rsid w:val="004A6347"/>
    <w:rsid w:val="004A640E"/>
    <w:rsid w:val="004A65BB"/>
    <w:rsid w:val="004A67A7"/>
    <w:rsid w:val="004A69DB"/>
    <w:rsid w:val="004A6A05"/>
    <w:rsid w:val="004A6A92"/>
    <w:rsid w:val="004A6B7C"/>
    <w:rsid w:val="004A6BED"/>
    <w:rsid w:val="004A6DFF"/>
    <w:rsid w:val="004A6EAB"/>
    <w:rsid w:val="004A7262"/>
    <w:rsid w:val="004A749C"/>
    <w:rsid w:val="004A7928"/>
    <w:rsid w:val="004A7B92"/>
    <w:rsid w:val="004B03DE"/>
    <w:rsid w:val="004B03E8"/>
    <w:rsid w:val="004B043C"/>
    <w:rsid w:val="004B0867"/>
    <w:rsid w:val="004B0929"/>
    <w:rsid w:val="004B0EB3"/>
    <w:rsid w:val="004B0EF0"/>
    <w:rsid w:val="004B100B"/>
    <w:rsid w:val="004B1084"/>
    <w:rsid w:val="004B115B"/>
    <w:rsid w:val="004B11C0"/>
    <w:rsid w:val="004B1507"/>
    <w:rsid w:val="004B155F"/>
    <w:rsid w:val="004B176A"/>
    <w:rsid w:val="004B182C"/>
    <w:rsid w:val="004B1B36"/>
    <w:rsid w:val="004B1B39"/>
    <w:rsid w:val="004B1B95"/>
    <w:rsid w:val="004B1D68"/>
    <w:rsid w:val="004B20E2"/>
    <w:rsid w:val="004B2190"/>
    <w:rsid w:val="004B222F"/>
    <w:rsid w:val="004B22A5"/>
    <w:rsid w:val="004B23FE"/>
    <w:rsid w:val="004B25BA"/>
    <w:rsid w:val="004B25E5"/>
    <w:rsid w:val="004B272A"/>
    <w:rsid w:val="004B2777"/>
    <w:rsid w:val="004B27E3"/>
    <w:rsid w:val="004B2862"/>
    <w:rsid w:val="004B2A6D"/>
    <w:rsid w:val="004B2C02"/>
    <w:rsid w:val="004B2EEA"/>
    <w:rsid w:val="004B3057"/>
    <w:rsid w:val="004B30AA"/>
    <w:rsid w:val="004B30EA"/>
    <w:rsid w:val="004B357A"/>
    <w:rsid w:val="004B35D7"/>
    <w:rsid w:val="004B3988"/>
    <w:rsid w:val="004B3B5F"/>
    <w:rsid w:val="004B3BE0"/>
    <w:rsid w:val="004B3DA5"/>
    <w:rsid w:val="004B3F56"/>
    <w:rsid w:val="004B45CF"/>
    <w:rsid w:val="004B4613"/>
    <w:rsid w:val="004B4879"/>
    <w:rsid w:val="004B4933"/>
    <w:rsid w:val="004B4B51"/>
    <w:rsid w:val="004B4C89"/>
    <w:rsid w:val="004B4CA9"/>
    <w:rsid w:val="004B4D89"/>
    <w:rsid w:val="004B4F0F"/>
    <w:rsid w:val="004B5040"/>
    <w:rsid w:val="004B53C9"/>
    <w:rsid w:val="004B557F"/>
    <w:rsid w:val="004B55F1"/>
    <w:rsid w:val="004B5CC1"/>
    <w:rsid w:val="004B5E8D"/>
    <w:rsid w:val="004B5EE7"/>
    <w:rsid w:val="004B5F3C"/>
    <w:rsid w:val="004B6091"/>
    <w:rsid w:val="004B638A"/>
    <w:rsid w:val="004B6700"/>
    <w:rsid w:val="004B67EF"/>
    <w:rsid w:val="004B6B19"/>
    <w:rsid w:val="004B6EC6"/>
    <w:rsid w:val="004B6F32"/>
    <w:rsid w:val="004B70E0"/>
    <w:rsid w:val="004B7176"/>
    <w:rsid w:val="004B73EF"/>
    <w:rsid w:val="004B7430"/>
    <w:rsid w:val="004B75E3"/>
    <w:rsid w:val="004B75FD"/>
    <w:rsid w:val="004B77AD"/>
    <w:rsid w:val="004B77C8"/>
    <w:rsid w:val="004B7B8D"/>
    <w:rsid w:val="004B7B9D"/>
    <w:rsid w:val="004B7C15"/>
    <w:rsid w:val="004B7C4D"/>
    <w:rsid w:val="004B7DA1"/>
    <w:rsid w:val="004C0109"/>
    <w:rsid w:val="004C014C"/>
    <w:rsid w:val="004C0497"/>
    <w:rsid w:val="004C0569"/>
    <w:rsid w:val="004C0638"/>
    <w:rsid w:val="004C06F3"/>
    <w:rsid w:val="004C07CF"/>
    <w:rsid w:val="004C0A9F"/>
    <w:rsid w:val="004C128E"/>
    <w:rsid w:val="004C132C"/>
    <w:rsid w:val="004C1391"/>
    <w:rsid w:val="004C13C6"/>
    <w:rsid w:val="004C13DD"/>
    <w:rsid w:val="004C147A"/>
    <w:rsid w:val="004C1502"/>
    <w:rsid w:val="004C15DF"/>
    <w:rsid w:val="004C1678"/>
    <w:rsid w:val="004C1877"/>
    <w:rsid w:val="004C18F1"/>
    <w:rsid w:val="004C1A3E"/>
    <w:rsid w:val="004C1F31"/>
    <w:rsid w:val="004C21F4"/>
    <w:rsid w:val="004C2284"/>
    <w:rsid w:val="004C254D"/>
    <w:rsid w:val="004C2AE7"/>
    <w:rsid w:val="004C2B15"/>
    <w:rsid w:val="004C2BD4"/>
    <w:rsid w:val="004C2BDD"/>
    <w:rsid w:val="004C2D4D"/>
    <w:rsid w:val="004C2DE8"/>
    <w:rsid w:val="004C2E5F"/>
    <w:rsid w:val="004C3028"/>
    <w:rsid w:val="004C3050"/>
    <w:rsid w:val="004C31AA"/>
    <w:rsid w:val="004C320E"/>
    <w:rsid w:val="004C3405"/>
    <w:rsid w:val="004C35A6"/>
    <w:rsid w:val="004C3639"/>
    <w:rsid w:val="004C37CF"/>
    <w:rsid w:val="004C3964"/>
    <w:rsid w:val="004C3A81"/>
    <w:rsid w:val="004C3CBF"/>
    <w:rsid w:val="004C3D47"/>
    <w:rsid w:val="004C3E25"/>
    <w:rsid w:val="004C3F2F"/>
    <w:rsid w:val="004C444D"/>
    <w:rsid w:val="004C45DB"/>
    <w:rsid w:val="004C4632"/>
    <w:rsid w:val="004C4814"/>
    <w:rsid w:val="004C48A1"/>
    <w:rsid w:val="004C49B5"/>
    <w:rsid w:val="004C4B70"/>
    <w:rsid w:val="004C4CC6"/>
    <w:rsid w:val="004C4F85"/>
    <w:rsid w:val="004C511A"/>
    <w:rsid w:val="004C515E"/>
    <w:rsid w:val="004C516C"/>
    <w:rsid w:val="004C52A1"/>
    <w:rsid w:val="004C5914"/>
    <w:rsid w:val="004C59D1"/>
    <w:rsid w:val="004C5AD0"/>
    <w:rsid w:val="004C5BBB"/>
    <w:rsid w:val="004C5BCA"/>
    <w:rsid w:val="004C5CC5"/>
    <w:rsid w:val="004C5D54"/>
    <w:rsid w:val="004C5F26"/>
    <w:rsid w:val="004C6057"/>
    <w:rsid w:val="004C621F"/>
    <w:rsid w:val="004C622E"/>
    <w:rsid w:val="004C6309"/>
    <w:rsid w:val="004C637F"/>
    <w:rsid w:val="004C6889"/>
    <w:rsid w:val="004C6950"/>
    <w:rsid w:val="004C6956"/>
    <w:rsid w:val="004C6A57"/>
    <w:rsid w:val="004C6AAE"/>
    <w:rsid w:val="004C6BB2"/>
    <w:rsid w:val="004C6BD6"/>
    <w:rsid w:val="004C6DC4"/>
    <w:rsid w:val="004C6DC5"/>
    <w:rsid w:val="004C6FDD"/>
    <w:rsid w:val="004C7109"/>
    <w:rsid w:val="004C71EA"/>
    <w:rsid w:val="004C72CD"/>
    <w:rsid w:val="004C72F2"/>
    <w:rsid w:val="004C7523"/>
    <w:rsid w:val="004C7739"/>
    <w:rsid w:val="004C777A"/>
    <w:rsid w:val="004C77BB"/>
    <w:rsid w:val="004C7920"/>
    <w:rsid w:val="004C79D5"/>
    <w:rsid w:val="004C7B4B"/>
    <w:rsid w:val="004C7B77"/>
    <w:rsid w:val="004C7BCA"/>
    <w:rsid w:val="004C7BFF"/>
    <w:rsid w:val="004C7CED"/>
    <w:rsid w:val="004C7EBF"/>
    <w:rsid w:val="004D00AE"/>
    <w:rsid w:val="004D024F"/>
    <w:rsid w:val="004D0256"/>
    <w:rsid w:val="004D03B6"/>
    <w:rsid w:val="004D04AA"/>
    <w:rsid w:val="004D04D1"/>
    <w:rsid w:val="004D05B8"/>
    <w:rsid w:val="004D070D"/>
    <w:rsid w:val="004D0854"/>
    <w:rsid w:val="004D0FBA"/>
    <w:rsid w:val="004D12F7"/>
    <w:rsid w:val="004D13BE"/>
    <w:rsid w:val="004D14B7"/>
    <w:rsid w:val="004D152A"/>
    <w:rsid w:val="004D163B"/>
    <w:rsid w:val="004D1720"/>
    <w:rsid w:val="004D1975"/>
    <w:rsid w:val="004D1AC7"/>
    <w:rsid w:val="004D1BBC"/>
    <w:rsid w:val="004D1C7C"/>
    <w:rsid w:val="004D1CED"/>
    <w:rsid w:val="004D1D69"/>
    <w:rsid w:val="004D1EC4"/>
    <w:rsid w:val="004D1F3B"/>
    <w:rsid w:val="004D2006"/>
    <w:rsid w:val="004D226E"/>
    <w:rsid w:val="004D2346"/>
    <w:rsid w:val="004D239E"/>
    <w:rsid w:val="004D24E8"/>
    <w:rsid w:val="004D258E"/>
    <w:rsid w:val="004D276A"/>
    <w:rsid w:val="004D2771"/>
    <w:rsid w:val="004D27DA"/>
    <w:rsid w:val="004D2817"/>
    <w:rsid w:val="004D29FB"/>
    <w:rsid w:val="004D2C17"/>
    <w:rsid w:val="004D2C6F"/>
    <w:rsid w:val="004D31ED"/>
    <w:rsid w:val="004D3299"/>
    <w:rsid w:val="004D33E8"/>
    <w:rsid w:val="004D349A"/>
    <w:rsid w:val="004D3989"/>
    <w:rsid w:val="004D3D14"/>
    <w:rsid w:val="004D3D96"/>
    <w:rsid w:val="004D40B5"/>
    <w:rsid w:val="004D416E"/>
    <w:rsid w:val="004D41E6"/>
    <w:rsid w:val="004D4606"/>
    <w:rsid w:val="004D4719"/>
    <w:rsid w:val="004D47C3"/>
    <w:rsid w:val="004D47DD"/>
    <w:rsid w:val="004D4AE8"/>
    <w:rsid w:val="004D4B6F"/>
    <w:rsid w:val="004D4B7A"/>
    <w:rsid w:val="004D4EEA"/>
    <w:rsid w:val="004D4F4A"/>
    <w:rsid w:val="004D5085"/>
    <w:rsid w:val="004D5519"/>
    <w:rsid w:val="004D557A"/>
    <w:rsid w:val="004D5721"/>
    <w:rsid w:val="004D598A"/>
    <w:rsid w:val="004D5AE6"/>
    <w:rsid w:val="004D5BD3"/>
    <w:rsid w:val="004D5CE8"/>
    <w:rsid w:val="004D5E75"/>
    <w:rsid w:val="004D5F88"/>
    <w:rsid w:val="004D60D4"/>
    <w:rsid w:val="004D6303"/>
    <w:rsid w:val="004D656D"/>
    <w:rsid w:val="004D6819"/>
    <w:rsid w:val="004D6953"/>
    <w:rsid w:val="004D6A2C"/>
    <w:rsid w:val="004D6BDC"/>
    <w:rsid w:val="004D6D3A"/>
    <w:rsid w:val="004D6E9D"/>
    <w:rsid w:val="004D7129"/>
    <w:rsid w:val="004D729A"/>
    <w:rsid w:val="004D72B5"/>
    <w:rsid w:val="004D78F0"/>
    <w:rsid w:val="004D7BAA"/>
    <w:rsid w:val="004D7D94"/>
    <w:rsid w:val="004D7F3E"/>
    <w:rsid w:val="004D7F90"/>
    <w:rsid w:val="004E023D"/>
    <w:rsid w:val="004E08EA"/>
    <w:rsid w:val="004E0D10"/>
    <w:rsid w:val="004E0E0C"/>
    <w:rsid w:val="004E0EDC"/>
    <w:rsid w:val="004E10F6"/>
    <w:rsid w:val="004E118C"/>
    <w:rsid w:val="004E1259"/>
    <w:rsid w:val="004E127D"/>
    <w:rsid w:val="004E14C9"/>
    <w:rsid w:val="004E15F5"/>
    <w:rsid w:val="004E163D"/>
    <w:rsid w:val="004E18E4"/>
    <w:rsid w:val="004E1C26"/>
    <w:rsid w:val="004E1CF9"/>
    <w:rsid w:val="004E1DE9"/>
    <w:rsid w:val="004E1E33"/>
    <w:rsid w:val="004E2020"/>
    <w:rsid w:val="004E2070"/>
    <w:rsid w:val="004E225F"/>
    <w:rsid w:val="004E2342"/>
    <w:rsid w:val="004E2406"/>
    <w:rsid w:val="004E26F8"/>
    <w:rsid w:val="004E27EA"/>
    <w:rsid w:val="004E290F"/>
    <w:rsid w:val="004E2EB5"/>
    <w:rsid w:val="004E3122"/>
    <w:rsid w:val="004E31D6"/>
    <w:rsid w:val="004E3261"/>
    <w:rsid w:val="004E334F"/>
    <w:rsid w:val="004E3545"/>
    <w:rsid w:val="004E356A"/>
    <w:rsid w:val="004E35B7"/>
    <w:rsid w:val="004E35D2"/>
    <w:rsid w:val="004E3668"/>
    <w:rsid w:val="004E39EE"/>
    <w:rsid w:val="004E3B76"/>
    <w:rsid w:val="004E3C53"/>
    <w:rsid w:val="004E3D6C"/>
    <w:rsid w:val="004E3FB8"/>
    <w:rsid w:val="004E4022"/>
    <w:rsid w:val="004E44E2"/>
    <w:rsid w:val="004E48DA"/>
    <w:rsid w:val="004E48F4"/>
    <w:rsid w:val="004E4915"/>
    <w:rsid w:val="004E4D38"/>
    <w:rsid w:val="004E4F3A"/>
    <w:rsid w:val="004E503A"/>
    <w:rsid w:val="004E534A"/>
    <w:rsid w:val="004E543E"/>
    <w:rsid w:val="004E5461"/>
    <w:rsid w:val="004E55F7"/>
    <w:rsid w:val="004E56FF"/>
    <w:rsid w:val="004E577C"/>
    <w:rsid w:val="004E5A54"/>
    <w:rsid w:val="004E625B"/>
    <w:rsid w:val="004E6631"/>
    <w:rsid w:val="004E669A"/>
    <w:rsid w:val="004E6BCD"/>
    <w:rsid w:val="004E6C75"/>
    <w:rsid w:val="004E7628"/>
    <w:rsid w:val="004E77BD"/>
    <w:rsid w:val="004E77C3"/>
    <w:rsid w:val="004E78E5"/>
    <w:rsid w:val="004E7E18"/>
    <w:rsid w:val="004F02CE"/>
    <w:rsid w:val="004F0366"/>
    <w:rsid w:val="004F07DD"/>
    <w:rsid w:val="004F0A38"/>
    <w:rsid w:val="004F0C10"/>
    <w:rsid w:val="004F0CCB"/>
    <w:rsid w:val="004F0D0C"/>
    <w:rsid w:val="004F0DBD"/>
    <w:rsid w:val="004F0E2A"/>
    <w:rsid w:val="004F13E4"/>
    <w:rsid w:val="004F145E"/>
    <w:rsid w:val="004F1515"/>
    <w:rsid w:val="004F1557"/>
    <w:rsid w:val="004F1657"/>
    <w:rsid w:val="004F1797"/>
    <w:rsid w:val="004F1916"/>
    <w:rsid w:val="004F1D42"/>
    <w:rsid w:val="004F1D85"/>
    <w:rsid w:val="004F22BB"/>
    <w:rsid w:val="004F2588"/>
    <w:rsid w:val="004F25E4"/>
    <w:rsid w:val="004F2794"/>
    <w:rsid w:val="004F27F5"/>
    <w:rsid w:val="004F2937"/>
    <w:rsid w:val="004F29BC"/>
    <w:rsid w:val="004F2A82"/>
    <w:rsid w:val="004F2C42"/>
    <w:rsid w:val="004F2EE3"/>
    <w:rsid w:val="004F2F4E"/>
    <w:rsid w:val="004F3454"/>
    <w:rsid w:val="004F34B4"/>
    <w:rsid w:val="004F3594"/>
    <w:rsid w:val="004F37CB"/>
    <w:rsid w:val="004F3857"/>
    <w:rsid w:val="004F389C"/>
    <w:rsid w:val="004F38CE"/>
    <w:rsid w:val="004F3A51"/>
    <w:rsid w:val="004F3A64"/>
    <w:rsid w:val="004F3B38"/>
    <w:rsid w:val="004F3CE6"/>
    <w:rsid w:val="004F3E29"/>
    <w:rsid w:val="004F3F21"/>
    <w:rsid w:val="004F44D2"/>
    <w:rsid w:val="004F450A"/>
    <w:rsid w:val="004F4598"/>
    <w:rsid w:val="004F47B3"/>
    <w:rsid w:val="004F4828"/>
    <w:rsid w:val="004F4866"/>
    <w:rsid w:val="004F48F2"/>
    <w:rsid w:val="004F4A01"/>
    <w:rsid w:val="004F4A2F"/>
    <w:rsid w:val="004F4BB3"/>
    <w:rsid w:val="004F54D1"/>
    <w:rsid w:val="004F5542"/>
    <w:rsid w:val="004F559A"/>
    <w:rsid w:val="004F5638"/>
    <w:rsid w:val="004F56D4"/>
    <w:rsid w:val="004F5B71"/>
    <w:rsid w:val="004F63CB"/>
    <w:rsid w:val="004F648F"/>
    <w:rsid w:val="004F660F"/>
    <w:rsid w:val="004F6643"/>
    <w:rsid w:val="004F68DB"/>
    <w:rsid w:val="004F690C"/>
    <w:rsid w:val="004F6B2B"/>
    <w:rsid w:val="004F6C21"/>
    <w:rsid w:val="004F706A"/>
    <w:rsid w:val="004F70AE"/>
    <w:rsid w:val="004F7404"/>
    <w:rsid w:val="004F75ED"/>
    <w:rsid w:val="004F7656"/>
    <w:rsid w:val="004F769B"/>
    <w:rsid w:val="004F775B"/>
    <w:rsid w:val="004F784A"/>
    <w:rsid w:val="004F7B46"/>
    <w:rsid w:val="004F7CBD"/>
    <w:rsid w:val="004F7E2E"/>
    <w:rsid w:val="004F7F31"/>
    <w:rsid w:val="005003BD"/>
    <w:rsid w:val="00500741"/>
    <w:rsid w:val="005008CF"/>
    <w:rsid w:val="00500BD4"/>
    <w:rsid w:val="0050110E"/>
    <w:rsid w:val="00501119"/>
    <w:rsid w:val="00501158"/>
    <w:rsid w:val="005011B3"/>
    <w:rsid w:val="0050137B"/>
    <w:rsid w:val="00501539"/>
    <w:rsid w:val="005015FF"/>
    <w:rsid w:val="0050171A"/>
    <w:rsid w:val="005017EA"/>
    <w:rsid w:val="005017EB"/>
    <w:rsid w:val="00501B0D"/>
    <w:rsid w:val="00501B0F"/>
    <w:rsid w:val="00501B59"/>
    <w:rsid w:val="00501CEB"/>
    <w:rsid w:val="00501D0A"/>
    <w:rsid w:val="00501E5D"/>
    <w:rsid w:val="00501ECA"/>
    <w:rsid w:val="00501F5C"/>
    <w:rsid w:val="0050203A"/>
    <w:rsid w:val="00502136"/>
    <w:rsid w:val="00502637"/>
    <w:rsid w:val="005026E6"/>
    <w:rsid w:val="005027D4"/>
    <w:rsid w:val="0050295A"/>
    <w:rsid w:val="00502991"/>
    <w:rsid w:val="005029B4"/>
    <w:rsid w:val="00502BBF"/>
    <w:rsid w:val="00502E0B"/>
    <w:rsid w:val="00503054"/>
    <w:rsid w:val="0050339B"/>
    <w:rsid w:val="005033A3"/>
    <w:rsid w:val="00503468"/>
    <w:rsid w:val="00503591"/>
    <w:rsid w:val="0050399D"/>
    <w:rsid w:val="005039FD"/>
    <w:rsid w:val="00503C5A"/>
    <w:rsid w:val="00503DF1"/>
    <w:rsid w:val="00503F7B"/>
    <w:rsid w:val="00503FF4"/>
    <w:rsid w:val="00504006"/>
    <w:rsid w:val="00504009"/>
    <w:rsid w:val="0050417A"/>
    <w:rsid w:val="005043E2"/>
    <w:rsid w:val="005044BD"/>
    <w:rsid w:val="005045F8"/>
    <w:rsid w:val="005046DB"/>
    <w:rsid w:val="005047E3"/>
    <w:rsid w:val="005047E9"/>
    <w:rsid w:val="00504CA8"/>
    <w:rsid w:val="00504DCF"/>
    <w:rsid w:val="0050510D"/>
    <w:rsid w:val="00505234"/>
    <w:rsid w:val="00505416"/>
    <w:rsid w:val="00505538"/>
    <w:rsid w:val="00505613"/>
    <w:rsid w:val="0050561D"/>
    <w:rsid w:val="00505B3D"/>
    <w:rsid w:val="00505C8F"/>
    <w:rsid w:val="00505DBB"/>
    <w:rsid w:val="00505E80"/>
    <w:rsid w:val="00506113"/>
    <w:rsid w:val="005061C2"/>
    <w:rsid w:val="0050643C"/>
    <w:rsid w:val="005065A2"/>
    <w:rsid w:val="00506623"/>
    <w:rsid w:val="00506748"/>
    <w:rsid w:val="00506BB6"/>
    <w:rsid w:val="00506C75"/>
    <w:rsid w:val="00506DE7"/>
    <w:rsid w:val="00507003"/>
    <w:rsid w:val="0050708B"/>
    <w:rsid w:val="0050716C"/>
    <w:rsid w:val="00507298"/>
    <w:rsid w:val="00507417"/>
    <w:rsid w:val="00507596"/>
    <w:rsid w:val="00507656"/>
    <w:rsid w:val="00507DDC"/>
    <w:rsid w:val="00507DF0"/>
    <w:rsid w:val="00507F64"/>
    <w:rsid w:val="00507FC8"/>
    <w:rsid w:val="0051003B"/>
    <w:rsid w:val="005100A1"/>
    <w:rsid w:val="005102A2"/>
    <w:rsid w:val="005102B4"/>
    <w:rsid w:val="005102D6"/>
    <w:rsid w:val="0051030E"/>
    <w:rsid w:val="00510314"/>
    <w:rsid w:val="0051055F"/>
    <w:rsid w:val="005105F4"/>
    <w:rsid w:val="00510976"/>
    <w:rsid w:val="005109DF"/>
    <w:rsid w:val="00510A8E"/>
    <w:rsid w:val="00510B53"/>
    <w:rsid w:val="00510B60"/>
    <w:rsid w:val="00510BF9"/>
    <w:rsid w:val="00510C5B"/>
    <w:rsid w:val="00510CA7"/>
    <w:rsid w:val="00510EF2"/>
    <w:rsid w:val="00510EF4"/>
    <w:rsid w:val="00510F71"/>
    <w:rsid w:val="005110FD"/>
    <w:rsid w:val="00511251"/>
    <w:rsid w:val="005112E4"/>
    <w:rsid w:val="005113A3"/>
    <w:rsid w:val="005114C4"/>
    <w:rsid w:val="0051163B"/>
    <w:rsid w:val="00511671"/>
    <w:rsid w:val="0051197E"/>
    <w:rsid w:val="00511B1F"/>
    <w:rsid w:val="00511B9B"/>
    <w:rsid w:val="00511C16"/>
    <w:rsid w:val="00511D05"/>
    <w:rsid w:val="00511EC2"/>
    <w:rsid w:val="0051250D"/>
    <w:rsid w:val="00512511"/>
    <w:rsid w:val="005125DE"/>
    <w:rsid w:val="00512714"/>
    <w:rsid w:val="005128E0"/>
    <w:rsid w:val="00512AB2"/>
    <w:rsid w:val="00512D7C"/>
    <w:rsid w:val="00512E63"/>
    <w:rsid w:val="00512EFA"/>
    <w:rsid w:val="00512EFD"/>
    <w:rsid w:val="00513092"/>
    <w:rsid w:val="00513151"/>
    <w:rsid w:val="005131F9"/>
    <w:rsid w:val="0051343C"/>
    <w:rsid w:val="0051350B"/>
    <w:rsid w:val="005136DB"/>
    <w:rsid w:val="00513895"/>
    <w:rsid w:val="0051395E"/>
    <w:rsid w:val="0051399A"/>
    <w:rsid w:val="005139ED"/>
    <w:rsid w:val="00513EE8"/>
    <w:rsid w:val="0051409A"/>
    <w:rsid w:val="005141AC"/>
    <w:rsid w:val="005143EE"/>
    <w:rsid w:val="005145BE"/>
    <w:rsid w:val="00514A9C"/>
    <w:rsid w:val="00514AF4"/>
    <w:rsid w:val="00514B69"/>
    <w:rsid w:val="00514BA4"/>
    <w:rsid w:val="00514CDD"/>
    <w:rsid w:val="00514DAC"/>
    <w:rsid w:val="0051500E"/>
    <w:rsid w:val="00515572"/>
    <w:rsid w:val="00515756"/>
    <w:rsid w:val="00515902"/>
    <w:rsid w:val="00515984"/>
    <w:rsid w:val="00515CEC"/>
    <w:rsid w:val="00515E46"/>
    <w:rsid w:val="005160B0"/>
    <w:rsid w:val="00516145"/>
    <w:rsid w:val="00516298"/>
    <w:rsid w:val="005166D4"/>
    <w:rsid w:val="005167DA"/>
    <w:rsid w:val="00516818"/>
    <w:rsid w:val="00516B94"/>
    <w:rsid w:val="00516E9C"/>
    <w:rsid w:val="00516F06"/>
    <w:rsid w:val="005171DD"/>
    <w:rsid w:val="005174EC"/>
    <w:rsid w:val="00517681"/>
    <w:rsid w:val="005179D4"/>
    <w:rsid w:val="00517C53"/>
    <w:rsid w:val="005201A0"/>
    <w:rsid w:val="00520255"/>
    <w:rsid w:val="0052039D"/>
    <w:rsid w:val="005203C4"/>
    <w:rsid w:val="00520465"/>
    <w:rsid w:val="00520558"/>
    <w:rsid w:val="00520672"/>
    <w:rsid w:val="0052072A"/>
    <w:rsid w:val="00520753"/>
    <w:rsid w:val="00520878"/>
    <w:rsid w:val="00520B55"/>
    <w:rsid w:val="00520BC1"/>
    <w:rsid w:val="00520CFA"/>
    <w:rsid w:val="00520D2E"/>
    <w:rsid w:val="00520F6E"/>
    <w:rsid w:val="00521015"/>
    <w:rsid w:val="0052105A"/>
    <w:rsid w:val="00521596"/>
    <w:rsid w:val="005215D5"/>
    <w:rsid w:val="00521857"/>
    <w:rsid w:val="005219DD"/>
    <w:rsid w:val="00521B37"/>
    <w:rsid w:val="00521C57"/>
    <w:rsid w:val="00521E62"/>
    <w:rsid w:val="00521EC4"/>
    <w:rsid w:val="00521EC9"/>
    <w:rsid w:val="0052202A"/>
    <w:rsid w:val="005220E0"/>
    <w:rsid w:val="0052213D"/>
    <w:rsid w:val="00522174"/>
    <w:rsid w:val="0052222C"/>
    <w:rsid w:val="0052241F"/>
    <w:rsid w:val="00522C1A"/>
    <w:rsid w:val="00522C6D"/>
    <w:rsid w:val="00522E30"/>
    <w:rsid w:val="00522F26"/>
    <w:rsid w:val="005230CF"/>
    <w:rsid w:val="005234B8"/>
    <w:rsid w:val="005235B9"/>
    <w:rsid w:val="0052367A"/>
    <w:rsid w:val="00523864"/>
    <w:rsid w:val="00523884"/>
    <w:rsid w:val="00523915"/>
    <w:rsid w:val="00523A87"/>
    <w:rsid w:val="00523F86"/>
    <w:rsid w:val="005240A9"/>
    <w:rsid w:val="005245FD"/>
    <w:rsid w:val="0052480F"/>
    <w:rsid w:val="00524832"/>
    <w:rsid w:val="00524B05"/>
    <w:rsid w:val="00524B73"/>
    <w:rsid w:val="00524BAE"/>
    <w:rsid w:val="00524C39"/>
    <w:rsid w:val="00524DD6"/>
    <w:rsid w:val="00524EBD"/>
    <w:rsid w:val="005251EB"/>
    <w:rsid w:val="00525332"/>
    <w:rsid w:val="0052569F"/>
    <w:rsid w:val="00525882"/>
    <w:rsid w:val="005259C2"/>
    <w:rsid w:val="00525C9E"/>
    <w:rsid w:val="00525D5E"/>
    <w:rsid w:val="00525E5B"/>
    <w:rsid w:val="00525FC5"/>
    <w:rsid w:val="005261A9"/>
    <w:rsid w:val="0052626D"/>
    <w:rsid w:val="0052657A"/>
    <w:rsid w:val="005265CE"/>
    <w:rsid w:val="00526767"/>
    <w:rsid w:val="00526AFB"/>
    <w:rsid w:val="00526CFA"/>
    <w:rsid w:val="00526DB7"/>
    <w:rsid w:val="005271C4"/>
    <w:rsid w:val="005272F3"/>
    <w:rsid w:val="00527643"/>
    <w:rsid w:val="005276F3"/>
    <w:rsid w:val="00527789"/>
    <w:rsid w:val="00527815"/>
    <w:rsid w:val="005278B6"/>
    <w:rsid w:val="00527992"/>
    <w:rsid w:val="00527A1B"/>
    <w:rsid w:val="00527B36"/>
    <w:rsid w:val="00527EDC"/>
    <w:rsid w:val="00527F68"/>
    <w:rsid w:val="00527FCD"/>
    <w:rsid w:val="00530024"/>
    <w:rsid w:val="00530185"/>
    <w:rsid w:val="0053027F"/>
    <w:rsid w:val="00530351"/>
    <w:rsid w:val="00530360"/>
    <w:rsid w:val="0053052C"/>
    <w:rsid w:val="00530867"/>
    <w:rsid w:val="00530925"/>
    <w:rsid w:val="00530ACF"/>
    <w:rsid w:val="00530E4E"/>
    <w:rsid w:val="00530EAF"/>
    <w:rsid w:val="00530FEA"/>
    <w:rsid w:val="00531020"/>
    <w:rsid w:val="00531025"/>
    <w:rsid w:val="0053156D"/>
    <w:rsid w:val="0053167F"/>
    <w:rsid w:val="00531721"/>
    <w:rsid w:val="005317D9"/>
    <w:rsid w:val="00531963"/>
    <w:rsid w:val="00531D76"/>
    <w:rsid w:val="00531D77"/>
    <w:rsid w:val="00531E57"/>
    <w:rsid w:val="005320D3"/>
    <w:rsid w:val="005322C3"/>
    <w:rsid w:val="00532344"/>
    <w:rsid w:val="00532577"/>
    <w:rsid w:val="005326C4"/>
    <w:rsid w:val="005326E1"/>
    <w:rsid w:val="0053280E"/>
    <w:rsid w:val="00532B4C"/>
    <w:rsid w:val="00532B58"/>
    <w:rsid w:val="00532C9D"/>
    <w:rsid w:val="00532DF1"/>
    <w:rsid w:val="00532EBA"/>
    <w:rsid w:val="00532F6E"/>
    <w:rsid w:val="00533025"/>
    <w:rsid w:val="00533087"/>
    <w:rsid w:val="0053320B"/>
    <w:rsid w:val="00533225"/>
    <w:rsid w:val="0053322A"/>
    <w:rsid w:val="005334F2"/>
    <w:rsid w:val="00533733"/>
    <w:rsid w:val="00533813"/>
    <w:rsid w:val="00533AA2"/>
    <w:rsid w:val="00533AD4"/>
    <w:rsid w:val="00533C6B"/>
    <w:rsid w:val="00533EED"/>
    <w:rsid w:val="0053434F"/>
    <w:rsid w:val="0053441A"/>
    <w:rsid w:val="005344B0"/>
    <w:rsid w:val="00534808"/>
    <w:rsid w:val="00534A6F"/>
    <w:rsid w:val="00534C85"/>
    <w:rsid w:val="00534E18"/>
    <w:rsid w:val="00534E87"/>
    <w:rsid w:val="00534F10"/>
    <w:rsid w:val="00535129"/>
    <w:rsid w:val="0053519B"/>
    <w:rsid w:val="0053532F"/>
    <w:rsid w:val="005355B5"/>
    <w:rsid w:val="00535604"/>
    <w:rsid w:val="005356F1"/>
    <w:rsid w:val="005358ED"/>
    <w:rsid w:val="00535964"/>
    <w:rsid w:val="00535B6D"/>
    <w:rsid w:val="00535BFF"/>
    <w:rsid w:val="00535E27"/>
    <w:rsid w:val="00535EBF"/>
    <w:rsid w:val="00535EF8"/>
    <w:rsid w:val="00535F65"/>
    <w:rsid w:val="005360AD"/>
    <w:rsid w:val="005362A8"/>
    <w:rsid w:val="0053645E"/>
    <w:rsid w:val="00536521"/>
    <w:rsid w:val="0053655D"/>
    <w:rsid w:val="005368BD"/>
    <w:rsid w:val="005368CE"/>
    <w:rsid w:val="0053696E"/>
    <w:rsid w:val="00536A1D"/>
    <w:rsid w:val="00536C32"/>
    <w:rsid w:val="00536D9D"/>
    <w:rsid w:val="00536E4A"/>
    <w:rsid w:val="00536EAE"/>
    <w:rsid w:val="0053722D"/>
    <w:rsid w:val="0053747C"/>
    <w:rsid w:val="005374AC"/>
    <w:rsid w:val="00537612"/>
    <w:rsid w:val="00537781"/>
    <w:rsid w:val="0053781D"/>
    <w:rsid w:val="00537829"/>
    <w:rsid w:val="0053786B"/>
    <w:rsid w:val="00537B5E"/>
    <w:rsid w:val="00537B66"/>
    <w:rsid w:val="00537DEC"/>
    <w:rsid w:val="00537F5C"/>
    <w:rsid w:val="00540115"/>
    <w:rsid w:val="0054011E"/>
    <w:rsid w:val="00540166"/>
    <w:rsid w:val="005403A4"/>
    <w:rsid w:val="005403E3"/>
    <w:rsid w:val="00540486"/>
    <w:rsid w:val="0054051C"/>
    <w:rsid w:val="0054086F"/>
    <w:rsid w:val="00540977"/>
    <w:rsid w:val="00540A72"/>
    <w:rsid w:val="00540C5D"/>
    <w:rsid w:val="00540D92"/>
    <w:rsid w:val="005412DC"/>
    <w:rsid w:val="00541316"/>
    <w:rsid w:val="0054169E"/>
    <w:rsid w:val="00541716"/>
    <w:rsid w:val="005418BB"/>
    <w:rsid w:val="005419DE"/>
    <w:rsid w:val="00541BE9"/>
    <w:rsid w:val="00541C4B"/>
    <w:rsid w:val="0054204D"/>
    <w:rsid w:val="005422F4"/>
    <w:rsid w:val="0054238D"/>
    <w:rsid w:val="00542496"/>
    <w:rsid w:val="005424C0"/>
    <w:rsid w:val="005424C3"/>
    <w:rsid w:val="005424F0"/>
    <w:rsid w:val="005429E6"/>
    <w:rsid w:val="00542C4C"/>
    <w:rsid w:val="00542DF0"/>
    <w:rsid w:val="00542E38"/>
    <w:rsid w:val="0054301F"/>
    <w:rsid w:val="00543694"/>
    <w:rsid w:val="0054392B"/>
    <w:rsid w:val="00543A8C"/>
    <w:rsid w:val="00543B98"/>
    <w:rsid w:val="00543DE1"/>
    <w:rsid w:val="00543E4F"/>
    <w:rsid w:val="005440FD"/>
    <w:rsid w:val="005441C6"/>
    <w:rsid w:val="005441F3"/>
    <w:rsid w:val="00544335"/>
    <w:rsid w:val="005443C2"/>
    <w:rsid w:val="00544579"/>
    <w:rsid w:val="005446CB"/>
    <w:rsid w:val="00544820"/>
    <w:rsid w:val="00544B8F"/>
    <w:rsid w:val="00544E03"/>
    <w:rsid w:val="00544ED0"/>
    <w:rsid w:val="00544F91"/>
    <w:rsid w:val="00545075"/>
    <w:rsid w:val="005450AB"/>
    <w:rsid w:val="005454C6"/>
    <w:rsid w:val="00545622"/>
    <w:rsid w:val="0054580B"/>
    <w:rsid w:val="00545967"/>
    <w:rsid w:val="005459B3"/>
    <w:rsid w:val="00545A5C"/>
    <w:rsid w:val="00545B10"/>
    <w:rsid w:val="00545B91"/>
    <w:rsid w:val="00545C94"/>
    <w:rsid w:val="00545CF4"/>
    <w:rsid w:val="00545DA1"/>
    <w:rsid w:val="00545EDF"/>
    <w:rsid w:val="005460C5"/>
    <w:rsid w:val="00546209"/>
    <w:rsid w:val="00546287"/>
    <w:rsid w:val="00546309"/>
    <w:rsid w:val="00546572"/>
    <w:rsid w:val="00546620"/>
    <w:rsid w:val="005466E1"/>
    <w:rsid w:val="00546714"/>
    <w:rsid w:val="00546775"/>
    <w:rsid w:val="005467F6"/>
    <w:rsid w:val="00546D7F"/>
    <w:rsid w:val="00546E0D"/>
    <w:rsid w:val="00546F34"/>
    <w:rsid w:val="00547029"/>
    <w:rsid w:val="00547191"/>
    <w:rsid w:val="00547574"/>
    <w:rsid w:val="005475D8"/>
    <w:rsid w:val="005475DB"/>
    <w:rsid w:val="0054772E"/>
    <w:rsid w:val="005478A5"/>
    <w:rsid w:val="00547C9D"/>
    <w:rsid w:val="00547D65"/>
    <w:rsid w:val="00547F0D"/>
    <w:rsid w:val="005501E4"/>
    <w:rsid w:val="00550588"/>
    <w:rsid w:val="00550C62"/>
    <w:rsid w:val="00550D69"/>
    <w:rsid w:val="00550E6E"/>
    <w:rsid w:val="005510C6"/>
    <w:rsid w:val="005513DF"/>
    <w:rsid w:val="00551481"/>
    <w:rsid w:val="00551801"/>
    <w:rsid w:val="00551836"/>
    <w:rsid w:val="005518B8"/>
    <w:rsid w:val="00551A5A"/>
    <w:rsid w:val="00551A94"/>
    <w:rsid w:val="00551BB9"/>
    <w:rsid w:val="00551C69"/>
    <w:rsid w:val="00551D2B"/>
    <w:rsid w:val="00552059"/>
    <w:rsid w:val="00552131"/>
    <w:rsid w:val="0055220D"/>
    <w:rsid w:val="0055249D"/>
    <w:rsid w:val="005524F7"/>
    <w:rsid w:val="00552781"/>
    <w:rsid w:val="00552811"/>
    <w:rsid w:val="00552B31"/>
    <w:rsid w:val="00552C5C"/>
    <w:rsid w:val="00552D4A"/>
    <w:rsid w:val="00553015"/>
    <w:rsid w:val="005533F1"/>
    <w:rsid w:val="00553500"/>
    <w:rsid w:val="0055373E"/>
    <w:rsid w:val="0055377C"/>
    <w:rsid w:val="005537AF"/>
    <w:rsid w:val="00553F74"/>
    <w:rsid w:val="00553FEB"/>
    <w:rsid w:val="005543AF"/>
    <w:rsid w:val="00554470"/>
    <w:rsid w:val="005547B7"/>
    <w:rsid w:val="005547E4"/>
    <w:rsid w:val="0055482B"/>
    <w:rsid w:val="00554B08"/>
    <w:rsid w:val="00554B2E"/>
    <w:rsid w:val="005550FD"/>
    <w:rsid w:val="005551C5"/>
    <w:rsid w:val="005551D8"/>
    <w:rsid w:val="0055564D"/>
    <w:rsid w:val="00555961"/>
    <w:rsid w:val="00555AAF"/>
    <w:rsid w:val="00555CFB"/>
    <w:rsid w:val="00555ED0"/>
    <w:rsid w:val="005560A0"/>
    <w:rsid w:val="005563AD"/>
    <w:rsid w:val="005563D1"/>
    <w:rsid w:val="00556618"/>
    <w:rsid w:val="005566F9"/>
    <w:rsid w:val="00556703"/>
    <w:rsid w:val="0055672A"/>
    <w:rsid w:val="00556BE4"/>
    <w:rsid w:val="00556C15"/>
    <w:rsid w:val="00556DEB"/>
    <w:rsid w:val="00556F26"/>
    <w:rsid w:val="0055714A"/>
    <w:rsid w:val="005571D3"/>
    <w:rsid w:val="005575D3"/>
    <w:rsid w:val="005577BF"/>
    <w:rsid w:val="005577EA"/>
    <w:rsid w:val="00557A16"/>
    <w:rsid w:val="00557B5F"/>
    <w:rsid w:val="00557C0B"/>
    <w:rsid w:val="00557DA5"/>
    <w:rsid w:val="0056013C"/>
    <w:rsid w:val="005601A6"/>
    <w:rsid w:val="005603C4"/>
    <w:rsid w:val="0056042A"/>
    <w:rsid w:val="00560D03"/>
    <w:rsid w:val="00560DE1"/>
    <w:rsid w:val="00560ECC"/>
    <w:rsid w:val="0056112C"/>
    <w:rsid w:val="0056165C"/>
    <w:rsid w:val="00561724"/>
    <w:rsid w:val="00561A3B"/>
    <w:rsid w:val="00561DBC"/>
    <w:rsid w:val="0056224C"/>
    <w:rsid w:val="005623D1"/>
    <w:rsid w:val="0056240E"/>
    <w:rsid w:val="00562604"/>
    <w:rsid w:val="0056329C"/>
    <w:rsid w:val="00563330"/>
    <w:rsid w:val="005634A0"/>
    <w:rsid w:val="005638BC"/>
    <w:rsid w:val="00563AEC"/>
    <w:rsid w:val="00563BC3"/>
    <w:rsid w:val="00563BCB"/>
    <w:rsid w:val="00563E23"/>
    <w:rsid w:val="00563E66"/>
    <w:rsid w:val="00564088"/>
    <w:rsid w:val="005647EF"/>
    <w:rsid w:val="00564853"/>
    <w:rsid w:val="00564946"/>
    <w:rsid w:val="00564B51"/>
    <w:rsid w:val="005655E0"/>
    <w:rsid w:val="005657C4"/>
    <w:rsid w:val="005657CE"/>
    <w:rsid w:val="00565945"/>
    <w:rsid w:val="00566000"/>
    <w:rsid w:val="0056601E"/>
    <w:rsid w:val="005662DA"/>
    <w:rsid w:val="00566652"/>
    <w:rsid w:val="00566986"/>
    <w:rsid w:val="00566A81"/>
    <w:rsid w:val="00567125"/>
    <w:rsid w:val="00567179"/>
    <w:rsid w:val="005672F4"/>
    <w:rsid w:val="00567510"/>
    <w:rsid w:val="00567595"/>
    <w:rsid w:val="00567699"/>
    <w:rsid w:val="00567D3A"/>
    <w:rsid w:val="00567D76"/>
    <w:rsid w:val="005706D9"/>
    <w:rsid w:val="00570739"/>
    <w:rsid w:val="0057073D"/>
    <w:rsid w:val="0057085C"/>
    <w:rsid w:val="0057086A"/>
    <w:rsid w:val="005709F6"/>
    <w:rsid w:val="00570B21"/>
    <w:rsid w:val="00570D4D"/>
    <w:rsid w:val="00570EEA"/>
    <w:rsid w:val="00570EFA"/>
    <w:rsid w:val="005712FA"/>
    <w:rsid w:val="0057152F"/>
    <w:rsid w:val="0057156F"/>
    <w:rsid w:val="005716BD"/>
    <w:rsid w:val="00571B2E"/>
    <w:rsid w:val="00571FF0"/>
    <w:rsid w:val="005720A4"/>
    <w:rsid w:val="0057225B"/>
    <w:rsid w:val="0057242C"/>
    <w:rsid w:val="00572495"/>
    <w:rsid w:val="005725A0"/>
    <w:rsid w:val="0057271E"/>
    <w:rsid w:val="005727BF"/>
    <w:rsid w:val="00572837"/>
    <w:rsid w:val="00572ACC"/>
    <w:rsid w:val="00572B6F"/>
    <w:rsid w:val="00572D1B"/>
    <w:rsid w:val="00572F6A"/>
    <w:rsid w:val="0057306C"/>
    <w:rsid w:val="005731F6"/>
    <w:rsid w:val="0057336B"/>
    <w:rsid w:val="005733B5"/>
    <w:rsid w:val="005733B6"/>
    <w:rsid w:val="00573637"/>
    <w:rsid w:val="00573828"/>
    <w:rsid w:val="005738BD"/>
    <w:rsid w:val="00573A0F"/>
    <w:rsid w:val="00573ABB"/>
    <w:rsid w:val="00573B9F"/>
    <w:rsid w:val="00573C5F"/>
    <w:rsid w:val="00573E29"/>
    <w:rsid w:val="00573F26"/>
    <w:rsid w:val="00573FF4"/>
    <w:rsid w:val="005742B5"/>
    <w:rsid w:val="00574360"/>
    <w:rsid w:val="00574425"/>
    <w:rsid w:val="00574666"/>
    <w:rsid w:val="005746AC"/>
    <w:rsid w:val="00574815"/>
    <w:rsid w:val="00574AAE"/>
    <w:rsid w:val="00574AB3"/>
    <w:rsid w:val="00574DAE"/>
    <w:rsid w:val="00575051"/>
    <w:rsid w:val="005750A1"/>
    <w:rsid w:val="00575118"/>
    <w:rsid w:val="005753C4"/>
    <w:rsid w:val="00575428"/>
    <w:rsid w:val="00575474"/>
    <w:rsid w:val="0057550C"/>
    <w:rsid w:val="005755F0"/>
    <w:rsid w:val="005759A7"/>
    <w:rsid w:val="00575B2F"/>
    <w:rsid w:val="00575CF0"/>
    <w:rsid w:val="00575F2E"/>
    <w:rsid w:val="005760C2"/>
    <w:rsid w:val="00576580"/>
    <w:rsid w:val="00576919"/>
    <w:rsid w:val="00576B1D"/>
    <w:rsid w:val="00576D25"/>
    <w:rsid w:val="00576FDF"/>
    <w:rsid w:val="00577039"/>
    <w:rsid w:val="00577311"/>
    <w:rsid w:val="005773BD"/>
    <w:rsid w:val="005773FD"/>
    <w:rsid w:val="005774E6"/>
    <w:rsid w:val="00577721"/>
    <w:rsid w:val="00577855"/>
    <w:rsid w:val="00577B51"/>
    <w:rsid w:val="00577D32"/>
    <w:rsid w:val="00577D58"/>
    <w:rsid w:val="005806F2"/>
    <w:rsid w:val="00580969"/>
    <w:rsid w:val="0058110F"/>
    <w:rsid w:val="00581644"/>
    <w:rsid w:val="005816FD"/>
    <w:rsid w:val="0058187F"/>
    <w:rsid w:val="00581A27"/>
    <w:rsid w:val="00581B5E"/>
    <w:rsid w:val="00581D25"/>
    <w:rsid w:val="0058243F"/>
    <w:rsid w:val="005824A4"/>
    <w:rsid w:val="00582503"/>
    <w:rsid w:val="0058271D"/>
    <w:rsid w:val="005828A6"/>
    <w:rsid w:val="00582CEC"/>
    <w:rsid w:val="0058308A"/>
    <w:rsid w:val="00583413"/>
    <w:rsid w:val="0058382E"/>
    <w:rsid w:val="0058389F"/>
    <w:rsid w:val="005839CC"/>
    <w:rsid w:val="00583A38"/>
    <w:rsid w:val="00583D5D"/>
    <w:rsid w:val="00583D83"/>
    <w:rsid w:val="00584013"/>
    <w:rsid w:val="0058435F"/>
    <w:rsid w:val="0058448F"/>
    <w:rsid w:val="00584533"/>
    <w:rsid w:val="005845F6"/>
    <w:rsid w:val="005847DE"/>
    <w:rsid w:val="00584C0A"/>
    <w:rsid w:val="00584C20"/>
    <w:rsid w:val="00584C81"/>
    <w:rsid w:val="00584CF0"/>
    <w:rsid w:val="00584EE6"/>
    <w:rsid w:val="005851B7"/>
    <w:rsid w:val="0058561D"/>
    <w:rsid w:val="005857E1"/>
    <w:rsid w:val="00585A9F"/>
    <w:rsid w:val="00585B08"/>
    <w:rsid w:val="00585F62"/>
    <w:rsid w:val="00586344"/>
    <w:rsid w:val="0058644C"/>
    <w:rsid w:val="005864F4"/>
    <w:rsid w:val="0058664B"/>
    <w:rsid w:val="005866A7"/>
    <w:rsid w:val="00586704"/>
    <w:rsid w:val="00586742"/>
    <w:rsid w:val="005867F5"/>
    <w:rsid w:val="00586891"/>
    <w:rsid w:val="0058694F"/>
    <w:rsid w:val="00586B7C"/>
    <w:rsid w:val="00586FB4"/>
    <w:rsid w:val="005871A1"/>
    <w:rsid w:val="0058729D"/>
    <w:rsid w:val="0058762C"/>
    <w:rsid w:val="0058782D"/>
    <w:rsid w:val="0058796B"/>
    <w:rsid w:val="005879B2"/>
    <w:rsid w:val="00587EEE"/>
    <w:rsid w:val="0059051F"/>
    <w:rsid w:val="00590582"/>
    <w:rsid w:val="0059063D"/>
    <w:rsid w:val="00590681"/>
    <w:rsid w:val="00590DC6"/>
    <w:rsid w:val="00590E48"/>
    <w:rsid w:val="005911B6"/>
    <w:rsid w:val="00591547"/>
    <w:rsid w:val="0059162C"/>
    <w:rsid w:val="0059167C"/>
    <w:rsid w:val="00591826"/>
    <w:rsid w:val="005919F4"/>
    <w:rsid w:val="00591BDF"/>
    <w:rsid w:val="00591D86"/>
    <w:rsid w:val="005921F5"/>
    <w:rsid w:val="00592241"/>
    <w:rsid w:val="00592254"/>
    <w:rsid w:val="0059230B"/>
    <w:rsid w:val="00592461"/>
    <w:rsid w:val="005924A2"/>
    <w:rsid w:val="00592516"/>
    <w:rsid w:val="0059275B"/>
    <w:rsid w:val="00592795"/>
    <w:rsid w:val="00592B83"/>
    <w:rsid w:val="00592D07"/>
    <w:rsid w:val="00592E62"/>
    <w:rsid w:val="00592E8E"/>
    <w:rsid w:val="005930B3"/>
    <w:rsid w:val="005930C4"/>
    <w:rsid w:val="00593144"/>
    <w:rsid w:val="00593237"/>
    <w:rsid w:val="005933D3"/>
    <w:rsid w:val="005936A6"/>
    <w:rsid w:val="00593771"/>
    <w:rsid w:val="0059384F"/>
    <w:rsid w:val="005938CD"/>
    <w:rsid w:val="0059397E"/>
    <w:rsid w:val="00593A20"/>
    <w:rsid w:val="00593DDA"/>
    <w:rsid w:val="00593E5D"/>
    <w:rsid w:val="00593EF6"/>
    <w:rsid w:val="00594532"/>
    <w:rsid w:val="00594707"/>
    <w:rsid w:val="00594728"/>
    <w:rsid w:val="00594732"/>
    <w:rsid w:val="005947EA"/>
    <w:rsid w:val="0059488A"/>
    <w:rsid w:val="00594901"/>
    <w:rsid w:val="00594A40"/>
    <w:rsid w:val="00594B63"/>
    <w:rsid w:val="00594E84"/>
    <w:rsid w:val="00594F07"/>
    <w:rsid w:val="00595052"/>
    <w:rsid w:val="005951DE"/>
    <w:rsid w:val="005954AA"/>
    <w:rsid w:val="005954B5"/>
    <w:rsid w:val="005955DB"/>
    <w:rsid w:val="00595744"/>
    <w:rsid w:val="00595767"/>
    <w:rsid w:val="00595E0A"/>
    <w:rsid w:val="00595EEC"/>
    <w:rsid w:val="0059603F"/>
    <w:rsid w:val="005961AC"/>
    <w:rsid w:val="005962B9"/>
    <w:rsid w:val="0059630E"/>
    <w:rsid w:val="00596311"/>
    <w:rsid w:val="005964BE"/>
    <w:rsid w:val="005965E9"/>
    <w:rsid w:val="005968BF"/>
    <w:rsid w:val="00596D94"/>
    <w:rsid w:val="00597222"/>
    <w:rsid w:val="005972B6"/>
    <w:rsid w:val="005974D9"/>
    <w:rsid w:val="005976E9"/>
    <w:rsid w:val="005979D7"/>
    <w:rsid w:val="00597DBA"/>
    <w:rsid w:val="00597F18"/>
    <w:rsid w:val="00597F4C"/>
    <w:rsid w:val="005A0290"/>
    <w:rsid w:val="005A037E"/>
    <w:rsid w:val="005A04DF"/>
    <w:rsid w:val="005A05FE"/>
    <w:rsid w:val="005A068B"/>
    <w:rsid w:val="005A085C"/>
    <w:rsid w:val="005A103E"/>
    <w:rsid w:val="005A11CF"/>
    <w:rsid w:val="005A157C"/>
    <w:rsid w:val="005A174D"/>
    <w:rsid w:val="005A190C"/>
    <w:rsid w:val="005A1BC0"/>
    <w:rsid w:val="005A1D11"/>
    <w:rsid w:val="005A1ECB"/>
    <w:rsid w:val="005A1F23"/>
    <w:rsid w:val="005A2055"/>
    <w:rsid w:val="005A206A"/>
    <w:rsid w:val="005A21E8"/>
    <w:rsid w:val="005A227D"/>
    <w:rsid w:val="005A2325"/>
    <w:rsid w:val="005A242C"/>
    <w:rsid w:val="005A2627"/>
    <w:rsid w:val="005A2C7E"/>
    <w:rsid w:val="005A2EA8"/>
    <w:rsid w:val="005A2EC3"/>
    <w:rsid w:val="005A2EE2"/>
    <w:rsid w:val="005A3010"/>
    <w:rsid w:val="005A3099"/>
    <w:rsid w:val="005A30C1"/>
    <w:rsid w:val="005A329F"/>
    <w:rsid w:val="005A32A4"/>
    <w:rsid w:val="005A32D7"/>
    <w:rsid w:val="005A34FA"/>
    <w:rsid w:val="005A3672"/>
    <w:rsid w:val="005A3AB8"/>
    <w:rsid w:val="005A3EAA"/>
    <w:rsid w:val="005A4158"/>
    <w:rsid w:val="005A4315"/>
    <w:rsid w:val="005A435D"/>
    <w:rsid w:val="005A46DF"/>
    <w:rsid w:val="005A4859"/>
    <w:rsid w:val="005A48B9"/>
    <w:rsid w:val="005A4BF3"/>
    <w:rsid w:val="005A4EA0"/>
    <w:rsid w:val="005A4EA1"/>
    <w:rsid w:val="005A4F56"/>
    <w:rsid w:val="005A4FFC"/>
    <w:rsid w:val="005A5194"/>
    <w:rsid w:val="005A53CD"/>
    <w:rsid w:val="005A548D"/>
    <w:rsid w:val="005A558C"/>
    <w:rsid w:val="005A598E"/>
    <w:rsid w:val="005A5E5A"/>
    <w:rsid w:val="005A6074"/>
    <w:rsid w:val="005A6269"/>
    <w:rsid w:val="005A62F6"/>
    <w:rsid w:val="005A6462"/>
    <w:rsid w:val="005A652E"/>
    <w:rsid w:val="005A6630"/>
    <w:rsid w:val="005A67CA"/>
    <w:rsid w:val="005A6812"/>
    <w:rsid w:val="005A68B3"/>
    <w:rsid w:val="005A6A7A"/>
    <w:rsid w:val="005A6D55"/>
    <w:rsid w:val="005A6E40"/>
    <w:rsid w:val="005A708C"/>
    <w:rsid w:val="005A721F"/>
    <w:rsid w:val="005A7281"/>
    <w:rsid w:val="005A73BC"/>
    <w:rsid w:val="005A74AD"/>
    <w:rsid w:val="005A74B9"/>
    <w:rsid w:val="005A793E"/>
    <w:rsid w:val="005A79DF"/>
    <w:rsid w:val="005A7CE3"/>
    <w:rsid w:val="005A7E76"/>
    <w:rsid w:val="005A7FC4"/>
    <w:rsid w:val="005B001E"/>
    <w:rsid w:val="005B00EF"/>
    <w:rsid w:val="005B0164"/>
    <w:rsid w:val="005B04FE"/>
    <w:rsid w:val="005B06C2"/>
    <w:rsid w:val="005B0740"/>
    <w:rsid w:val="005B0825"/>
    <w:rsid w:val="005B08AE"/>
    <w:rsid w:val="005B0A3B"/>
    <w:rsid w:val="005B0A83"/>
    <w:rsid w:val="005B0C6D"/>
    <w:rsid w:val="005B0D36"/>
    <w:rsid w:val="005B0E09"/>
    <w:rsid w:val="005B1104"/>
    <w:rsid w:val="005B124F"/>
    <w:rsid w:val="005B1251"/>
    <w:rsid w:val="005B1291"/>
    <w:rsid w:val="005B13FE"/>
    <w:rsid w:val="005B1508"/>
    <w:rsid w:val="005B176A"/>
    <w:rsid w:val="005B1799"/>
    <w:rsid w:val="005B1BD1"/>
    <w:rsid w:val="005B1D15"/>
    <w:rsid w:val="005B1D39"/>
    <w:rsid w:val="005B20D2"/>
    <w:rsid w:val="005B2252"/>
    <w:rsid w:val="005B241C"/>
    <w:rsid w:val="005B24C7"/>
    <w:rsid w:val="005B25D8"/>
    <w:rsid w:val="005B2778"/>
    <w:rsid w:val="005B29DE"/>
    <w:rsid w:val="005B2BEF"/>
    <w:rsid w:val="005B2E55"/>
    <w:rsid w:val="005B2F84"/>
    <w:rsid w:val="005B34F4"/>
    <w:rsid w:val="005B36B3"/>
    <w:rsid w:val="005B3960"/>
    <w:rsid w:val="005B3A5B"/>
    <w:rsid w:val="005B4439"/>
    <w:rsid w:val="005B4530"/>
    <w:rsid w:val="005B48BF"/>
    <w:rsid w:val="005B4950"/>
    <w:rsid w:val="005B4A79"/>
    <w:rsid w:val="005B4B96"/>
    <w:rsid w:val="005B51B8"/>
    <w:rsid w:val="005B5215"/>
    <w:rsid w:val="005B5363"/>
    <w:rsid w:val="005B53ED"/>
    <w:rsid w:val="005B548B"/>
    <w:rsid w:val="005B559E"/>
    <w:rsid w:val="005B583E"/>
    <w:rsid w:val="005B5AFE"/>
    <w:rsid w:val="005B5B4D"/>
    <w:rsid w:val="005B5BE4"/>
    <w:rsid w:val="005B5E64"/>
    <w:rsid w:val="005B5EEE"/>
    <w:rsid w:val="005B5F16"/>
    <w:rsid w:val="005B61DD"/>
    <w:rsid w:val="005B634F"/>
    <w:rsid w:val="005B6377"/>
    <w:rsid w:val="005B6516"/>
    <w:rsid w:val="005B66C8"/>
    <w:rsid w:val="005B672F"/>
    <w:rsid w:val="005B6934"/>
    <w:rsid w:val="005B696B"/>
    <w:rsid w:val="005B6D8E"/>
    <w:rsid w:val="005B6DB8"/>
    <w:rsid w:val="005B70A7"/>
    <w:rsid w:val="005B7A22"/>
    <w:rsid w:val="005B7B18"/>
    <w:rsid w:val="005C0003"/>
    <w:rsid w:val="005C0099"/>
    <w:rsid w:val="005C0179"/>
    <w:rsid w:val="005C017E"/>
    <w:rsid w:val="005C01CA"/>
    <w:rsid w:val="005C0446"/>
    <w:rsid w:val="005C0651"/>
    <w:rsid w:val="005C0803"/>
    <w:rsid w:val="005C0978"/>
    <w:rsid w:val="005C0A86"/>
    <w:rsid w:val="005C0C31"/>
    <w:rsid w:val="005C0CF6"/>
    <w:rsid w:val="005C0DA2"/>
    <w:rsid w:val="005C0EBE"/>
    <w:rsid w:val="005C0F1F"/>
    <w:rsid w:val="005C106D"/>
    <w:rsid w:val="005C1731"/>
    <w:rsid w:val="005C17A6"/>
    <w:rsid w:val="005C196A"/>
    <w:rsid w:val="005C1CDE"/>
    <w:rsid w:val="005C1DCE"/>
    <w:rsid w:val="005C1E6B"/>
    <w:rsid w:val="005C1ECE"/>
    <w:rsid w:val="005C1F51"/>
    <w:rsid w:val="005C202F"/>
    <w:rsid w:val="005C2099"/>
    <w:rsid w:val="005C2169"/>
    <w:rsid w:val="005C21DD"/>
    <w:rsid w:val="005C2224"/>
    <w:rsid w:val="005C232B"/>
    <w:rsid w:val="005C250B"/>
    <w:rsid w:val="005C2746"/>
    <w:rsid w:val="005C2894"/>
    <w:rsid w:val="005C294E"/>
    <w:rsid w:val="005C2C29"/>
    <w:rsid w:val="005C2DFD"/>
    <w:rsid w:val="005C30A8"/>
    <w:rsid w:val="005C3147"/>
    <w:rsid w:val="005C381D"/>
    <w:rsid w:val="005C38AA"/>
    <w:rsid w:val="005C3960"/>
    <w:rsid w:val="005C39D3"/>
    <w:rsid w:val="005C39DF"/>
    <w:rsid w:val="005C3E77"/>
    <w:rsid w:val="005C3E94"/>
    <w:rsid w:val="005C3EFE"/>
    <w:rsid w:val="005C3F60"/>
    <w:rsid w:val="005C4139"/>
    <w:rsid w:val="005C4472"/>
    <w:rsid w:val="005C4505"/>
    <w:rsid w:val="005C4511"/>
    <w:rsid w:val="005C46C6"/>
    <w:rsid w:val="005C47C6"/>
    <w:rsid w:val="005C47CC"/>
    <w:rsid w:val="005C4D74"/>
    <w:rsid w:val="005C4DA9"/>
    <w:rsid w:val="005C4FB5"/>
    <w:rsid w:val="005C516B"/>
    <w:rsid w:val="005C5177"/>
    <w:rsid w:val="005C5337"/>
    <w:rsid w:val="005C53C1"/>
    <w:rsid w:val="005C5496"/>
    <w:rsid w:val="005C54D6"/>
    <w:rsid w:val="005C5566"/>
    <w:rsid w:val="005C5866"/>
    <w:rsid w:val="005C5A1C"/>
    <w:rsid w:val="005C5A95"/>
    <w:rsid w:val="005C5B23"/>
    <w:rsid w:val="005C5C39"/>
    <w:rsid w:val="005C5F15"/>
    <w:rsid w:val="005C644A"/>
    <w:rsid w:val="005C67B5"/>
    <w:rsid w:val="005C69E0"/>
    <w:rsid w:val="005C6A81"/>
    <w:rsid w:val="005C6C38"/>
    <w:rsid w:val="005C6ECA"/>
    <w:rsid w:val="005C7072"/>
    <w:rsid w:val="005C7153"/>
    <w:rsid w:val="005C774A"/>
    <w:rsid w:val="005C775C"/>
    <w:rsid w:val="005C77D3"/>
    <w:rsid w:val="005C77DE"/>
    <w:rsid w:val="005C78D1"/>
    <w:rsid w:val="005C79A2"/>
    <w:rsid w:val="005C7A01"/>
    <w:rsid w:val="005C7B22"/>
    <w:rsid w:val="005C7B46"/>
    <w:rsid w:val="005C7C09"/>
    <w:rsid w:val="005C7CBC"/>
    <w:rsid w:val="005C7CF6"/>
    <w:rsid w:val="005C7DAA"/>
    <w:rsid w:val="005C7E22"/>
    <w:rsid w:val="005D07CA"/>
    <w:rsid w:val="005D0D4C"/>
    <w:rsid w:val="005D0D7E"/>
    <w:rsid w:val="005D0E99"/>
    <w:rsid w:val="005D13D4"/>
    <w:rsid w:val="005D1473"/>
    <w:rsid w:val="005D156F"/>
    <w:rsid w:val="005D1820"/>
    <w:rsid w:val="005D18B9"/>
    <w:rsid w:val="005D198B"/>
    <w:rsid w:val="005D1BA6"/>
    <w:rsid w:val="005D1C6B"/>
    <w:rsid w:val="005D1E55"/>
    <w:rsid w:val="005D1F92"/>
    <w:rsid w:val="005D2100"/>
    <w:rsid w:val="005D281A"/>
    <w:rsid w:val="005D29C0"/>
    <w:rsid w:val="005D29CC"/>
    <w:rsid w:val="005D2D1F"/>
    <w:rsid w:val="005D2EC4"/>
    <w:rsid w:val="005D2FCF"/>
    <w:rsid w:val="005D35DD"/>
    <w:rsid w:val="005D36B0"/>
    <w:rsid w:val="005D3859"/>
    <w:rsid w:val="005D38DB"/>
    <w:rsid w:val="005D3900"/>
    <w:rsid w:val="005D3952"/>
    <w:rsid w:val="005D3D79"/>
    <w:rsid w:val="005D3E35"/>
    <w:rsid w:val="005D3EE2"/>
    <w:rsid w:val="005D437E"/>
    <w:rsid w:val="005D44EF"/>
    <w:rsid w:val="005D4529"/>
    <w:rsid w:val="005D45BF"/>
    <w:rsid w:val="005D46E8"/>
    <w:rsid w:val="005D492E"/>
    <w:rsid w:val="005D497E"/>
    <w:rsid w:val="005D4A67"/>
    <w:rsid w:val="005D4F0E"/>
    <w:rsid w:val="005D4FAE"/>
    <w:rsid w:val="005D5121"/>
    <w:rsid w:val="005D5402"/>
    <w:rsid w:val="005D55AF"/>
    <w:rsid w:val="005D582B"/>
    <w:rsid w:val="005D58ED"/>
    <w:rsid w:val="005D5BEA"/>
    <w:rsid w:val="005D617D"/>
    <w:rsid w:val="005D628F"/>
    <w:rsid w:val="005D6648"/>
    <w:rsid w:val="005D666A"/>
    <w:rsid w:val="005D688D"/>
    <w:rsid w:val="005D68FB"/>
    <w:rsid w:val="005D6C5A"/>
    <w:rsid w:val="005D6FE6"/>
    <w:rsid w:val="005D7124"/>
    <w:rsid w:val="005D7285"/>
    <w:rsid w:val="005D728E"/>
    <w:rsid w:val="005D73E0"/>
    <w:rsid w:val="005D7AAB"/>
    <w:rsid w:val="005D7B9F"/>
    <w:rsid w:val="005D7D29"/>
    <w:rsid w:val="005D7E30"/>
    <w:rsid w:val="005D7E7D"/>
    <w:rsid w:val="005D7F8F"/>
    <w:rsid w:val="005E0192"/>
    <w:rsid w:val="005E0303"/>
    <w:rsid w:val="005E039D"/>
    <w:rsid w:val="005E04A3"/>
    <w:rsid w:val="005E054E"/>
    <w:rsid w:val="005E0887"/>
    <w:rsid w:val="005E08F6"/>
    <w:rsid w:val="005E09F9"/>
    <w:rsid w:val="005E09FB"/>
    <w:rsid w:val="005E0D90"/>
    <w:rsid w:val="005E1120"/>
    <w:rsid w:val="005E1492"/>
    <w:rsid w:val="005E1569"/>
    <w:rsid w:val="005E180D"/>
    <w:rsid w:val="005E1AB8"/>
    <w:rsid w:val="005E1CAD"/>
    <w:rsid w:val="005E1CDF"/>
    <w:rsid w:val="005E1DCF"/>
    <w:rsid w:val="005E1E33"/>
    <w:rsid w:val="005E1EC2"/>
    <w:rsid w:val="005E1F56"/>
    <w:rsid w:val="005E1F86"/>
    <w:rsid w:val="005E2398"/>
    <w:rsid w:val="005E2C2B"/>
    <w:rsid w:val="005E2D06"/>
    <w:rsid w:val="005E2EE4"/>
    <w:rsid w:val="005E2F06"/>
    <w:rsid w:val="005E3292"/>
    <w:rsid w:val="005E32F5"/>
    <w:rsid w:val="005E3373"/>
    <w:rsid w:val="005E3574"/>
    <w:rsid w:val="005E35BD"/>
    <w:rsid w:val="005E3976"/>
    <w:rsid w:val="005E3A37"/>
    <w:rsid w:val="005E3D92"/>
    <w:rsid w:val="005E3FCD"/>
    <w:rsid w:val="005E4107"/>
    <w:rsid w:val="005E41C4"/>
    <w:rsid w:val="005E43C4"/>
    <w:rsid w:val="005E4603"/>
    <w:rsid w:val="005E462F"/>
    <w:rsid w:val="005E469C"/>
    <w:rsid w:val="005E4940"/>
    <w:rsid w:val="005E4C7D"/>
    <w:rsid w:val="005E4DFC"/>
    <w:rsid w:val="005E5617"/>
    <w:rsid w:val="005E5705"/>
    <w:rsid w:val="005E5894"/>
    <w:rsid w:val="005E5B83"/>
    <w:rsid w:val="005E5B9F"/>
    <w:rsid w:val="005E5C23"/>
    <w:rsid w:val="005E5D43"/>
    <w:rsid w:val="005E6004"/>
    <w:rsid w:val="005E606B"/>
    <w:rsid w:val="005E60F9"/>
    <w:rsid w:val="005E62AF"/>
    <w:rsid w:val="005E6378"/>
    <w:rsid w:val="005E63F8"/>
    <w:rsid w:val="005E67A4"/>
    <w:rsid w:val="005E6892"/>
    <w:rsid w:val="005E69B8"/>
    <w:rsid w:val="005E6B71"/>
    <w:rsid w:val="005E6D2E"/>
    <w:rsid w:val="005E6E33"/>
    <w:rsid w:val="005E6F90"/>
    <w:rsid w:val="005E70AC"/>
    <w:rsid w:val="005E72CD"/>
    <w:rsid w:val="005E734F"/>
    <w:rsid w:val="005E748B"/>
    <w:rsid w:val="005E7AE4"/>
    <w:rsid w:val="005E7BC4"/>
    <w:rsid w:val="005E7DC9"/>
    <w:rsid w:val="005E7EBC"/>
    <w:rsid w:val="005E7EC6"/>
    <w:rsid w:val="005E7EF9"/>
    <w:rsid w:val="005E7FDC"/>
    <w:rsid w:val="005F0008"/>
    <w:rsid w:val="005F00DE"/>
    <w:rsid w:val="005F021D"/>
    <w:rsid w:val="005F05C3"/>
    <w:rsid w:val="005F07A4"/>
    <w:rsid w:val="005F07CF"/>
    <w:rsid w:val="005F081C"/>
    <w:rsid w:val="005F083E"/>
    <w:rsid w:val="005F0BAC"/>
    <w:rsid w:val="005F0C6F"/>
    <w:rsid w:val="005F0CB0"/>
    <w:rsid w:val="005F0D7B"/>
    <w:rsid w:val="005F0F24"/>
    <w:rsid w:val="005F1009"/>
    <w:rsid w:val="005F129B"/>
    <w:rsid w:val="005F1528"/>
    <w:rsid w:val="005F1553"/>
    <w:rsid w:val="005F19D4"/>
    <w:rsid w:val="005F1B1F"/>
    <w:rsid w:val="005F1BA8"/>
    <w:rsid w:val="005F1CC6"/>
    <w:rsid w:val="005F2081"/>
    <w:rsid w:val="005F23C2"/>
    <w:rsid w:val="005F24A1"/>
    <w:rsid w:val="005F26DC"/>
    <w:rsid w:val="005F2774"/>
    <w:rsid w:val="005F29FB"/>
    <w:rsid w:val="005F2A42"/>
    <w:rsid w:val="005F2C1F"/>
    <w:rsid w:val="005F2CE5"/>
    <w:rsid w:val="005F2D5D"/>
    <w:rsid w:val="005F2E45"/>
    <w:rsid w:val="005F2E65"/>
    <w:rsid w:val="005F2FF8"/>
    <w:rsid w:val="005F3165"/>
    <w:rsid w:val="005F36C6"/>
    <w:rsid w:val="005F3752"/>
    <w:rsid w:val="005F38B2"/>
    <w:rsid w:val="005F38ED"/>
    <w:rsid w:val="005F4194"/>
    <w:rsid w:val="005F425D"/>
    <w:rsid w:val="005F47B8"/>
    <w:rsid w:val="005F4A72"/>
    <w:rsid w:val="005F4D67"/>
    <w:rsid w:val="005F4E8E"/>
    <w:rsid w:val="005F4EFD"/>
    <w:rsid w:val="005F5368"/>
    <w:rsid w:val="005F53F4"/>
    <w:rsid w:val="005F5443"/>
    <w:rsid w:val="005F54A4"/>
    <w:rsid w:val="005F54C9"/>
    <w:rsid w:val="005F5645"/>
    <w:rsid w:val="005F58D3"/>
    <w:rsid w:val="005F5952"/>
    <w:rsid w:val="005F5B00"/>
    <w:rsid w:val="005F5F13"/>
    <w:rsid w:val="005F5F8C"/>
    <w:rsid w:val="005F6039"/>
    <w:rsid w:val="005F60D3"/>
    <w:rsid w:val="005F632B"/>
    <w:rsid w:val="005F637D"/>
    <w:rsid w:val="005F696E"/>
    <w:rsid w:val="005F6A43"/>
    <w:rsid w:val="005F6C14"/>
    <w:rsid w:val="005F7024"/>
    <w:rsid w:val="005F742D"/>
    <w:rsid w:val="005F7559"/>
    <w:rsid w:val="005F7747"/>
    <w:rsid w:val="005F77BA"/>
    <w:rsid w:val="005F7898"/>
    <w:rsid w:val="005F78B5"/>
    <w:rsid w:val="005F7ADD"/>
    <w:rsid w:val="005F7B2F"/>
    <w:rsid w:val="005F7BDF"/>
    <w:rsid w:val="005F7E2F"/>
    <w:rsid w:val="006002C1"/>
    <w:rsid w:val="00600405"/>
    <w:rsid w:val="0060044E"/>
    <w:rsid w:val="00600465"/>
    <w:rsid w:val="00600711"/>
    <w:rsid w:val="006009C1"/>
    <w:rsid w:val="00600A85"/>
    <w:rsid w:val="00600AFF"/>
    <w:rsid w:val="00600EBA"/>
    <w:rsid w:val="006012CF"/>
    <w:rsid w:val="006012D1"/>
    <w:rsid w:val="006015DB"/>
    <w:rsid w:val="006017B3"/>
    <w:rsid w:val="00601923"/>
    <w:rsid w:val="0060195F"/>
    <w:rsid w:val="00601AFD"/>
    <w:rsid w:val="0060202B"/>
    <w:rsid w:val="006021CF"/>
    <w:rsid w:val="00602219"/>
    <w:rsid w:val="006023D0"/>
    <w:rsid w:val="0060263A"/>
    <w:rsid w:val="006027E6"/>
    <w:rsid w:val="006028D2"/>
    <w:rsid w:val="00602EB6"/>
    <w:rsid w:val="00603145"/>
    <w:rsid w:val="00603670"/>
    <w:rsid w:val="006036B1"/>
    <w:rsid w:val="00603A02"/>
    <w:rsid w:val="00603D75"/>
    <w:rsid w:val="00603DC3"/>
    <w:rsid w:val="00603ED1"/>
    <w:rsid w:val="00604075"/>
    <w:rsid w:val="00604178"/>
    <w:rsid w:val="006044DD"/>
    <w:rsid w:val="0060455E"/>
    <w:rsid w:val="006046CD"/>
    <w:rsid w:val="0060476F"/>
    <w:rsid w:val="006047B2"/>
    <w:rsid w:val="006047DC"/>
    <w:rsid w:val="0060488B"/>
    <w:rsid w:val="00604BBD"/>
    <w:rsid w:val="00604D0A"/>
    <w:rsid w:val="00604E53"/>
    <w:rsid w:val="00604F9F"/>
    <w:rsid w:val="00605029"/>
    <w:rsid w:val="0060531B"/>
    <w:rsid w:val="00605732"/>
    <w:rsid w:val="006058A2"/>
    <w:rsid w:val="00605B06"/>
    <w:rsid w:val="00605B26"/>
    <w:rsid w:val="00605BE3"/>
    <w:rsid w:val="00605D3E"/>
    <w:rsid w:val="00606164"/>
    <w:rsid w:val="00606208"/>
    <w:rsid w:val="0060623B"/>
    <w:rsid w:val="00606356"/>
    <w:rsid w:val="00606556"/>
    <w:rsid w:val="006065D2"/>
    <w:rsid w:val="006067F8"/>
    <w:rsid w:val="00606A8C"/>
    <w:rsid w:val="00606B44"/>
    <w:rsid w:val="00606C1F"/>
    <w:rsid w:val="00606C57"/>
    <w:rsid w:val="00607038"/>
    <w:rsid w:val="0060786D"/>
    <w:rsid w:val="006078A1"/>
    <w:rsid w:val="006078F7"/>
    <w:rsid w:val="00607970"/>
    <w:rsid w:val="00607D60"/>
    <w:rsid w:val="00607D63"/>
    <w:rsid w:val="00607D71"/>
    <w:rsid w:val="00607DCE"/>
    <w:rsid w:val="00607F4E"/>
    <w:rsid w:val="00607F89"/>
    <w:rsid w:val="0061001C"/>
    <w:rsid w:val="006101EF"/>
    <w:rsid w:val="006105A3"/>
    <w:rsid w:val="006105C2"/>
    <w:rsid w:val="0061070F"/>
    <w:rsid w:val="0061079F"/>
    <w:rsid w:val="006108D2"/>
    <w:rsid w:val="00610911"/>
    <w:rsid w:val="00610D44"/>
    <w:rsid w:val="00610F68"/>
    <w:rsid w:val="006112D7"/>
    <w:rsid w:val="006114DF"/>
    <w:rsid w:val="006118F8"/>
    <w:rsid w:val="00611968"/>
    <w:rsid w:val="006119D8"/>
    <w:rsid w:val="00611BEF"/>
    <w:rsid w:val="00611C20"/>
    <w:rsid w:val="00611EEE"/>
    <w:rsid w:val="00612358"/>
    <w:rsid w:val="006123D9"/>
    <w:rsid w:val="006126DB"/>
    <w:rsid w:val="006129F5"/>
    <w:rsid w:val="00612BFA"/>
    <w:rsid w:val="00612C50"/>
    <w:rsid w:val="00612CB5"/>
    <w:rsid w:val="00612CFA"/>
    <w:rsid w:val="00612E1D"/>
    <w:rsid w:val="00612EFF"/>
    <w:rsid w:val="00613105"/>
    <w:rsid w:val="006132AC"/>
    <w:rsid w:val="00613735"/>
    <w:rsid w:val="006139B1"/>
    <w:rsid w:val="00613D2D"/>
    <w:rsid w:val="00613D44"/>
    <w:rsid w:val="00613DEF"/>
    <w:rsid w:val="00613EF1"/>
    <w:rsid w:val="00613FD8"/>
    <w:rsid w:val="006142CA"/>
    <w:rsid w:val="00614369"/>
    <w:rsid w:val="0061436B"/>
    <w:rsid w:val="00614842"/>
    <w:rsid w:val="006149EC"/>
    <w:rsid w:val="00614B06"/>
    <w:rsid w:val="00614BFE"/>
    <w:rsid w:val="00614C87"/>
    <w:rsid w:val="00614E20"/>
    <w:rsid w:val="00614F14"/>
    <w:rsid w:val="00614F35"/>
    <w:rsid w:val="00615081"/>
    <w:rsid w:val="00615395"/>
    <w:rsid w:val="006153F2"/>
    <w:rsid w:val="006154B8"/>
    <w:rsid w:val="00615A6C"/>
    <w:rsid w:val="00615C73"/>
    <w:rsid w:val="00615F16"/>
    <w:rsid w:val="00615F3C"/>
    <w:rsid w:val="00616020"/>
    <w:rsid w:val="0061626F"/>
    <w:rsid w:val="0061632D"/>
    <w:rsid w:val="0061640B"/>
    <w:rsid w:val="006165BE"/>
    <w:rsid w:val="00616610"/>
    <w:rsid w:val="00616935"/>
    <w:rsid w:val="00616A20"/>
    <w:rsid w:val="00616CEA"/>
    <w:rsid w:val="00616D1F"/>
    <w:rsid w:val="00616D56"/>
    <w:rsid w:val="006170D8"/>
    <w:rsid w:val="0061716B"/>
    <w:rsid w:val="0061736B"/>
    <w:rsid w:val="00617387"/>
    <w:rsid w:val="006173C5"/>
    <w:rsid w:val="00617763"/>
    <w:rsid w:val="00617879"/>
    <w:rsid w:val="00617ED2"/>
    <w:rsid w:val="00620141"/>
    <w:rsid w:val="00620498"/>
    <w:rsid w:val="0062056E"/>
    <w:rsid w:val="00620739"/>
    <w:rsid w:val="00620BE6"/>
    <w:rsid w:val="00620E1D"/>
    <w:rsid w:val="00621053"/>
    <w:rsid w:val="006213F8"/>
    <w:rsid w:val="00621727"/>
    <w:rsid w:val="006218A0"/>
    <w:rsid w:val="006218A1"/>
    <w:rsid w:val="00621D7E"/>
    <w:rsid w:val="00621D83"/>
    <w:rsid w:val="00621DC2"/>
    <w:rsid w:val="00621E1A"/>
    <w:rsid w:val="00621E39"/>
    <w:rsid w:val="006221BA"/>
    <w:rsid w:val="006226A2"/>
    <w:rsid w:val="00622724"/>
    <w:rsid w:val="006227DB"/>
    <w:rsid w:val="0062281F"/>
    <w:rsid w:val="006228B6"/>
    <w:rsid w:val="006228C1"/>
    <w:rsid w:val="00622C34"/>
    <w:rsid w:val="00622CEE"/>
    <w:rsid w:val="00622D9F"/>
    <w:rsid w:val="0062300A"/>
    <w:rsid w:val="0062324E"/>
    <w:rsid w:val="00623489"/>
    <w:rsid w:val="006238D4"/>
    <w:rsid w:val="00623C13"/>
    <w:rsid w:val="00623C78"/>
    <w:rsid w:val="00623CAC"/>
    <w:rsid w:val="00623D3D"/>
    <w:rsid w:val="00623FD3"/>
    <w:rsid w:val="00623FE4"/>
    <w:rsid w:val="0062400E"/>
    <w:rsid w:val="0062434F"/>
    <w:rsid w:val="00624420"/>
    <w:rsid w:val="00624507"/>
    <w:rsid w:val="00624538"/>
    <w:rsid w:val="0062461E"/>
    <w:rsid w:val="00624C10"/>
    <w:rsid w:val="00624C4E"/>
    <w:rsid w:val="00624C63"/>
    <w:rsid w:val="00624F6B"/>
    <w:rsid w:val="00625094"/>
    <w:rsid w:val="00625104"/>
    <w:rsid w:val="0062538B"/>
    <w:rsid w:val="00625400"/>
    <w:rsid w:val="00625591"/>
    <w:rsid w:val="006255BE"/>
    <w:rsid w:val="006258CE"/>
    <w:rsid w:val="006259E9"/>
    <w:rsid w:val="00625B65"/>
    <w:rsid w:val="00625E7C"/>
    <w:rsid w:val="00625F6E"/>
    <w:rsid w:val="00625F7E"/>
    <w:rsid w:val="00625F8B"/>
    <w:rsid w:val="00626062"/>
    <w:rsid w:val="00626138"/>
    <w:rsid w:val="0062653E"/>
    <w:rsid w:val="006266EF"/>
    <w:rsid w:val="0062673F"/>
    <w:rsid w:val="00626771"/>
    <w:rsid w:val="006267E3"/>
    <w:rsid w:val="00626C44"/>
    <w:rsid w:val="00626D85"/>
    <w:rsid w:val="00626E71"/>
    <w:rsid w:val="00626FAA"/>
    <w:rsid w:val="00626FFE"/>
    <w:rsid w:val="00627007"/>
    <w:rsid w:val="006274A3"/>
    <w:rsid w:val="00627580"/>
    <w:rsid w:val="006278EC"/>
    <w:rsid w:val="0062791D"/>
    <w:rsid w:val="00627A54"/>
    <w:rsid w:val="00627C28"/>
    <w:rsid w:val="00627E30"/>
    <w:rsid w:val="0063003D"/>
    <w:rsid w:val="006300D3"/>
    <w:rsid w:val="00630153"/>
    <w:rsid w:val="00630684"/>
    <w:rsid w:val="006306EA"/>
    <w:rsid w:val="0063088C"/>
    <w:rsid w:val="00630AEF"/>
    <w:rsid w:val="00630B7C"/>
    <w:rsid w:val="00630E49"/>
    <w:rsid w:val="00631038"/>
    <w:rsid w:val="006310B0"/>
    <w:rsid w:val="0063113D"/>
    <w:rsid w:val="006311E2"/>
    <w:rsid w:val="00631430"/>
    <w:rsid w:val="00631C08"/>
    <w:rsid w:val="00631C7A"/>
    <w:rsid w:val="00631CCB"/>
    <w:rsid w:val="00631CFA"/>
    <w:rsid w:val="00632064"/>
    <w:rsid w:val="006320B0"/>
    <w:rsid w:val="00632411"/>
    <w:rsid w:val="00632CE7"/>
    <w:rsid w:val="00632EBE"/>
    <w:rsid w:val="00633266"/>
    <w:rsid w:val="00633873"/>
    <w:rsid w:val="00633897"/>
    <w:rsid w:val="00633A60"/>
    <w:rsid w:val="00633A82"/>
    <w:rsid w:val="00633BE5"/>
    <w:rsid w:val="00633CEA"/>
    <w:rsid w:val="00634089"/>
    <w:rsid w:val="006344A0"/>
    <w:rsid w:val="0063471B"/>
    <w:rsid w:val="006348DA"/>
    <w:rsid w:val="00634A2D"/>
    <w:rsid w:val="00634CDC"/>
    <w:rsid w:val="00634FC4"/>
    <w:rsid w:val="0063543F"/>
    <w:rsid w:val="00635584"/>
    <w:rsid w:val="006357C5"/>
    <w:rsid w:val="006357CD"/>
    <w:rsid w:val="006359CC"/>
    <w:rsid w:val="00635BAC"/>
    <w:rsid w:val="00635C32"/>
    <w:rsid w:val="00635EEF"/>
    <w:rsid w:val="00636138"/>
    <w:rsid w:val="00636265"/>
    <w:rsid w:val="00636272"/>
    <w:rsid w:val="0063633B"/>
    <w:rsid w:val="006363EA"/>
    <w:rsid w:val="0063649B"/>
    <w:rsid w:val="00636642"/>
    <w:rsid w:val="006367DD"/>
    <w:rsid w:val="00636B2D"/>
    <w:rsid w:val="00636E8A"/>
    <w:rsid w:val="0063700D"/>
    <w:rsid w:val="0063711C"/>
    <w:rsid w:val="006372B9"/>
    <w:rsid w:val="0063730D"/>
    <w:rsid w:val="006373EC"/>
    <w:rsid w:val="00637472"/>
    <w:rsid w:val="0063749E"/>
    <w:rsid w:val="006374BE"/>
    <w:rsid w:val="00637602"/>
    <w:rsid w:val="00637866"/>
    <w:rsid w:val="0063786B"/>
    <w:rsid w:val="006379FB"/>
    <w:rsid w:val="00637AAE"/>
    <w:rsid w:val="00637AC2"/>
    <w:rsid w:val="00637B42"/>
    <w:rsid w:val="00637C28"/>
    <w:rsid w:val="00637C8E"/>
    <w:rsid w:val="00637D03"/>
    <w:rsid w:val="006401EC"/>
    <w:rsid w:val="00640384"/>
    <w:rsid w:val="00640791"/>
    <w:rsid w:val="006408AD"/>
    <w:rsid w:val="0064096F"/>
    <w:rsid w:val="00640D31"/>
    <w:rsid w:val="00640DF2"/>
    <w:rsid w:val="00641130"/>
    <w:rsid w:val="006411A0"/>
    <w:rsid w:val="006411AF"/>
    <w:rsid w:val="006411CE"/>
    <w:rsid w:val="00641378"/>
    <w:rsid w:val="006415D3"/>
    <w:rsid w:val="006416E0"/>
    <w:rsid w:val="006417BC"/>
    <w:rsid w:val="0064195B"/>
    <w:rsid w:val="00641A95"/>
    <w:rsid w:val="00641BE6"/>
    <w:rsid w:val="00641EF3"/>
    <w:rsid w:val="0064226A"/>
    <w:rsid w:val="006422B2"/>
    <w:rsid w:val="00642451"/>
    <w:rsid w:val="006424E3"/>
    <w:rsid w:val="006424F4"/>
    <w:rsid w:val="00642524"/>
    <w:rsid w:val="00642592"/>
    <w:rsid w:val="0064285C"/>
    <w:rsid w:val="006428F8"/>
    <w:rsid w:val="00642931"/>
    <w:rsid w:val="00642BCF"/>
    <w:rsid w:val="00642CA3"/>
    <w:rsid w:val="00642F28"/>
    <w:rsid w:val="006430D1"/>
    <w:rsid w:val="006431C8"/>
    <w:rsid w:val="006434BC"/>
    <w:rsid w:val="00643673"/>
    <w:rsid w:val="006436B0"/>
    <w:rsid w:val="00643824"/>
    <w:rsid w:val="006438A9"/>
    <w:rsid w:val="00643964"/>
    <w:rsid w:val="00643C21"/>
    <w:rsid w:val="00643EF0"/>
    <w:rsid w:val="00643F04"/>
    <w:rsid w:val="00644051"/>
    <w:rsid w:val="0064413E"/>
    <w:rsid w:val="0064424B"/>
    <w:rsid w:val="006442C1"/>
    <w:rsid w:val="006442CF"/>
    <w:rsid w:val="006443F9"/>
    <w:rsid w:val="00644403"/>
    <w:rsid w:val="0064486B"/>
    <w:rsid w:val="006448A2"/>
    <w:rsid w:val="006448E8"/>
    <w:rsid w:val="006449CB"/>
    <w:rsid w:val="00644D36"/>
    <w:rsid w:val="00645281"/>
    <w:rsid w:val="0064539C"/>
    <w:rsid w:val="00645594"/>
    <w:rsid w:val="006456E0"/>
    <w:rsid w:val="006456F7"/>
    <w:rsid w:val="0064570F"/>
    <w:rsid w:val="00645857"/>
    <w:rsid w:val="006459F9"/>
    <w:rsid w:val="00645AC0"/>
    <w:rsid w:val="00645C35"/>
    <w:rsid w:val="00645C8D"/>
    <w:rsid w:val="00645CC4"/>
    <w:rsid w:val="00645F42"/>
    <w:rsid w:val="00645FCC"/>
    <w:rsid w:val="00646210"/>
    <w:rsid w:val="00646280"/>
    <w:rsid w:val="0064633E"/>
    <w:rsid w:val="006465DA"/>
    <w:rsid w:val="006465EF"/>
    <w:rsid w:val="00646644"/>
    <w:rsid w:val="00646814"/>
    <w:rsid w:val="0064682E"/>
    <w:rsid w:val="00646832"/>
    <w:rsid w:val="0064698B"/>
    <w:rsid w:val="00646AE6"/>
    <w:rsid w:val="00646BB4"/>
    <w:rsid w:val="00646C9A"/>
    <w:rsid w:val="00646D30"/>
    <w:rsid w:val="00646D64"/>
    <w:rsid w:val="00646E96"/>
    <w:rsid w:val="00646FE9"/>
    <w:rsid w:val="006472E2"/>
    <w:rsid w:val="006473AE"/>
    <w:rsid w:val="006474CB"/>
    <w:rsid w:val="00647D57"/>
    <w:rsid w:val="00650039"/>
    <w:rsid w:val="00650125"/>
    <w:rsid w:val="006503EB"/>
    <w:rsid w:val="00650596"/>
    <w:rsid w:val="00650613"/>
    <w:rsid w:val="0065078F"/>
    <w:rsid w:val="00650C7B"/>
    <w:rsid w:val="00650C93"/>
    <w:rsid w:val="00650E11"/>
    <w:rsid w:val="00651003"/>
    <w:rsid w:val="006511C8"/>
    <w:rsid w:val="00651245"/>
    <w:rsid w:val="006516B7"/>
    <w:rsid w:val="00651722"/>
    <w:rsid w:val="0065181C"/>
    <w:rsid w:val="006518F1"/>
    <w:rsid w:val="00651CD9"/>
    <w:rsid w:val="00651DA8"/>
    <w:rsid w:val="00651DB0"/>
    <w:rsid w:val="00651DF5"/>
    <w:rsid w:val="00651E10"/>
    <w:rsid w:val="00651E30"/>
    <w:rsid w:val="00651EB6"/>
    <w:rsid w:val="006520E2"/>
    <w:rsid w:val="0065255E"/>
    <w:rsid w:val="006528A5"/>
    <w:rsid w:val="006528F3"/>
    <w:rsid w:val="00652906"/>
    <w:rsid w:val="0065294E"/>
    <w:rsid w:val="00652C0C"/>
    <w:rsid w:val="00652C86"/>
    <w:rsid w:val="00652D50"/>
    <w:rsid w:val="00652DF8"/>
    <w:rsid w:val="0065306B"/>
    <w:rsid w:val="0065314F"/>
    <w:rsid w:val="0065338A"/>
    <w:rsid w:val="006537A5"/>
    <w:rsid w:val="006537F7"/>
    <w:rsid w:val="00654158"/>
    <w:rsid w:val="006545C6"/>
    <w:rsid w:val="006546E6"/>
    <w:rsid w:val="00654703"/>
    <w:rsid w:val="00654755"/>
    <w:rsid w:val="00654856"/>
    <w:rsid w:val="00654A37"/>
    <w:rsid w:val="00654BC2"/>
    <w:rsid w:val="00654C7A"/>
    <w:rsid w:val="00654CA5"/>
    <w:rsid w:val="00654F0E"/>
    <w:rsid w:val="006552DB"/>
    <w:rsid w:val="0065533A"/>
    <w:rsid w:val="0065539D"/>
    <w:rsid w:val="006554AF"/>
    <w:rsid w:val="00655599"/>
    <w:rsid w:val="0065576C"/>
    <w:rsid w:val="006557F0"/>
    <w:rsid w:val="00655B72"/>
    <w:rsid w:val="00655CD4"/>
    <w:rsid w:val="00656012"/>
    <w:rsid w:val="006564F2"/>
    <w:rsid w:val="00656717"/>
    <w:rsid w:val="00656758"/>
    <w:rsid w:val="00656E61"/>
    <w:rsid w:val="00656EEC"/>
    <w:rsid w:val="00656F1B"/>
    <w:rsid w:val="0065730D"/>
    <w:rsid w:val="0065736A"/>
    <w:rsid w:val="006574AA"/>
    <w:rsid w:val="00657685"/>
    <w:rsid w:val="00657877"/>
    <w:rsid w:val="00657A0E"/>
    <w:rsid w:val="00657AA9"/>
    <w:rsid w:val="00657ADD"/>
    <w:rsid w:val="00657D2F"/>
    <w:rsid w:val="00660142"/>
    <w:rsid w:val="0066031C"/>
    <w:rsid w:val="00660347"/>
    <w:rsid w:val="006604EA"/>
    <w:rsid w:val="00660BB0"/>
    <w:rsid w:val="00660C69"/>
    <w:rsid w:val="00660DAA"/>
    <w:rsid w:val="0066118D"/>
    <w:rsid w:val="006611EE"/>
    <w:rsid w:val="00661945"/>
    <w:rsid w:val="00661AAF"/>
    <w:rsid w:val="006626D9"/>
    <w:rsid w:val="00662C36"/>
    <w:rsid w:val="00662DB0"/>
    <w:rsid w:val="00662E90"/>
    <w:rsid w:val="00662F15"/>
    <w:rsid w:val="0066302B"/>
    <w:rsid w:val="0066306B"/>
    <w:rsid w:val="00663146"/>
    <w:rsid w:val="0066336C"/>
    <w:rsid w:val="00663563"/>
    <w:rsid w:val="0066392A"/>
    <w:rsid w:val="00663968"/>
    <w:rsid w:val="006639CA"/>
    <w:rsid w:val="00663A1B"/>
    <w:rsid w:val="00663A83"/>
    <w:rsid w:val="00663E44"/>
    <w:rsid w:val="00663F04"/>
    <w:rsid w:val="00663F79"/>
    <w:rsid w:val="00663F7F"/>
    <w:rsid w:val="00664309"/>
    <w:rsid w:val="006643F7"/>
    <w:rsid w:val="006645CE"/>
    <w:rsid w:val="006648A6"/>
    <w:rsid w:val="00664AB4"/>
    <w:rsid w:val="00664BC0"/>
    <w:rsid w:val="00664BD4"/>
    <w:rsid w:val="00664C1C"/>
    <w:rsid w:val="00664C41"/>
    <w:rsid w:val="00664E11"/>
    <w:rsid w:val="00664E53"/>
    <w:rsid w:val="006650EF"/>
    <w:rsid w:val="00665446"/>
    <w:rsid w:val="00665932"/>
    <w:rsid w:val="00665AF7"/>
    <w:rsid w:val="00665CA9"/>
    <w:rsid w:val="00665DD1"/>
    <w:rsid w:val="00666172"/>
    <w:rsid w:val="00666205"/>
    <w:rsid w:val="00666547"/>
    <w:rsid w:val="006668E0"/>
    <w:rsid w:val="00666935"/>
    <w:rsid w:val="0066699F"/>
    <w:rsid w:val="00666AF2"/>
    <w:rsid w:val="00666B54"/>
    <w:rsid w:val="0066705B"/>
    <w:rsid w:val="00667070"/>
    <w:rsid w:val="0066723B"/>
    <w:rsid w:val="006672EF"/>
    <w:rsid w:val="0066741C"/>
    <w:rsid w:val="006678BA"/>
    <w:rsid w:val="0066793C"/>
    <w:rsid w:val="006679FA"/>
    <w:rsid w:val="00667C2F"/>
    <w:rsid w:val="0067001D"/>
    <w:rsid w:val="00670150"/>
    <w:rsid w:val="00670246"/>
    <w:rsid w:val="00670248"/>
    <w:rsid w:val="0067044E"/>
    <w:rsid w:val="006707B9"/>
    <w:rsid w:val="006707F5"/>
    <w:rsid w:val="00670848"/>
    <w:rsid w:val="00670960"/>
    <w:rsid w:val="00670A99"/>
    <w:rsid w:val="00670D41"/>
    <w:rsid w:val="006711C0"/>
    <w:rsid w:val="006714F7"/>
    <w:rsid w:val="0067160C"/>
    <w:rsid w:val="00671DD7"/>
    <w:rsid w:val="00671E35"/>
    <w:rsid w:val="00671FFD"/>
    <w:rsid w:val="00672237"/>
    <w:rsid w:val="0067237D"/>
    <w:rsid w:val="00672456"/>
    <w:rsid w:val="00672B45"/>
    <w:rsid w:val="00672E90"/>
    <w:rsid w:val="00672F27"/>
    <w:rsid w:val="00672FC5"/>
    <w:rsid w:val="00672FD9"/>
    <w:rsid w:val="006730A6"/>
    <w:rsid w:val="006730B0"/>
    <w:rsid w:val="006730F5"/>
    <w:rsid w:val="006733CA"/>
    <w:rsid w:val="006733F9"/>
    <w:rsid w:val="0067377B"/>
    <w:rsid w:val="00673893"/>
    <w:rsid w:val="006738D0"/>
    <w:rsid w:val="006739A0"/>
    <w:rsid w:val="00673A98"/>
    <w:rsid w:val="00673CCE"/>
    <w:rsid w:val="00673DA7"/>
    <w:rsid w:val="00673F5D"/>
    <w:rsid w:val="00673F95"/>
    <w:rsid w:val="0067404A"/>
    <w:rsid w:val="00674130"/>
    <w:rsid w:val="0067421D"/>
    <w:rsid w:val="006742AA"/>
    <w:rsid w:val="0067430B"/>
    <w:rsid w:val="0067466C"/>
    <w:rsid w:val="00674748"/>
    <w:rsid w:val="006747AE"/>
    <w:rsid w:val="00674850"/>
    <w:rsid w:val="00674878"/>
    <w:rsid w:val="00674B28"/>
    <w:rsid w:val="00674D7C"/>
    <w:rsid w:val="00675002"/>
    <w:rsid w:val="006750EA"/>
    <w:rsid w:val="006752D9"/>
    <w:rsid w:val="006752EB"/>
    <w:rsid w:val="0067560C"/>
    <w:rsid w:val="0067580B"/>
    <w:rsid w:val="00675894"/>
    <w:rsid w:val="00675AD3"/>
    <w:rsid w:val="00675B4B"/>
    <w:rsid w:val="00675CA1"/>
    <w:rsid w:val="00675DEC"/>
    <w:rsid w:val="00675F00"/>
    <w:rsid w:val="00676017"/>
    <w:rsid w:val="00676261"/>
    <w:rsid w:val="00676427"/>
    <w:rsid w:val="006765A2"/>
    <w:rsid w:val="00676623"/>
    <w:rsid w:val="00676966"/>
    <w:rsid w:val="006769BE"/>
    <w:rsid w:val="00676BBC"/>
    <w:rsid w:val="00676F51"/>
    <w:rsid w:val="00677093"/>
    <w:rsid w:val="00677295"/>
    <w:rsid w:val="006772AA"/>
    <w:rsid w:val="00677364"/>
    <w:rsid w:val="006775D2"/>
    <w:rsid w:val="006779DB"/>
    <w:rsid w:val="00677C43"/>
    <w:rsid w:val="00677EFF"/>
    <w:rsid w:val="00680253"/>
    <w:rsid w:val="00680464"/>
    <w:rsid w:val="006806A7"/>
    <w:rsid w:val="00680877"/>
    <w:rsid w:val="0068088B"/>
    <w:rsid w:val="00681A58"/>
    <w:rsid w:val="00681AE5"/>
    <w:rsid w:val="00681B2C"/>
    <w:rsid w:val="00681C88"/>
    <w:rsid w:val="00681CAD"/>
    <w:rsid w:val="00681DD0"/>
    <w:rsid w:val="006820A9"/>
    <w:rsid w:val="00682157"/>
    <w:rsid w:val="006821FB"/>
    <w:rsid w:val="00682385"/>
    <w:rsid w:val="00682453"/>
    <w:rsid w:val="006825E6"/>
    <w:rsid w:val="00682802"/>
    <w:rsid w:val="006828EF"/>
    <w:rsid w:val="00682ABF"/>
    <w:rsid w:val="00682D7C"/>
    <w:rsid w:val="00682DDB"/>
    <w:rsid w:val="00682F89"/>
    <w:rsid w:val="00683327"/>
    <w:rsid w:val="00683360"/>
    <w:rsid w:val="006834C5"/>
    <w:rsid w:val="006834FB"/>
    <w:rsid w:val="00683702"/>
    <w:rsid w:val="0068383C"/>
    <w:rsid w:val="00683851"/>
    <w:rsid w:val="0068389D"/>
    <w:rsid w:val="006839C3"/>
    <w:rsid w:val="00683AF2"/>
    <w:rsid w:val="00683D14"/>
    <w:rsid w:val="00683E3B"/>
    <w:rsid w:val="00683E8A"/>
    <w:rsid w:val="00683EC0"/>
    <w:rsid w:val="00684310"/>
    <w:rsid w:val="006843D7"/>
    <w:rsid w:val="00684548"/>
    <w:rsid w:val="006846CC"/>
    <w:rsid w:val="006848EA"/>
    <w:rsid w:val="00684BCF"/>
    <w:rsid w:val="00684D17"/>
    <w:rsid w:val="00684D1D"/>
    <w:rsid w:val="00684EEF"/>
    <w:rsid w:val="00684FB1"/>
    <w:rsid w:val="00685095"/>
    <w:rsid w:val="006851B0"/>
    <w:rsid w:val="00685337"/>
    <w:rsid w:val="00685709"/>
    <w:rsid w:val="0068592F"/>
    <w:rsid w:val="00685933"/>
    <w:rsid w:val="00685997"/>
    <w:rsid w:val="006859F0"/>
    <w:rsid w:val="00685D00"/>
    <w:rsid w:val="00685E43"/>
    <w:rsid w:val="00686118"/>
    <w:rsid w:val="00686374"/>
    <w:rsid w:val="00686473"/>
    <w:rsid w:val="00686666"/>
    <w:rsid w:val="00686716"/>
    <w:rsid w:val="00686992"/>
    <w:rsid w:val="006869C5"/>
    <w:rsid w:val="00686B07"/>
    <w:rsid w:val="0068707E"/>
    <w:rsid w:val="006874CF"/>
    <w:rsid w:val="00687571"/>
    <w:rsid w:val="006876EA"/>
    <w:rsid w:val="006877C7"/>
    <w:rsid w:val="006878B6"/>
    <w:rsid w:val="00687946"/>
    <w:rsid w:val="00687DDF"/>
    <w:rsid w:val="00687E32"/>
    <w:rsid w:val="00690173"/>
    <w:rsid w:val="0069017C"/>
    <w:rsid w:val="0069026A"/>
    <w:rsid w:val="006902BC"/>
    <w:rsid w:val="006902DB"/>
    <w:rsid w:val="006904D8"/>
    <w:rsid w:val="0069061D"/>
    <w:rsid w:val="0069067E"/>
    <w:rsid w:val="0069086E"/>
    <w:rsid w:val="006908B9"/>
    <w:rsid w:val="0069099E"/>
    <w:rsid w:val="006909BB"/>
    <w:rsid w:val="006909E0"/>
    <w:rsid w:val="00690AC0"/>
    <w:rsid w:val="00690FA6"/>
    <w:rsid w:val="006910A2"/>
    <w:rsid w:val="006910EB"/>
    <w:rsid w:val="0069123A"/>
    <w:rsid w:val="00691489"/>
    <w:rsid w:val="006914BD"/>
    <w:rsid w:val="0069154C"/>
    <w:rsid w:val="0069176B"/>
    <w:rsid w:val="006917D6"/>
    <w:rsid w:val="006919E8"/>
    <w:rsid w:val="00691DA4"/>
    <w:rsid w:val="0069239A"/>
    <w:rsid w:val="006923A2"/>
    <w:rsid w:val="0069247B"/>
    <w:rsid w:val="00692685"/>
    <w:rsid w:val="0069274C"/>
    <w:rsid w:val="006927E5"/>
    <w:rsid w:val="00692B02"/>
    <w:rsid w:val="00692C22"/>
    <w:rsid w:val="00692C7D"/>
    <w:rsid w:val="00692F0D"/>
    <w:rsid w:val="00692FBE"/>
    <w:rsid w:val="0069308D"/>
    <w:rsid w:val="006930A1"/>
    <w:rsid w:val="00693183"/>
    <w:rsid w:val="00693399"/>
    <w:rsid w:val="00693401"/>
    <w:rsid w:val="006934FF"/>
    <w:rsid w:val="0069364D"/>
    <w:rsid w:val="00693A94"/>
    <w:rsid w:val="00693BD9"/>
    <w:rsid w:val="00693C00"/>
    <w:rsid w:val="0069405D"/>
    <w:rsid w:val="00694138"/>
    <w:rsid w:val="0069418F"/>
    <w:rsid w:val="006943A7"/>
    <w:rsid w:val="0069447B"/>
    <w:rsid w:val="006945F8"/>
    <w:rsid w:val="00694648"/>
    <w:rsid w:val="006947A2"/>
    <w:rsid w:val="00694855"/>
    <w:rsid w:val="006948A9"/>
    <w:rsid w:val="00694AEB"/>
    <w:rsid w:val="00694CE5"/>
    <w:rsid w:val="00694D28"/>
    <w:rsid w:val="00694D43"/>
    <w:rsid w:val="00694FCB"/>
    <w:rsid w:val="006950E8"/>
    <w:rsid w:val="006950F3"/>
    <w:rsid w:val="006953F4"/>
    <w:rsid w:val="00695459"/>
    <w:rsid w:val="0069556F"/>
    <w:rsid w:val="00695775"/>
    <w:rsid w:val="00695784"/>
    <w:rsid w:val="00695973"/>
    <w:rsid w:val="006959EA"/>
    <w:rsid w:val="00695AB1"/>
    <w:rsid w:val="00695B08"/>
    <w:rsid w:val="00695B0F"/>
    <w:rsid w:val="006960D9"/>
    <w:rsid w:val="00696205"/>
    <w:rsid w:val="0069629F"/>
    <w:rsid w:val="00696494"/>
    <w:rsid w:val="006964CD"/>
    <w:rsid w:val="006966DB"/>
    <w:rsid w:val="0069674E"/>
    <w:rsid w:val="00696792"/>
    <w:rsid w:val="006968AF"/>
    <w:rsid w:val="006969C9"/>
    <w:rsid w:val="00696A4E"/>
    <w:rsid w:val="00696E1B"/>
    <w:rsid w:val="00696ECA"/>
    <w:rsid w:val="00697103"/>
    <w:rsid w:val="006971B1"/>
    <w:rsid w:val="006972F8"/>
    <w:rsid w:val="006975DE"/>
    <w:rsid w:val="006977ED"/>
    <w:rsid w:val="006978AE"/>
    <w:rsid w:val="00697AA6"/>
    <w:rsid w:val="00697BFB"/>
    <w:rsid w:val="00697D1F"/>
    <w:rsid w:val="006A015D"/>
    <w:rsid w:val="006A01AA"/>
    <w:rsid w:val="006A03C0"/>
    <w:rsid w:val="006A03DD"/>
    <w:rsid w:val="006A0423"/>
    <w:rsid w:val="006A09AC"/>
    <w:rsid w:val="006A09E6"/>
    <w:rsid w:val="006A0A75"/>
    <w:rsid w:val="006A0D09"/>
    <w:rsid w:val="006A0DF0"/>
    <w:rsid w:val="006A0FD6"/>
    <w:rsid w:val="006A18DE"/>
    <w:rsid w:val="006A18FE"/>
    <w:rsid w:val="006A1988"/>
    <w:rsid w:val="006A1AF3"/>
    <w:rsid w:val="006A1DF4"/>
    <w:rsid w:val="006A2138"/>
    <w:rsid w:val="006A2153"/>
    <w:rsid w:val="006A2461"/>
    <w:rsid w:val="006A272B"/>
    <w:rsid w:val="006A2759"/>
    <w:rsid w:val="006A2B45"/>
    <w:rsid w:val="006A2DA1"/>
    <w:rsid w:val="006A2EB9"/>
    <w:rsid w:val="006A30A8"/>
    <w:rsid w:val="006A33F8"/>
    <w:rsid w:val="006A3690"/>
    <w:rsid w:val="006A36B9"/>
    <w:rsid w:val="006A3888"/>
    <w:rsid w:val="006A3A9A"/>
    <w:rsid w:val="006A3B7F"/>
    <w:rsid w:val="006A3CA5"/>
    <w:rsid w:val="006A3E09"/>
    <w:rsid w:val="006A3E9F"/>
    <w:rsid w:val="006A4095"/>
    <w:rsid w:val="006A411D"/>
    <w:rsid w:val="006A416F"/>
    <w:rsid w:val="006A41BF"/>
    <w:rsid w:val="006A4955"/>
    <w:rsid w:val="006A49DE"/>
    <w:rsid w:val="006A4A34"/>
    <w:rsid w:val="006A4ADD"/>
    <w:rsid w:val="006A4B26"/>
    <w:rsid w:val="006A4B46"/>
    <w:rsid w:val="006A4C6C"/>
    <w:rsid w:val="006A4C6F"/>
    <w:rsid w:val="006A4DA3"/>
    <w:rsid w:val="006A4FC4"/>
    <w:rsid w:val="006A5150"/>
    <w:rsid w:val="006A51FA"/>
    <w:rsid w:val="006A5214"/>
    <w:rsid w:val="006A5327"/>
    <w:rsid w:val="006A5404"/>
    <w:rsid w:val="006A568D"/>
    <w:rsid w:val="006A5954"/>
    <w:rsid w:val="006A5BE1"/>
    <w:rsid w:val="006A5D22"/>
    <w:rsid w:val="006A5DBA"/>
    <w:rsid w:val="006A5EA3"/>
    <w:rsid w:val="006A5FF6"/>
    <w:rsid w:val="006A6043"/>
    <w:rsid w:val="006A6150"/>
    <w:rsid w:val="006A61A0"/>
    <w:rsid w:val="006A62F6"/>
    <w:rsid w:val="006A64E2"/>
    <w:rsid w:val="006A6516"/>
    <w:rsid w:val="006A66EE"/>
    <w:rsid w:val="006A68AE"/>
    <w:rsid w:val="006A6A0A"/>
    <w:rsid w:val="006A6B33"/>
    <w:rsid w:val="006A6F36"/>
    <w:rsid w:val="006A725B"/>
    <w:rsid w:val="006A74BA"/>
    <w:rsid w:val="006A7548"/>
    <w:rsid w:val="006A77E9"/>
    <w:rsid w:val="006A790B"/>
    <w:rsid w:val="006A7C52"/>
    <w:rsid w:val="006A7CEF"/>
    <w:rsid w:val="006A7FEA"/>
    <w:rsid w:val="006B000D"/>
    <w:rsid w:val="006B003B"/>
    <w:rsid w:val="006B05E4"/>
    <w:rsid w:val="006B06C4"/>
    <w:rsid w:val="006B0958"/>
    <w:rsid w:val="006B0BFB"/>
    <w:rsid w:val="006B0C79"/>
    <w:rsid w:val="006B10F6"/>
    <w:rsid w:val="006B12E5"/>
    <w:rsid w:val="006B139D"/>
    <w:rsid w:val="006B14CD"/>
    <w:rsid w:val="006B1694"/>
    <w:rsid w:val="006B192D"/>
    <w:rsid w:val="006B1960"/>
    <w:rsid w:val="006B1A4C"/>
    <w:rsid w:val="006B1D4C"/>
    <w:rsid w:val="006B20D5"/>
    <w:rsid w:val="006B20F7"/>
    <w:rsid w:val="006B2371"/>
    <w:rsid w:val="006B244D"/>
    <w:rsid w:val="006B2525"/>
    <w:rsid w:val="006B2576"/>
    <w:rsid w:val="006B2719"/>
    <w:rsid w:val="006B2721"/>
    <w:rsid w:val="006B286A"/>
    <w:rsid w:val="006B2B4F"/>
    <w:rsid w:val="006B2B6C"/>
    <w:rsid w:val="006B2B99"/>
    <w:rsid w:val="006B2ED2"/>
    <w:rsid w:val="006B2FE2"/>
    <w:rsid w:val="006B3121"/>
    <w:rsid w:val="006B3126"/>
    <w:rsid w:val="006B317B"/>
    <w:rsid w:val="006B31A1"/>
    <w:rsid w:val="006B33EE"/>
    <w:rsid w:val="006B389F"/>
    <w:rsid w:val="006B396F"/>
    <w:rsid w:val="006B3A39"/>
    <w:rsid w:val="006B3B87"/>
    <w:rsid w:val="006B3C54"/>
    <w:rsid w:val="006B3CF6"/>
    <w:rsid w:val="006B3E07"/>
    <w:rsid w:val="006B4080"/>
    <w:rsid w:val="006B40B4"/>
    <w:rsid w:val="006B4215"/>
    <w:rsid w:val="006B42B6"/>
    <w:rsid w:val="006B4380"/>
    <w:rsid w:val="006B468B"/>
    <w:rsid w:val="006B46D8"/>
    <w:rsid w:val="006B4816"/>
    <w:rsid w:val="006B488A"/>
    <w:rsid w:val="006B4ABE"/>
    <w:rsid w:val="006B4C76"/>
    <w:rsid w:val="006B4CEC"/>
    <w:rsid w:val="006B50B8"/>
    <w:rsid w:val="006B5185"/>
    <w:rsid w:val="006B5191"/>
    <w:rsid w:val="006B5449"/>
    <w:rsid w:val="006B576D"/>
    <w:rsid w:val="006B5A59"/>
    <w:rsid w:val="006B5BD5"/>
    <w:rsid w:val="006B5CED"/>
    <w:rsid w:val="006B5E0C"/>
    <w:rsid w:val="006B6065"/>
    <w:rsid w:val="006B6112"/>
    <w:rsid w:val="006B636A"/>
    <w:rsid w:val="006B6A5A"/>
    <w:rsid w:val="006B6A91"/>
    <w:rsid w:val="006B6B62"/>
    <w:rsid w:val="006B6C15"/>
    <w:rsid w:val="006B6FAE"/>
    <w:rsid w:val="006B6FF1"/>
    <w:rsid w:val="006B7015"/>
    <w:rsid w:val="006B737E"/>
    <w:rsid w:val="006B74E8"/>
    <w:rsid w:val="006B75A2"/>
    <w:rsid w:val="006B760A"/>
    <w:rsid w:val="006B766C"/>
    <w:rsid w:val="006B7888"/>
    <w:rsid w:val="006B79FA"/>
    <w:rsid w:val="006B7AB9"/>
    <w:rsid w:val="006B7BDE"/>
    <w:rsid w:val="006B7C1E"/>
    <w:rsid w:val="006C0027"/>
    <w:rsid w:val="006C012E"/>
    <w:rsid w:val="006C01F4"/>
    <w:rsid w:val="006C02E5"/>
    <w:rsid w:val="006C02F2"/>
    <w:rsid w:val="006C035E"/>
    <w:rsid w:val="006C0376"/>
    <w:rsid w:val="006C045A"/>
    <w:rsid w:val="006C0655"/>
    <w:rsid w:val="006C078D"/>
    <w:rsid w:val="006C079F"/>
    <w:rsid w:val="006C08AD"/>
    <w:rsid w:val="006C0AD1"/>
    <w:rsid w:val="006C0C3D"/>
    <w:rsid w:val="006C0D13"/>
    <w:rsid w:val="006C0E14"/>
    <w:rsid w:val="006C102D"/>
    <w:rsid w:val="006C12AB"/>
    <w:rsid w:val="006C1741"/>
    <w:rsid w:val="006C1920"/>
    <w:rsid w:val="006C1971"/>
    <w:rsid w:val="006C1983"/>
    <w:rsid w:val="006C1E5A"/>
    <w:rsid w:val="006C2083"/>
    <w:rsid w:val="006C21FB"/>
    <w:rsid w:val="006C22F1"/>
    <w:rsid w:val="006C24CF"/>
    <w:rsid w:val="006C25A5"/>
    <w:rsid w:val="006C264F"/>
    <w:rsid w:val="006C2719"/>
    <w:rsid w:val="006C2776"/>
    <w:rsid w:val="006C2908"/>
    <w:rsid w:val="006C2A0D"/>
    <w:rsid w:val="006C2A16"/>
    <w:rsid w:val="006C2AD2"/>
    <w:rsid w:val="006C309A"/>
    <w:rsid w:val="006C31FE"/>
    <w:rsid w:val="006C3342"/>
    <w:rsid w:val="006C334A"/>
    <w:rsid w:val="006C3842"/>
    <w:rsid w:val="006C3928"/>
    <w:rsid w:val="006C3B87"/>
    <w:rsid w:val="006C3C42"/>
    <w:rsid w:val="006C3E62"/>
    <w:rsid w:val="006C3FBB"/>
    <w:rsid w:val="006C40E6"/>
    <w:rsid w:val="006C423D"/>
    <w:rsid w:val="006C4250"/>
    <w:rsid w:val="006C435B"/>
    <w:rsid w:val="006C43FC"/>
    <w:rsid w:val="006C485A"/>
    <w:rsid w:val="006C4863"/>
    <w:rsid w:val="006C4972"/>
    <w:rsid w:val="006C49D9"/>
    <w:rsid w:val="006C49E5"/>
    <w:rsid w:val="006C4BE4"/>
    <w:rsid w:val="006C4BE6"/>
    <w:rsid w:val="006C4F40"/>
    <w:rsid w:val="006C4FB6"/>
    <w:rsid w:val="006C5738"/>
    <w:rsid w:val="006C5849"/>
    <w:rsid w:val="006C585E"/>
    <w:rsid w:val="006C58B1"/>
    <w:rsid w:val="006C5C06"/>
    <w:rsid w:val="006C5C82"/>
    <w:rsid w:val="006C5D8D"/>
    <w:rsid w:val="006C5EE8"/>
    <w:rsid w:val="006C5FD8"/>
    <w:rsid w:val="006C6039"/>
    <w:rsid w:val="006C6524"/>
    <w:rsid w:val="006C65BB"/>
    <w:rsid w:val="006C66BD"/>
    <w:rsid w:val="006C67BD"/>
    <w:rsid w:val="006C6BF4"/>
    <w:rsid w:val="006C6BFB"/>
    <w:rsid w:val="006C6D87"/>
    <w:rsid w:val="006C6ECF"/>
    <w:rsid w:val="006C6F90"/>
    <w:rsid w:val="006C7043"/>
    <w:rsid w:val="006C7044"/>
    <w:rsid w:val="006C7152"/>
    <w:rsid w:val="006C7300"/>
    <w:rsid w:val="006C742B"/>
    <w:rsid w:val="006C7786"/>
    <w:rsid w:val="006C7890"/>
    <w:rsid w:val="006C7986"/>
    <w:rsid w:val="006C7CCA"/>
    <w:rsid w:val="006C7E31"/>
    <w:rsid w:val="006C7E8C"/>
    <w:rsid w:val="006D0097"/>
    <w:rsid w:val="006D02A4"/>
    <w:rsid w:val="006D06DA"/>
    <w:rsid w:val="006D07A8"/>
    <w:rsid w:val="006D07EE"/>
    <w:rsid w:val="006D0873"/>
    <w:rsid w:val="006D0909"/>
    <w:rsid w:val="006D092B"/>
    <w:rsid w:val="006D0976"/>
    <w:rsid w:val="006D0E4F"/>
    <w:rsid w:val="006D0EEB"/>
    <w:rsid w:val="006D1030"/>
    <w:rsid w:val="006D1417"/>
    <w:rsid w:val="006D1535"/>
    <w:rsid w:val="006D1594"/>
    <w:rsid w:val="006D1773"/>
    <w:rsid w:val="006D18BA"/>
    <w:rsid w:val="006D194A"/>
    <w:rsid w:val="006D222B"/>
    <w:rsid w:val="006D24A6"/>
    <w:rsid w:val="006D2969"/>
    <w:rsid w:val="006D2F04"/>
    <w:rsid w:val="006D32B1"/>
    <w:rsid w:val="006D3485"/>
    <w:rsid w:val="006D39F5"/>
    <w:rsid w:val="006D3BAB"/>
    <w:rsid w:val="006D3CB4"/>
    <w:rsid w:val="006D3CE4"/>
    <w:rsid w:val="006D3ED1"/>
    <w:rsid w:val="006D405A"/>
    <w:rsid w:val="006D41F4"/>
    <w:rsid w:val="006D4240"/>
    <w:rsid w:val="006D42B8"/>
    <w:rsid w:val="006D4669"/>
    <w:rsid w:val="006D4BFE"/>
    <w:rsid w:val="006D4C0D"/>
    <w:rsid w:val="006D4C75"/>
    <w:rsid w:val="006D4FB5"/>
    <w:rsid w:val="006D503C"/>
    <w:rsid w:val="006D52B6"/>
    <w:rsid w:val="006D5452"/>
    <w:rsid w:val="006D54F0"/>
    <w:rsid w:val="006D553C"/>
    <w:rsid w:val="006D5705"/>
    <w:rsid w:val="006D5C86"/>
    <w:rsid w:val="006D5E45"/>
    <w:rsid w:val="006D61BD"/>
    <w:rsid w:val="006D62CF"/>
    <w:rsid w:val="006D6422"/>
    <w:rsid w:val="006D6490"/>
    <w:rsid w:val="006D64E5"/>
    <w:rsid w:val="006D6599"/>
    <w:rsid w:val="006D65DF"/>
    <w:rsid w:val="006D66D2"/>
    <w:rsid w:val="006D66DE"/>
    <w:rsid w:val="006D67A9"/>
    <w:rsid w:val="006D6818"/>
    <w:rsid w:val="006D68D0"/>
    <w:rsid w:val="006D68F3"/>
    <w:rsid w:val="006D6A07"/>
    <w:rsid w:val="006D6A52"/>
    <w:rsid w:val="006D6C28"/>
    <w:rsid w:val="006D6D9A"/>
    <w:rsid w:val="006D74E0"/>
    <w:rsid w:val="006D7654"/>
    <w:rsid w:val="006D76DF"/>
    <w:rsid w:val="006D7996"/>
    <w:rsid w:val="006D7B9F"/>
    <w:rsid w:val="006D7C24"/>
    <w:rsid w:val="006E00A9"/>
    <w:rsid w:val="006E00D1"/>
    <w:rsid w:val="006E0152"/>
    <w:rsid w:val="006E020F"/>
    <w:rsid w:val="006E0239"/>
    <w:rsid w:val="006E03B3"/>
    <w:rsid w:val="006E054A"/>
    <w:rsid w:val="006E059C"/>
    <w:rsid w:val="006E0625"/>
    <w:rsid w:val="006E102B"/>
    <w:rsid w:val="006E14AE"/>
    <w:rsid w:val="006E1578"/>
    <w:rsid w:val="006E1607"/>
    <w:rsid w:val="006E16EA"/>
    <w:rsid w:val="006E1904"/>
    <w:rsid w:val="006E19C1"/>
    <w:rsid w:val="006E1A31"/>
    <w:rsid w:val="006E1BA0"/>
    <w:rsid w:val="006E1CCA"/>
    <w:rsid w:val="006E1FAB"/>
    <w:rsid w:val="006E200C"/>
    <w:rsid w:val="006E206F"/>
    <w:rsid w:val="006E2294"/>
    <w:rsid w:val="006E23F2"/>
    <w:rsid w:val="006E27E1"/>
    <w:rsid w:val="006E2C12"/>
    <w:rsid w:val="006E2E7A"/>
    <w:rsid w:val="006E2EA2"/>
    <w:rsid w:val="006E2F00"/>
    <w:rsid w:val="006E30AD"/>
    <w:rsid w:val="006E31A1"/>
    <w:rsid w:val="006E37BE"/>
    <w:rsid w:val="006E3CB5"/>
    <w:rsid w:val="006E3CD5"/>
    <w:rsid w:val="006E3D40"/>
    <w:rsid w:val="006E3DF7"/>
    <w:rsid w:val="006E3EFE"/>
    <w:rsid w:val="006E3F24"/>
    <w:rsid w:val="006E4024"/>
    <w:rsid w:val="006E40CA"/>
    <w:rsid w:val="006E4170"/>
    <w:rsid w:val="006E43AE"/>
    <w:rsid w:val="006E44EF"/>
    <w:rsid w:val="006E45FA"/>
    <w:rsid w:val="006E4880"/>
    <w:rsid w:val="006E494F"/>
    <w:rsid w:val="006E4A73"/>
    <w:rsid w:val="006E4BF5"/>
    <w:rsid w:val="006E5137"/>
    <w:rsid w:val="006E51B4"/>
    <w:rsid w:val="006E562B"/>
    <w:rsid w:val="006E5641"/>
    <w:rsid w:val="006E56EA"/>
    <w:rsid w:val="006E591A"/>
    <w:rsid w:val="006E5A27"/>
    <w:rsid w:val="006E5B4A"/>
    <w:rsid w:val="006E601F"/>
    <w:rsid w:val="006E6158"/>
    <w:rsid w:val="006E61C5"/>
    <w:rsid w:val="006E6741"/>
    <w:rsid w:val="006E6A82"/>
    <w:rsid w:val="006E6AB7"/>
    <w:rsid w:val="006E6DF4"/>
    <w:rsid w:val="006E6E15"/>
    <w:rsid w:val="006E6E28"/>
    <w:rsid w:val="006E703F"/>
    <w:rsid w:val="006E774E"/>
    <w:rsid w:val="006E78F6"/>
    <w:rsid w:val="006E79FE"/>
    <w:rsid w:val="006E7CA2"/>
    <w:rsid w:val="006E7E52"/>
    <w:rsid w:val="006E7EDA"/>
    <w:rsid w:val="006E7F12"/>
    <w:rsid w:val="006E7F7E"/>
    <w:rsid w:val="006F0148"/>
    <w:rsid w:val="006F0779"/>
    <w:rsid w:val="006F0A87"/>
    <w:rsid w:val="006F0A8A"/>
    <w:rsid w:val="006F0C24"/>
    <w:rsid w:val="006F0D30"/>
    <w:rsid w:val="006F0FD2"/>
    <w:rsid w:val="006F10E2"/>
    <w:rsid w:val="006F12AC"/>
    <w:rsid w:val="006F165D"/>
    <w:rsid w:val="006F1713"/>
    <w:rsid w:val="006F193E"/>
    <w:rsid w:val="006F1B8D"/>
    <w:rsid w:val="006F1C48"/>
    <w:rsid w:val="006F1D67"/>
    <w:rsid w:val="006F246F"/>
    <w:rsid w:val="006F2515"/>
    <w:rsid w:val="006F2787"/>
    <w:rsid w:val="006F29A4"/>
    <w:rsid w:val="006F29AA"/>
    <w:rsid w:val="006F2EE2"/>
    <w:rsid w:val="006F333B"/>
    <w:rsid w:val="006F33BA"/>
    <w:rsid w:val="006F3540"/>
    <w:rsid w:val="006F35C1"/>
    <w:rsid w:val="006F363A"/>
    <w:rsid w:val="006F38F7"/>
    <w:rsid w:val="006F399F"/>
    <w:rsid w:val="006F3A77"/>
    <w:rsid w:val="006F3DD1"/>
    <w:rsid w:val="006F3EBB"/>
    <w:rsid w:val="006F3F5B"/>
    <w:rsid w:val="006F421E"/>
    <w:rsid w:val="006F4664"/>
    <w:rsid w:val="006F466B"/>
    <w:rsid w:val="006F47B4"/>
    <w:rsid w:val="006F4B01"/>
    <w:rsid w:val="006F4CA5"/>
    <w:rsid w:val="006F4F9F"/>
    <w:rsid w:val="006F4FD7"/>
    <w:rsid w:val="006F503B"/>
    <w:rsid w:val="006F5095"/>
    <w:rsid w:val="006F50DA"/>
    <w:rsid w:val="006F51BF"/>
    <w:rsid w:val="006F5316"/>
    <w:rsid w:val="006F536A"/>
    <w:rsid w:val="006F53D5"/>
    <w:rsid w:val="006F5649"/>
    <w:rsid w:val="006F570F"/>
    <w:rsid w:val="006F5771"/>
    <w:rsid w:val="006F5C97"/>
    <w:rsid w:val="006F5E49"/>
    <w:rsid w:val="006F5FB1"/>
    <w:rsid w:val="006F6514"/>
    <w:rsid w:val="006F65E5"/>
    <w:rsid w:val="006F668B"/>
    <w:rsid w:val="006F688D"/>
    <w:rsid w:val="006F6A06"/>
    <w:rsid w:val="006F6DDD"/>
    <w:rsid w:val="006F6EC7"/>
    <w:rsid w:val="006F71CE"/>
    <w:rsid w:val="006F7282"/>
    <w:rsid w:val="006F7417"/>
    <w:rsid w:val="006F743C"/>
    <w:rsid w:val="006F7464"/>
    <w:rsid w:val="006F747A"/>
    <w:rsid w:val="006F7497"/>
    <w:rsid w:val="006F7910"/>
    <w:rsid w:val="006F7A09"/>
    <w:rsid w:val="006F7A24"/>
    <w:rsid w:val="006F7ABB"/>
    <w:rsid w:val="006F7C4C"/>
    <w:rsid w:val="006F7D8F"/>
    <w:rsid w:val="006F7F5E"/>
    <w:rsid w:val="007000CB"/>
    <w:rsid w:val="0070013D"/>
    <w:rsid w:val="00700367"/>
    <w:rsid w:val="007004D3"/>
    <w:rsid w:val="007006A6"/>
    <w:rsid w:val="0070071C"/>
    <w:rsid w:val="00700877"/>
    <w:rsid w:val="00700A38"/>
    <w:rsid w:val="00700B28"/>
    <w:rsid w:val="00700BF3"/>
    <w:rsid w:val="007010AE"/>
    <w:rsid w:val="0070127C"/>
    <w:rsid w:val="007013AE"/>
    <w:rsid w:val="007013D4"/>
    <w:rsid w:val="007014FA"/>
    <w:rsid w:val="00701632"/>
    <w:rsid w:val="0070171E"/>
    <w:rsid w:val="0070172C"/>
    <w:rsid w:val="007018C7"/>
    <w:rsid w:val="0070193B"/>
    <w:rsid w:val="00701AC9"/>
    <w:rsid w:val="00701B12"/>
    <w:rsid w:val="00701C4E"/>
    <w:rsid w:val="00701CFD"/>
    <w:rsid w:val="0070209C"/>
    <w:rsid w:val="0070226D"/>
    <w:rsid w:val="007024F4"/>
    <w:rsid w:val="00702666"/>
    <w:rsid w:val="0070277D"/>
    <w:rsid w:val="00702A57"/>
    <w:rsid w:val="00702A76"/>
    <w:rsid w:val="00702CCC"/>
    <w:rsid w:val="00702FB1"/>
    <w:rsid w:val="007033C3"/>
    <w:rsid w:val="0070342B"/>
    <w:rsid w:val="00703529"/>
    <w:rsid w:val="00703A39"/>
    <w:rsid w:val="00703A7C"/>
    <w:rsid w:val="00703D0D"/>
    <w:rsid w:val="00703F57"/>
    <w:rsid w:val="00704626"/>
    <w:rsid w:val="007049E4"/>
    <w:rsid w:val="00704E74"/>
    <w:rsid w:val="00704E94"/>
    <w:rsid w:val="00704EB6"/>
    <w:rsid w:val="00704EE7"/>
    <w:rsid w:val="00705159"/>
    <w:rsid w:val="00705465"/>
    <w:rsid w:val="0070566D"/>
    <w:rsid w:val="007058CA"/>
    <w:rsid w:val="00705B00"/>
    <w:rsid w:val="00705B1D"/>
    <w:rsid w:val="00705BC3"/>
    <w:rsid w:val="00705D61"/>
    <w:rsid w:val="00705FE9"/>
    <w:rsid w:val="0070613F"/>
    <w:rsid w:val="00706190"/>
    <w:rsid w:val="0070637C"/>
    <w:rsid w:val="007064F9"/>
    <w:rsid w:val="0070665B"/>
    <w:rsid w:val="0070665D"/>
    <w:rsid w:val="007067C0"/>
    <w:rsid w:val="007068BE"/>
    <w:rsid w:val="00706C3B"/>
    <w:rsid w:val="00706EF7"/>
    <w:rsid w:val="00706F6E"/>
    <w:rsid w:val="00706FFD"/>
    <w:rsid w:val="007076D7"/>
    <w:rsid w:val="0070773D"/>
    <w:rsid w:val="007079E7"/>
    <w:rsid w:val="00707BE6"/>
    <w:rsid w:val="00707BF3"/>
    <w:rsid w:val="00707C6F"/>
    <w:rsid w:val="00707C71"/>
    <w:rsid w:val="00707E37"/>
    <w:rsid w:val="00707F3E"/>
    <w:rsid w:val="00707FBF"/>
    <w:rsid w:val="00710057"/>
    <w:rsid w:val="00710113"/>
    <w:rsid w:val="007104EC"/>
    <w:rsid w:val="00710501"/>
    <w:rsid w:val="0071090B"/>
    <w:rsid w:val="0071098F"/>
    <w:rsid w:val="00710B6A"/>
    <w:rsid w:val="00710BBC"/>
    <w:rsid w:val="00710DCB"/>
    <w:rsid w:val="00711187"/>
    <w:rsid w:val="007111FC"/>
    <w:rsid w:val="00711390"/>
    <w:rsid w:val="007113EE"/>
    <w:rsid w:val="00711446"/>
    <w:rsid w:val="007114C6"/>
    <w:rsid w:val="00711637"/>
    <w:rsid w:val="00711BA7"/>
    <w:rsid w:val="00711E11"/>
    <w:rsid w:val="00711F79"/>
    <w:rsid w:val="00711FB3"/>
    <w:rsid w:val="00711FB5"/>
    <w:rsid w:val="00712023"/>
    <w:rsid w:val="007121D5"/>
    <w:rsid w:val="007122DC"/>
    <w:rsid w:val="00712431"/>
    <w:rsid w:val="0071272A"/>
    <w:rsid w:val="00712A14"/>
    <w:rsid w:val="00712A4E"/>
    <w:rsid w:val="00712AF1"/>
    <w:rsid w:val="00712C9C"/>
    <w:rsid w:val="00712D97"/>
    <w:rsid w:val="00712DD1"/>
    <w:rsid w:val="00712E74"/>
    <w:rsid w:val="00712F1B"/>
    <w:rsid w:val="00712F4B"/>
    <w:rsid w:val="007131D4"/>
    <w:rsid w:val="007137E2"/>
    <w:rsid w:val="00713A77"/>
    <w:rsid w:val="00713B80"/>
    <w:rsid w:val="00713F35"/>
    <w:rsid w:val="00714090"/>
    <w:rsid w:val="0071451B"/>
    <w:rsid w:val="0071452B"/>
    <w:rsid w:val="0071457E"/>
    <w:rsid w:val="00714599"/>
    <w:rsid w:val="007146CD"/>
    <w:rsid w:val="0071477D"/>
    <w:rsid w:val="007147F1"/>
    <w:rsid w:val="007148EF"/>
    <w:rsid w:val="0071498F"/>
    <w:rsid w:val="007149FE"/>
    <w:rsid w:val="00714B96"/>
    <w:rsid w:val="00714C10"/>
    <w:rsid w:val="00714EE4"/>
    <w:rsid w:val="00714FDF"/>
    <w:rsid w:val="00715047"/>
    <w:rsid w:val="00715071"/>
    <w:rsid w:val="007150B0"/>
    <w:rsid w:val="00715108"/>
    <w:rsid w:val="00715154"/>
    <w:rsid w:val="007151E7"/>
    <w:rsid w:val="0071584C"/>
    <w:rsid w:val="00715864"/>
    <w:rsid w:val="00715B9C"/>
    <w:rsid w:val="00715D81"/>
    <w:rsid w:val="00715EC9"/>
    <w:rsid w:val="00715F4E"/>
    <w:rsid w:val="00716420"/>
    <w:rsid w:val="007167DC"/>
    <w:rsid w:val="007169C1"/>
    <w:rsid w:val="00716B5C"/>
    <w:rsid w:val="00716DB9"/>
    <w:rsid w:val="00716E5D"/>
    <w:rsid w:val="00716F49"/>
    <w:rsid w:val="00717204"/>
    <w:rsid w:val="0071792F"/>
    <w:rsid w:val="00717B7B"/>
    <w:rsid w:val="00717CB8"/>
    <w:rsid w:val="00717E97"/>
    <w:rsid w:val="00717EA8"/>
    <w:rsid w:val="007200F7"/>
    <w:rsid w:val="0072012B"/>
    <w:rsid w:val="007201AD"/>
    <w:rsid w:val="007202A6"/>
    <w:rsid w:val="007204F1"/>
    <w:rsid w:val="007207CA"/>
    <w:rsid w:val="00720A8C"/>
    <w:rsid w:val="00720C7D"/>
    <w:rsid w:val="00720F22"/>
    <w:rsid w:val="00720F27"/>
    <w:rsid w:val="007210BE"/>
    <w:rsid w:val="007210E2"/>
    <w:rsid w:val="00721162"/>
    <w:rsid w:val="00721371"/>
    <w:rsid w:val="00721671"/>
    <w:rsid w:val="00721711"/>
    <w:rsid w:val="007218B1"/>
    <w:rsid w:val="007218D0"/>
    <w:rsid w:val="007219A7"/>
    <w:rsid w:val="00721AF4"/>
    <w:rsid w:val="00721C88"/>
    <w:rsid w:val="00721EF8"/>
    <w:rsid w:val="0072218E"/>
    <w:rsid w:val="007221FA"/>
    <w:rsid w:val="0072229D"/>
    <w:rsid w:val="0072231E"/>
    <w:rsid w:val="0072257E"/>
    <w:rsid w:val="00722695"/>
    <w:rsid w:val="00722AB9"/>
    <w:rsid w:val="00722C6A"/>
    <w:rsid w:val="00722D47"/>
    <w:rsid w:val="0072341A"/>
    <w:rsid w:val="007236EC"/>
    <w:rsid w:val="007239E1"/>
    <w:rsid w:val="00723A15"/>
    <w:rsid w:val="00723C97"/>
    <w:rsid w:val="00723CB7"/>
    <w:rsid w:val="00723D8A"/>
    <w:rsid w:val="00723EDF"/>
    <w:rsid w:val="00723FC4"/>
    <w:rsid w:val="007242B2"/>
    <w:rsid w:val="0072435D"/>
    <w:rsid w:val="007244A3"/>
    <w:rsid w:val="0072457B"/>
    <w:rsid w:val="007249EC"/>
    <w:rsid w:val="00724A20"/>
    <w:rsid w:val="00724A5C"/>
    <w:rsid w:val="00724BF4"/>
    <w:rsid w:val="00724CA8"/>
    <w:rsid w:val="00724DBB"/>
    <w:rsid w:val="00724DD4"/>
    <w:rsid w:val="0072515C"/>
    <w:rsid w:val="00725268"/>
    <w:rsid w:val="00725293"/>
    <w:rsid w:val="0072552C"/>
    <w:rsid w:val="00725952"/>
    <w:rsid w:val="0072599F"/>
    <w:rsid w:val="00725CD4"/>
    <w:rsid w:val="00725DCD"/>
    <w:rsid w:val="00725DDD"/>
    <w:rsid w:val="00725E65"/>
    <w:rsid w:val="00725F6A"/>
    <w:rsid w:val="00725F8C"/>
    <w:rsid w:val="0072612D"/>
    <w:rsid w:val="007261B3"/>
    <w:rsid w:val="007261DA"/>
    <w:rsid w:val="007261FD"/>
    <w:rsid w:val="0072633D"/>
    <w:rsid w:val="00726472"/>
    <w:rsid w:val="00726587"/>
    <w:rsid w:val="007266FC"/>
    <w:rsid w:val="00726718"/>
    <w:rsid w:val="007268A1"/>
    <w:rsid w:val="00726A91"/>
    <w:rsid w:val="00726EF1"/>
    <w:rsid w:val="00726FC2"/>
    <w:rsid w:val="007274AC"/>
    <w:rsid w:val="00727726"/>
    <w:rsid w:val="0072786F"/>
    <w:rsid w:val="00727B33"/>
    <w:rsid w:val="00730166"/>
    <w:rsid w:val="007306AD"/>
    <w:rsid w:val="0073082B"/>
    <w:rsid w:val="00730A53"/>
    <w:rsid w:val="00730A81"/>
    <w:rsid w:val="00730B57"/>
    <w:rsid w:val="00730D71"/>
    <w:rsid w:val="007311C9"/>
    <w:rsid w:val="00731301"/>
    <w:rsid w:val="00731672"/>
    <w:rsid w:val="007317D4"/>
    <w:rsid w:val="007318CC"/>
    <w:rsid w:val="00731B07"/>
    <w:rsid w:val="00731B86"/>
    <w:rsid w:val="00731CFA"/>
    <w:rsid w:val="00731F94"/>
    <w:rsid w:val="007323F2"/>
    <w:rsid w:val="007324BB"/>
    <w:rsid w:val="00732510"/>
    <w:rsid w:val="00732574"/>
    <w:rsid w:val="00732807"/>
    <w:rsid w:val="007328B8"/>
    <w:rsid w:val="00732A12"/>
    <w:rsid w:val="00732A96"/>
    <w:rsid w:val="00732B97"/>
    <w:rsid w:val="00732EF1"/>
    <w:rsid w:val="007331EC"/>
    <w:rsid w:val="007332AE"/>
    <w:rsid w:val="007333CC"/>
    <w:rsid w:val="0073358C"/>
    <w:rsid w:val="007336EA"/>
    <w:rsid w:val="00733911"/>
    <w:rsid w:val="00733980"/>
    <w:rsid w:val="00733A6D"/>
    <w:rsid w:val="00733AD8"/>
    <w:rsid w:val="00733F02"/>
    <w:rsid w:val="00734670"/>
    <w:rsid w:val="0073468D"/>
    <w:rsid w:val="00734818"/>
    <w:rsid w:val="00734BA5"/>
    <w:rsid w:val="00734C48"/>
    <w:rsid w:val="00734E40"/>
    <w:rsid w:val="00734EA0"/>
    <w:rsid w:val="00734FFC"/>
    <w:rsid w:val="00735005"/>
    <w:rsid w:val="00735100"/>
    <w:rsid w:val="00735101"/>
    <w:rsid w:val="007351F9"/>
    <w:rsid w:val="00735204"/>
    <w:rsid w:val="00735738"/>
    <w:rsid w:val="00735913"/>
    <w:rsid w:val="00735991"/>
    <w:rsid w:val="00735A17"/>
    <w:rsid w:val="00735ADB"/>
    <w:rsid w:val="00735B34"/>
    <w:rsid w:val="00735F6C"/>
    <w:rsid w:val="007361B3"/>
    <w:rsid w:val="0073639F"/>
    <w:rsid w:val="007363A2"/>
    <w:rsid w:val="00736484"/>
    <w:rsid w:val="0073652B"/>
    <w:rsid w:val="00736799"/>
    <w:rsid w:val="007369A7"/>
    <w:rsid w:val="00736C44"/>
    <w:rsid w:val="00737197"/>
    <w:rsid w:val="007371FC"/>
    <w:rsid w:val="007374B8"/>
    <w:rsid w:val="00737541"/>
    <w:rsid w:val="00737A02"/>
    <w:rsid w:val="00737A39"/>
    <w:rsid w:val="00737A91"/>
    <w:rsid w:val="00737FEF"/>
    <w:rsid w:val="007401EC"/>
    <w:rsid w:val="00740294"/>
    <w:rsid w:val="007402B7"/>
    <w:rsid w:val="00740491"/>
    <w:rsid w:val="00740519"/>
    <w:rsid w:val="00740653"/>
    <w:rsid w:val="00740750"/>
    <w:rsid w:val="0074086F"/>
    <w:rsid w:val="00740A29"/>
    <w:rsid w:val="00740E2B"/>
    <w:rsid w:val="00740E60"/>
    <w:rsid w:val="00740F4C"/>
    <w:rsid w:val="00740FD9"/>
    <w:rsid w:val="00741026"/>
    <w:rsid w:val="00741186"/>
    <w:rsid w:val="00741293"/>
    <w:rsid w:val="007413B2"/>
    <w:rsid w:val="0074141E"/>
    <w:rsid w:val="00741627"/>
    <w:rsid w:val="0074175B"/>
    <w:rsid w:val="007418F4"/>
    <w:rsid w:val="007419CE"/>
    <w:rsid w:val="007419ED"/>
    <w:rsid w:val="00741D1C"/>
    <w:rsid w:val="00741F99"/>
    <w:rsid w:val="00742138"/>
    <w:rsid w:val="007423B5"/>
    <w:rsid w:val="0074245F"/>
    <w:rsid w:val="00742505"/>
    <w:rsid w:val="007429EE"/>
    <w:rsid w:val="00742A03"/>
    <w:rsid w:val="00742D2E"/>
    <w:rsid w:val="0074355C"/>
    <w:rsid w:val="007438DA"/>
    <w:rsid w:val="00743903"/>
    <w:rsid w:val="007439D0"/>
    <w:rsid w:val="00743A4B"/>
    <w:rsid w:val="00743DFC"/>
    <w:rsid w:val="00743FFD"/>
    <w:rsid w:val="0074446B"/>
    <w:rsid w:val="007444DF"/>
    <w:rsid w:val="00744659"/>
    <w:rsid w:val="00744857"/>
    <w:rsid w:val="0074489F"/>
    <w:rsid w:val="00744A35"/>
    <w:rsid w:val="00744B09"/>
    <w:rsid w:val="007451E8"/>
    <w:rsid w:val="00745388"/>
    <w:rsid w:val="007453E8"/>
    <w:rsid w:val="00745404"/>
    <w:rsid w:val="00745686"/>
    <w:rsid w:val="007458E6"/>
    <w:rsid w:val="00745952"/>
    <w:rsid w:val="00745A4F"/>
    <w:rsid w:val="00745E40"/>
    <w:rsid w:val="00745EC6"/>
    <w:rsid w:val="00745FBD"/>
    <w:rsid w:val="00746035"/>
    <w:rsid w:val="007461E1"/>
    <w:rsid w:val="007462A4"/>
    <w:rsid w:val="007468B9"/>
    <w:rsid w:val="00746948"/>
    <w:rsid w:val="00746AF7"/>
    <w:rsid w:val="00746C14"/>
    <w:rsid w:val="00746D0C"/>
    <w:rsid w:val="00746FA6"/>
    <w:rsid w:val="00747060"/>
    <w:rsid w:val="00747275"/>
    <w:rsid w:val="007473AB"/>
    <w:rsid w:val="00747640"/>
    <w:rsid w:val="007477D9"/>
    <w:rsid w:val="00747A95"/>
    <w:rsid w:val="00747B76"/>
    <w:rsid w:val="00747D32"/>
    <w:rsid w:val="00750265"/>
    <w:rsid w:val="0075026D"/>
    <w:rsid w:val="007506E1"/>
    <w:rsid w:val="007508EC"/>
    <w:rsid w:val="00750A2D"/>
    <w:rsid w:val="00750A9F"/>
    <w:rsid w:val="00750CD5"/>
    <w:rsid w:val="007510A2"/>
    <w:rsid w:val="007512CA"/>
    <w:rsid w:val="007512F1"/>
    <w:rsid w:val="00751498"/>
    <w:rsid w:val="007516C2"/>
    <w:rsid w:val="007519C6"/>
    <w:rsid w:val="00751A67"/>
    <w:rsid w:val="00751A8A"/>
    <w:rsid w:val="00751B3C"/>
    <w:rsid w:val="00751C17"/>
    <w:rsid w:val="00751D37"/>
    <w:rsid w:val="00751F0C"/>
    <w:rsid w:val="00752079"/>
    <w:rsid w:val="007521F4"/>
    <w:rsid w:val="007522B8"/>
    <w:rsid w:val="007523FD"/>
    <w:rsid w:val="007527C7"/>
    <w:rsid w:val="007527DA"/>
    <w:rsid w:val="00752823"/>
    <w:rsid w:val="00752883"/>
    <w:rsid w:val="00752D17"/>
    <w:rsid w:val="00753079"/>
    <w:rsid w:val="007530E3"/>
    <w:rsid w:val="007531C9"/>
    <w:rsid w:val="007532C0"/>
    <w:rsid w:val="00753412"/>
    <w:rsid w:val="0075350C"/>
    <w:rsid w:val="00753A8B"/>
    <w:rsid w:val="00753D2B"/>
    <w:rsid w:val="00753D69"/>
    <w:rsid w:val="00753E25"/>
    <w:rsid w:val="00753E26"/>
    <w:rsid w:val="00753E73"/>
    <w:rsid w:val="00753F30"/>
    <w:rsid w:val="007541BB"/>
    <w:rsid w:val="0075428F"/>
    <w:rsid w:val="0075443D"/>
    <w:rsid w:val="007546AB"/>
    <w:rsid w:val="00754A21"/>
    <w:rsid w:val="00754C63"/>
    <w:rsid w:val="00754C67"/>
    <w:rsid w:val="00754C6A"/>
    <w:rsid w:val="00754CE7"/>
    <w:rsid w:val="00754F70"/>
    <w:rsid w:val="00755069"/>
    <w:rsid w:val="007553D0"/>
    <w:rsid w:val="0075542F"/>
    <w:rsid w:val="0075550A"/>
    <w:rsid w:val="00755601"/>
    <w:rsid w:val="00755689"/>
    <w:rsid w:val="007557EC"/>
    <w:rsid w:val="007558CD"/>
    <w:rsid w:val="00755CCC"/>
    <w:rsid w:val="00755E4A"/>
    <w:rsid w:val="00755E58"/>
    <w:rsid w:val="007562CB"/>
    <w:rsid w:val="007563AA"/>
    <w:rsid w:val="00756479"/>
    <w:rsid w:val="0075656F"/>
    <w:rsid w:val="007565E5"/>
    <w:rsid w:val="007565F9"/>
    <w:rsid w:val="0075670D"/>
    <w:rsid w:val="00756774"/>
    <w:rsid w:val="00756795"/>
    <w:rsid w:val="00756801"/>
    <w:rsid w:val="00756861"/>
    <w:rsid w:val="00756A7E"/>
    <w:rsid w:val="00756BED"/>
    <w:rsid w:val="00756D00"/>
    <w:rsid w:val="00756D32"/>
    <w:rsid w:val="00756E79"/>
    <w:rsid w:val="00756F0A"/>
    <w:rsid w:val="00756F52"/>
    <w:rsid w:val="00756F93"/>
    <w:rsid w:val="007570EF"/>
    <w:rsid w:val="0075715B"/>
    <w:rsid w:val="0075725F"/>
    <w:rsid w:val="00757271"/>
    <w:rsid w:val="0075748C"/>
    <w:rsid w:val="007578C3"/>
    <w:rsid w:val="00757C7A"/>
    <w:rsid w:val="00757CC8"/>
    <w:rsid w:val="00757D6C"/>
    <w:rsid w:val="00757F02"/>
    <w:rsid w:val="00760016"/>
    <w:rsid w:val="007601DF"/>
    <w:rsid w:val="00760431"/>
    <w:rsid w:val="00760740"/>
    <w:rsid w:val="0076088F"/>
    <w:rsid w:val="00760901"/>
    <w:rsid w:val="00760C7D"/>
    <w:rsid w:val="00760DF1"/>
    <w:rsid w:val="00760E26"/>
    <w:rsid w:val="00760FAC"/>
    <w:rsid w:val="007613A8"/>
    <w:rsid w:val="007617A3"/>
    <w:rsid w:val="00761945"/>
    <w:rsid w:val="00761A73"/>
    <w:rsid w:val="00761BB4"/>
    <w:rsid w:val="007620C4"/>
    <w:rsid w:val="0076226B"/>
    <w:rsid w:val="0076234A"/>
    <w:rsid w:val="00762386"/>
    <w:rsid w:val="00762621"/>
    <w:rsid w:val="00762625"/>
    <w:rsid w:val="0076287A"/>
    <w:rsid w:val="007629B7"/>
    <w:rsid w:val="00762BCE"/>
    <w:rsid w:val="00762CE4"/>
    <w:rsid w:val="00762E50"/>
    <w:rsid w:val="00762EDD"/>
    <w:rsid w:val="00762F13"/>
    <w:rsid w:val="0076305D"/>
    <w:rsid w:val="007632FA"/>
    <w:rsid w:val="007633E5"/>
    <w:rsid w:val="007634C8"/>
    <w:rsid w:val="0076395D"/>
    <w:rsid w:val="00763D61"/>
    <w:rsid w:val="0076407D"/>
    <w:rsid w:val="007640C2"/>
    <w:rsid w:val="0076417F"/>
    <w:rsid w:val="0076433D"/>
    <w:rsid w:val="00764379"/>
    <w:rsid w:val="00764381"/>
    <w:rsid w:val="00764468"/>
    <w:rsid w:val="007646D0"/>
    <w:rsid w:val="00764902"/>
    <w:rsid w:val="00764974"/>
    <w:rsid w:val="00764A58"/>
    <w:rsid w:val="00764D21"/>
    <w:rsid w:val="00764DC2"/>
    <w:rsid w:val="00764E7A"/>
    <w:rsid w:val="007651B4"/>
    <w:rsid w:val="007653C4"/>
    <w:rsid w:val="00765437"/>
    <w:rsid w:val="0076584D"/>
    <w:rsid w:val="007659D2"/>
    <w:rsid w:val="00765A3E"/>
    <w:rsid w:val="00765CE4"/>
    <w:rsid w:val="00765D37"/>
    <w:rsid w:val="00765E03"/>
    <w:rsid w:val="00765E26"/>
    <w:rsid w:val="00765F7A"/>
    <w:rsid w:val="00765FAE"/>
    <w:rsid w:val="00766248"/>
    <w:rsid w:val="007667E9"/>
    <w:rsid w:val="007669E7"/>
    <w:rsid w:val="00766D8F"/>
    <w:rsid w:val="0076704E"/>
    <w:rsid w:val="00767326"/>
    <w:rsid w:val="00767381"/>
    <w:rsid w:val="00767519"/>
    <w:rsid w:val="00767576"/>
    <w:rsid w:val="00767B52"/>
    <w:rsid w:val="00767BD1"/>
    <w:rsid w:val="00767C12"/>
    <w:rsid w:val="00767D74"/>
    <w:rsid w:val="00767E08"/>
    <w:rsid w:val="00767E4C"/>
    <w:rsid w:val="00767E4F"/>
    <w:rsid w:val="00767EFA"/>
    <w:rsid w:val="00767EFF"/>
    <w:rsid w:val="007701F2"/>
    <w:rsid w:val="007702F2"/>
    <w:rsid w:val="00770305"/>
    <w:rsid w:val="00770995"/>
    <w:rsid w:val="00770B34"/>
    <w:rsid w:val="00770B3F"/>
    <w:rsid w:val="00770BE6"/>
    <w:rsid w:val="00770DE2"/>
    <w:rsid w:val="00770E7F"/>
    <w:rsid w:val="00770F60"/>
    <w:rsid w:val="0077127F"/>
    <w:rsid w:val="007712B0"/>
    <w:rsid w:val="007712FF"/>
    <w:rsid w:val="007718E9"/>
    <w:rsid w:val="007718F9"/>
    <w:rsid w:val="00771A28"/>
    <w:rsid w:val="00771C00"/>
    <w:rsid w:val="00771C29"/>
    <w:rsid w:val="00771F05"/>
    <w:rsid w:val="00771FE5"/>
    <w:rsid w:val="00772048"/>
    <w:rsid w:val="007720F1"/>
    <w:rsid w:val="00772310"/>
    <w:rsid w:val="00772421"/>
    <w:rsid w:val="007724CC"/>
    <w:rsid w:val="0077252A"/>
    <w:rsid w:val="007725C4"/>
    <w:rsid w:val="0077260C"/>
    <w:rsid w:val="00772F2C"/>
    <w:rsid w:val="0077302A"/>
    <w:rsid w:val="00773283"/>
    <w:rsid w:val="00773658"/>
    <w:rsid w:val="007736F1"/>
    <w:rsid w:val="007738EB"/>
    <w:rsid w:val="00773926"/>
    <w:rsid w:val="00773A5E"/>
    <w:rsid w:val="00773A82"/>
    <w:rsid w:val="00773F4D"/>
    <w:rsid w:val="00773F79"/>
    <w:rsid w:val="00773F92"/>
    <w:rsid w:val="007741DB"/>
    <w:rsid w:val="00774350"/>
    <w:rsid w:val="00774731"/>
    <w:rsid w:val="00774861"/>
    <w:rsid w:val="007748D4"/>
    <w:rsid w:val="00774B7A"/>
    <w:rsid w:val="00774EFD"/>
    <w:rsid w:val="0077510F"/>
    <w:rsid w:val="007752CC"/>
    <w:rsid w:val="007753AF"/>
    <w:rsid w:val="007756A0"/>
    <w:rsid w:val="007758BC"/>
    <w:rsid w:val="00775A8E"/>
    <w:rsid w:val="00775B06"/>
    <w:rsid w:val="00775BE5"/>
    <w:rsid w:val="00775CC5"/>
    <w:rsid w:val="00775E8E"/>
    <w:rsid w:val="00775EC5"/>
    <w:rsid w:val="007761FD"/>
    <w:rsid w:val="00776289"/>
    <w:rsid w:val="007764C5"/>
    <w:rsid w:val="00776589"/>
    <w:rsid w:val="00776779"/>
    <w:rsid w:val="007767F1"/>
    <w:rsid w:val="00776935"/>
    <w:rsid w:val="00776C4D"/>
    <w:rsid w:val="00776D25"/>
    <w:rsid w:val="007774EC"/>
    <w:rsid w:val="0077763F"/>
    <w:rsid w:val="00777695"/>
    <w:rsid w:val="007777E3"/>
    <w:rsid w:val="0077788C"/>
    <w:rsid w:val="00777A30"/>
    <w:rsid w:val="00777ADF"/>
    <w:rsid w:val="007800DD"/>
    <w:rsid w:val="007802AC"/>
    <w:rsid w:val="00780481"/>
    <w:rsid w:val="007806F7"/>
    <w:rsid w:val="007808C7"/>
    <w:rsid w:val="00780949"/>
    <w:rsid w:val="00780A0A"/>
    <w:rsid w:val="00780B1B"/>
    <w:rsid w:val="00780B87"/>
    <w:rsid w:val="00780D32"/>
    <w:rsid w:val="00780F88"/>
    <w:rsid w:val="00780F94"/>
    <w:rsid w:val="007812BB"/>
    <w:rsid w:val="007814A6"/>
    <w:rsid w:val="007814D7"/>
    <w:rsid w:val="007814F9"/>
    <w:rsid w:val="00781524"/>
    <w:rsid w:val="007815A4"/>
    <w:rsid w:val="00781BC4"/>
    <w:rsid w:val="00781CA6"/>
    <w:rsid w:val="00781E96"/>
    <w:rsid w:val="007824FC"/>
    <w:rsid w:val="00782723"/>
    <w:rsid w:val="00782740"/>
    <w:rsid w:val="0078274A"/>
    <w:rsid w:val="00782993"/>
    <w:rsid w:val="007829F3"/>
    <w:rsid w:val="00782A5A"/>
    <w:rsid w:val="00782AF6"/>
    <w:rsid w:val="00782BBA"/>
    <w:rsid w:val="00782EBC"/>
    <w:rsid w:val="00783106"/>
    <w:rsid w:val="00783208"/>
    <w:rsid w:val="00783236"/>
    <w:rsid w:val="007832A9"/>
    <w:rsid w:val="007832BA"/>
    <w:rsid w:val="007832E8"/>
    <w:rsid w:val="00783431"/>
    <w:rsid w:val="0078351B"/>
    <w:rsid w:val="007835F5"/>
    <w:rsid w:val="007835FC"/>
    <w:rsid w:val="00783B61"/>
    <w:rsid w:val="00784172"/>
    <w:rsid w:val="0078418C"/>
    <w:rsid w:val="0078439D"/>
    <w:rsid w:val="0078442C"/>
    <w:rsid w:val="0078499A"/>
    <w:rsid w:val="007849A4"/>
    <w:rsid w:val="00784B1F"/>
    <w:rsid w:val="00784B97"/>
    <w:rsid w:val="00784CEA"/>
    <w:rsid w:val="00784E5E"/>
    <w:rsid w:val="00784F2C"/>
    <w:rsid w:val="00785172"/>
    <w:rsid w:val="007851CC"/>
    <w:rsid w:val="007855D1"/>
    <w:rsid w:val="00785683"/>
    <w:rsid w:val="00785842"/>
    <w:rsid w:val="00785AB3"/>
    <w:rsid w:val="00786497"/>
    <w:rsid w:val="007866C8"/>
    <w:rsid w:val="00786897"/>
    <w:rsid w:val="00786ACD"/>
    <w:rsid w:val="00786C82"/>
    <w:rsid w:val="00786D72"/>
    <w:rsid w:val="00786EBF"/>
    <w:rsid w:val="0078719E"/>
    <w:rsid w:val="007871EC"/>
    <w:rsid w:val="0078729D"/>
    <w:rsid w:val="007875E2"/>
    <w:rsid w:val="0078762B"/>
    <w:rsid w:val="00787878"/>
    <w:rsid w:val="007900CC"/>
    <w:rsid w:val="007902A4"/>
    <w:rsid w:val="0079041E"/>
    <w:rsid w:val="007904EC"/>
    <w:rsid w:val="00790755"/>
    <w:rsid w:val="00790870"/>
    <w:rsid w:val="00790911"/>
    <w:rsid w:val="00790BAE"/>
    <w:rsid w:val="00790E68"/>
    <w:rsid w:val="0079104D"/>
    <w:rsid w:val="0079120B"/>
    <w:rsid w:val="00791518"/>
    <w:rsid w:val="00791AED"/>
    <w:rsid w:val="00791BC5"/>
    <w:rsid w:val="00791DA6"/>
    <w:rsid w:val="00791E81"/>
    <w:rsid w:val="00791EC1"/>
    <w:rsid w:val="007921B1"/>
    <w:rsid w:val="0079230B"/>
    <w:rsid w:val="0079238E"/>
    <w:rsid w:val="00792392"/>
    <w:rsid w:val="007923A5"/>
    <w:rsid w:val="007926AC"/>
    <w:rsid w:val="007926B2"/>
    <w:rsid w:val="00792842"/>
    <w:rsid w:val="007928D8"/>
    <w:rsid w:val="00792943"/>
    <w:rsid w:val="007929C3"/>
    <w:rsid w:val="00792C45"/>
    <w:rsid w:val="00792DA0"/>
    <w:rsid w:val="00792DE1"/>
    <w:rsid w:val="00792F0D"/>
    <w:rsid w:val="0079313D"/>
    <w:rsid w:val="00793198"/>
    <w:rsid w:val="007932C1"/>
    <w:rsid w:val="007932F5"/>
    <w:rsid w:val="00793316"/>
    <w:rsid w:val="007934A8"/>
    <w:rsid w:val="007935EB"/>
    <w:rsid w:val="00793893"/>
    <w:rsid w:val="0079393D"/>
    <w:rsid w:val="0079397D"/>
    <w:rsid w:val="00793AC6"/>
    <w:rsid w:val="00793B15"/>
    <w:rsid w:val="00793B95"/>
    <w:rsid w:val="00793B99"/>
    <w:rsid w:val="00793D14"/>
    <w:rsid w:val="00793DB4"/>
    <w:rsid w:val="00793EFE"/>
    <w:rsid w:val="00793F6B"/>
    <w:rsid w:val="007941C4"/>
    <w:rsid w:val="007942AA"/>
    <w:rsid w:val="00794338"/>
    <w:rsid w:val="00794413"/>
    <w:rsid w:val="0079451E"/>
    <w:rsid w:val="00794624"/>
    <w:rsid w:val="0079477C"/>
    <w:rsid w:val="007947A7"/>
    <w:rsid w:val="00794983"/>
    <w:rsid w:val="00794BC9"/>
    <w:rsid w:val="00794CFF"/>
    <w:rsid w:val="00794D52"/>
    <w:rsid w:val="00794DEE"/>
    <w:rsid w:val="00794E25"/>
    <w:rsid w:val="007950E1"/>
    <w:rsid w:val="00795253"/>
    <w:rsid w:val="007952B0"/>
    <w:rsid w:val="00795738"/>
    <w:rsid w:val="00795D80"/>
    <w:rsid w:val="00795FE9"/>
    <w:rsid w:val="00796095"/>
    <w:rsid w:val="00796139"/>
    <w:rsid w:val="0079616E"/>
    <w:rsid w:val="00796241"/>
    <w:rsid w:val="00796282"/>
    <w:rsid w:val="007962BA"/>
    <w:rsid w:val="00796331"/>
    <w:rsid w:val="0079692F"/>
    <w:rsid w:val="00796AA5"/>
    <w:rsid w:val="00796BA2"/>
    <w:rsid w:val="00796BEB"/>
    <w:rsid w:val="0079708C"/>
    <w:rsid w:val="007970F9"/>
    <w:rsid w:val="00797270"/>
    <w:rsid w:val="00797680"/>
    <w:rsid w:val="00797941"/>
    <w:rsid w:val="00797A0C"/>
    <w:rsid w:val="00797B2C"/>
    <w:rsid w:val="00797D91"/>
    <w:rsid w:val="007A01C7"/>
    <w:rsid w:val="007A0274"/>
    <w:rsid w:val="007A09D9"/>
    <w:rsid w:val="007A0B96"/>
    <w:rsid w:val="007A0EA9"/>
    <w:rsid w:val="007A0FD5"/>
    <w:rsid w:val="007A101E"/>
    <w:rsid w:val="007A10BB"/>
    <w:rsid w:val="007A10F1"/>
    <w:rsid w:val="007A11FB"/>
    <w:rsid w:val="007A12B8"/>
    <w:rsid w:val="007A12DA"/>
    <w:rsid w:val="007A1435"/>
    <w:rsid w:val="007A14E6"/>
    <w:rsid w:val="007A16BE"/>
    <w:rsid w:val="007A16CD"/>
    <w:rsid w:val="007A19CB"/>
    <w:rsid w:val="007A1AD3"/>
    <w:rsid w:val="007A1B25"/>
    <w:rsid w:val="007A1CE0"/>
    <w:rsid w:val="007A1D71"/>
    <w:rsid w:val="007A2004"/>
    <w:rsid w:val="007A2065"/>
    <w:rsid w:val="007A20A9"/>
    <w:rsid w:val="007A2358"/>
    <w:rsid w:val="007A23D7"/>
    <w:rsid w:val="007A23DF"/>
    <w:rsid w:val="007A254F"/>
    <w:rsid w:val="007A2788"/>
    <w:rsid w:val="007A2AA4"/>
    <w:rsid w:val="007A2CDD"/>
    <w:rsid w:val="007A2F11"/>
    <w:rsid w:val="007A309C"/>
    <w:rsid w:val="007A30D2"/>
    <w:rsid w:val="007A30E9"/>
    <w:rsid w:val="007A3279"/>
    <w:rsid w:val="007A33D8"/>
    <w:rsid w:val="007A34A2"/>
    <w:rsid w:val="007A355D"/>
    <w:rsid w:val="007A35BC"/>
    <w:rsid w:val="007A374E"/>
    <w:rsid w:val="007A3A97"/>
    <w:rsid w:val="007A40F7"/>
    <w:rsid w:val="007A41D1"/>
    <w:rsid w:val="007A42A6"/>
    <w:rsid w:val="007A4531"/>
    <w:rsid w:val="007A4634"/>
    <w:rsid w:val="007A46C6"/>
    <w:rsid w:val="007A477D"/>
    <w:rsid w:val="007A48F9"/>
    <w:rsid w:val="007A4A30"/>
    <w:rsid w:val="007A4AA3"/>
    <w:rsid w:val="007A4ADB"/>
    <w:rsid w:val="007A4BF1"/>
    <w:rsid w:val="007A4F58"/>
    <w:rsid w:val="007A4F8E"/>
    <w:rsid w:val="007A5012"/>
    <w:rsid w:val="007A5092"/>
    <w:rsid w:val="007A50FA"/>
    <w:rsid w:val="007A5195"/>
    <w:rsid w:val="007A5485"/>
    <w:rsid w:val="007A551C"/>
    <w:rsid w:val="007A5539"/>
    <w:rsid w:val="007A565D"/>
    <w:rsid w:val="007A5733"/>
    <w:rsid w:val="007A57E5"/>
    <w:rsid w:val="007A58C3"/>
    <w:rsid w:val="007A58DD"/>
    <w:rsid w:val="007A5A19"/>
    <w:rsid w:val="007A5B81"/>
    <w:rsid w:val="007A5F5D"/>
    <w:rsid w:val="007A6083"/>
    <w:rsid w:val="007A62B0"/>
    <w:rsid w:val="007A62D3"/>
    <w:rsid w:val="007A6435"/>
    <w:rsid w:val="007A6592"/>
    <w:rsid w:val="007A6620"/>
    <w:rsid w:val="007A6990"/>
    <w:rsid w:val="007A69FC"/>
    <w:rsid w:val="007A6C47"/>
    <w:rsid w:val="007A6C7C"/>
    <w:rsid w:val="007A6DFF"/>
    <w:rsid w:val="007A6F03"/>
    <w:rsid w:val="007A6FB0"/>
    <w:rsid w:val="007A704F"/>
    <w:rsid w:val="007A70BE"/>
    <w:rsid w:val="007A72CC"/>
    <w:rsid w:val="007A7423"/>
    <w:rsid w:val="007A758C"/>
    <w:rsid w:val="007A79D1"/>
    <w:rsid w:val="007A7DD1"/>
    <w:rsid w:val="007A7EAB"/>
    <w:rsid w:val="007A7FC1"/>
    <w:rsid w:val="007B01EE"/>
    <w:rsid w:val="007B02CF"/>
    <w:rsid w:val="007B02E5"/>
    <w:rsid w:val="007B04B8"/>
    <w:rsid w:val="007B0561"/>
    <w:rsid w:val="007B08CA"/>
    <w:rsid w:val="007B0948"/>
    <w:rsid w:val="007B0982"/>
    <w:rsid w:val="007B09D5"/>
    <w:rsid w:val="007B0A70"/>
    <w:rsid w:val="007B1259"/>
    <w:rsid w:val="007B12C7"/>
    <w:rsid w:val="007B14EA"/>
    <w:rsid w:val="007B1771"/>
    <w:rsid w:val="007B18F3"/>
    <w:rsid w:val="007B1A59"/>
    <w:rsid w:val="007B1D7F"/>
    <w:rsid w:val="007B1D87"/>
    <w:rsid w:val="007B224E"/>
    <w:rsid w:val="007B25C7"/>
    <w:rsid w:val="007B29DA"/>
    <w:rsid w:val="007B2B6A"/>
    <w:rsid w:val="007B2C5F"/>
    <w:rsid w:val="007B2D00"/>
    <w:rsid w:val="007B2FB6"/>
    <w:rsid w:val="007B30D5"/>
    <w:rsid w:val="007B30F0"/>
    <w:rsid w:val="007B3165"/>
    <w:rsid w:val="007B316E"/>
    <w:rsid w:val="007B31D4"/>
    <w:rsid w:val="007B3625"/>
    <w:rsid w:val="007B384F"/>
    <w:rsid w:val="007B3BA6"/>
    <w:rsid w:val="007B3BD9"/>
    <w:rsid w:val="007B3CAE"/>
    <w:rsid w:val="007B3D74"/>
    <w:rsid w:val="007B3DA6"/>
    <w:rsid w:val="007B414C"/>
    <w:rsid w:val="007B45D8"/>
    <w:rsid w:val="007B469D"/>
    <w:rsid w:val="007B4846"/>
    <w:rsid w:val="007B48AF"/>
    <w:rsid w:val="007B4A18"/>
    <w:rsid w:val="007B4A5E"/>
    <w:rsid w:val="007B4EFB"/>
    <w:rsid w:val="007B5031"/>
    <w:rsid w:val="007B5057"/>
    <w:rsid w:val="007B54E8"/>
    <w:rsid w:val="007B58AD"/>
    <w:rsid w:val="007B597F"/>
    <w:rsid w:val="007B5BFE"/>
    <w:rsid w:val="007B5C0B"/>
    <w:rsid w:val="007B5CBE"/>
    <w:rsid w:val="007B5DC5"/>
    <w:rsid w:val="007B613C"/>
    <w:rsid w:val="007B615D"/>
    <w:rsid w:val="007B655C"/>
    <w:rsid w:val="007B6760"/>
    <w:rsid w:val="007B6EA3"/>
    <w:rsid w:val="007B6FB4"/>
    <w:rsid w:val="007B7188"/>
    <w:rsid w:val="007B71A0"/>
    <w:rsid w:val="007B7550"/>
    <w:rsid w:val="007B7618"/>
    <w:rsid w:val="007B7880"/>
    <w:rsid w:val="007B7A0F"/>
    <w:rsid w:val="007B7A64"/>
    <w:rsid w:val="007B7AA1"/>
    <w:rsid w:val="007B7AE4"/>
    <w:rsid w:val="007B7BBE"/>
    <w:rsid w:val="007B7C26"/>
    <w:rsid w:val="007B7C3E"/>
    <w:rsid w:val="007B7E3E"/>
    <w:rsid w:val="007B7E4A"/>
    <w:rsid w:val="007C0156"/>
    <w:rsid w:val="007C06CE"/>
    <w:rsid w:val="007C07FF"/>
    <w:rsid w:val="007C0A0C"/>
    <w:rsid w:val="007C0AE8"/>
    <w:rsid w:val="007C0CBF"/>
    <w:rsid w:val="007C0E68"/>
    <w:rsid w:val="007C0FD8"/>
    <w:rsid w:val="007C0FE0"/>
    <w:rsid w:val="007C1051"/>
    <w:rsid w:val="007C105B"/>
    <w:rsid w:val="007C1101"/>
    <w:rsid w:val="007C12D6"/>
    <w:rsid w:val="007C15FE"/>
    <w:rsid w:val="007C1A61"/>
    <w:rsid w:val="007C1B96"/>
    <w:rsid w:val="007C1CAF"/>
    <w:rsid w:val="007C1D12"/>
    <w:rsid w:val="007C1D9D"/>
    <w:rsid w:val="007C1EAF"/>
    <w:rsid w:val="007C1F4D"/>
    <w:rsid w:val="007C210B"/>
    <w:rsid w:val="007C228D"/>
    <w:rsid w:val="007C22EA"/>
    <w:rsid w:val="007C2400"/>
    <w:rsid w:val="007C282C"/>
    <w:rsid w:val="007C2907"/>
    <w:rsid w:val="007C29EC"/>
    <w:rsid w:val="007C2BB8"/>
    <w:rsid w:val="007C2D5A"/>
    <w:rsid w:val="007C2E04"/>
    <w:rsid w:val="007C2EC7"/>
    <w:rsid w:val="007C2EDF"/>
    <w:rsid w:val="007C3216"/>
    <w:rsid w:val="007C337F"/>
    <w:rsid w:val="007C340E"/>
    <w:rsid w:val="007C35DD"/>
    <w:rsid w:val="007C3627"/>
    <w:rsid w:val="007C36A7"/>
    <w:rsid w:val="007C3A1F"/>
    <w:rsid w:val="007C3DFA"/>
    <w:rsid w:val="007C3EEF"/>
    <w:rsid w:val="007C3F37"/>
    <w:rsid w:val="007C3FA4"/>
    <w:rsid w:val="007C46F0"/>
    <w:rsid w:val="007C48DA"/>
    <w:rsid w:val="007C4AC4"/>
    <w:rsid w:val="007C4BCA"/>
    <w:rsid w:val="007C4BEF"/>
    <w:rsid w:val="007C4F64"/>
    <w:rsid w:val="007C4F79"/>
    <w:rsid w:val="007C4FAD"/>
    <w:rsid w:val="007C52A6"/>
    <w:rsid w:val="007C5440"/>
    <w:rsid w:val="007C58CB"/>
    <w:rsid w:val="007C5B34"/>
    <w:rsid w:val="007C5CE9"/>
    <w:rsid w:val="007C5DA0"/>
    <w:rsid w:val="007C5E10"/>
    <w:rsid w:val="007C5E51"/>
    <w:rsid w:val="007C603D"/>
    <w:rsid w:val="007C60BC"/>
    <w:rsid w:val="007C65FB"/>
    <w:rsid w:val="007C6949"/>
    <w:rsid w:val="007C69EE"/>
    <w:rsid w:val="007C69FB"/>
    <w:rsid w:val="007C6D6E"/>
    <w:rsid w:val="007C6DE4"/>
    <w:rsid w:val="007C71F9"/>
    <w:rsid w:val="007C7225"/>
    <w:rsid w:val="007C737D"/>
    <w:rsid w:val="007C7602"/>
    <w:rsid w:val="007C76A2"/>
    <w:rsid w:val="007C7760"/>
    <w:rsid w:val="007C7B35"/>
    <w:rsid w:val="007C7C7C"/>
    <w:rsid w:val="007C7D98"/>
    <w:rsid w:val="007C7E2B"/>
    <w:rsid w:val="007C7EC0"/>
    <w:rsid w:val="007D0043"/>
    <w:rsid w:val="007D0105"/>
    <w:rsid w:val="007D0119"/>
    <w:rsid w:val="007D01B4"/>
    <w:rsid w:val="007D06E9"/>
    <w:rsid w:val="007D0A8A"/>
    <w:rsid w:val="007D0B09"/>
    <w:rsid w:val="007D0B2D"/>
    <w:rsid w:val="007D0B67"/>
    <w:rsid w:val="007D0CA9"/>
    <w:rsid w:val="007D0E81"/>
    <w:rsid w:val="007D1028"/>
    <w:rsid w:val="007D112C"/>
    <w:rsid w:val="007D1249"/>
    <w:rsid w:val="007D1266"/>
    <w:rsid w:val="007D13E2"/>
    <w:rsid w:val="007D1473"/>
    <w:rsid w:val="007D1525"/>
    <w:rsid w:val="007D1664"/>
    <w:rsid w:val="007D16EB"/>
    <w:rsid w:val="007D17DF"/>
    <w:rsid w:val="007D1A4A"/>
    <w:rsid w:val="007D1A9E"/>
    <w:rsid w:val="007D1FC4"/>
    <w:rsid w:val="007D215E"/>
    <w:rsid w:val="007D2195"/>
    <w:rsid w:val="007D2338"/>
    <w:rsid w:val="007D23E5"/>
    <w:rsid w:val="007D244E"/>
    <w:rsid w:val="007D2459"/>
    <w:rsid w:val="007D2461"/>
    <w:rsid w:val="007D26BC"/>
    <w:rsid w:val="007D26DB"/>
    <w:rsid w:val="007D2741"/>
    <w:rsid w:val="007D2849"/>
    <w:rsid w:val="007D2C78"/>
    <w:rsid w:val="007D2F80"/>
    <w:rsid w:val="007D327A"/>
    <w:rsid w:val="007D33F6"/>
    <w:rsid w:val="007D3464"/>
    <w:rsid w:val="007D349B"/>
    <w:rsid w:val="007D37E8"/>
    <w:rsid w:val="007D399E"/>
    <w:rsid w:val="007D3B22"/>
    <w:rsid w:val="007D3CDC"/>
    <w:rsid w:val="007D3CEB"/>
    <w:rsid w:val="007D3DDC"/>
    <w:rsid w:val="007D3E93"/>
    <w:rsid w:val="007D4059"/>
    <w:rsid w:val="007D432B"/>
    <w:rsid w:val="007D4375"/>
    <w:rsid w:val="007D43B0"/>
    <w:rsid w:val="007D4444"/>
    <w:rsid w:val="007D44E1"/>
    <w:rsid w:val="007D4887"/>
    <w:rsid w:val="007D4D0A"/>
    <w:rsid w:val="007D503A"/>
    <w:rsid w:val="007D54D0"/>
    <w:rsid w:val="007D56E6"/>
    <w:rsid w:val="007D5820"/>
    <w:rsid w:val="007D5D22"/>
    <w:rsid w:val="007D5DB2"/>
    <w:rsid w:val="007D5EF3"/>
    <w:rsid w:val="007D5EFC"/>
    <w:rsid w:val="007D6361"/>
    <w:rsid w:val="007D6519"/>
    <w:rsid w:val="007D65EF"/>
    <w:rsid w:val="007D665A"/>
    <w:rsid w:val="007D667C"/>
    <w:rsid w:val="007D671A"/>
    <w:rsid w:val="007D67E3"/>
    <w:rsid w:val="007D6B06"/>
    <w:rsid w:val="007D6F24"/>
    <w:rsid w:val="007D6F7A"/>
    <w:rsid w:val="007D70F1"/>
    <w:rsid w:val="007D71E8"/>
    <w:rsid w:val="007D72DD"/>
    <w:rsid w:val="007D7694"/>
    <w:rsid w:val="007D79B4"/>
    <w:rsid w:val="007D7D0D"/>
    <w:rsid w:val="007D7DA2"/>
    <w:rsid w:val="007D7F6E"/>
    <w:rsid w:val="007E02A8"/>
    <w:rsid w:val="007E04B8"/>
    <w:rsid w:val="007E0632"/>
    <w:rsid w:val="007E06B9"/>
    <w:rsid w:val="007E0715"/>
    <w:rsid w:val="007E074C"/>
    <w:rsid w:val="007E07FA"/>
    <w:rsid w:val="007E0926"/>
    <w:rsid w:val="007E0976"/>
    <w:rsid w:val="007E09F3"/>
    <w:rsid w:val="007E0A42"/>
    <w:rsid w:val="007E0BE6"/>
    <w:rsid w:val="007E0CF0"/>
    <w:rsid w:val="007E0D18"/>
    <w:rsid w:val="007E0F4F"/>
    <w:rsid w:val="007E10DC"/>
    <w:rsid w:val="007E10E5"/>
    <w:rsid w:val="007E1386"/>
    <w:rsid w:val="007E18F4"/>
    <w:rsid w:val="007E197E"/>
    <w:rsid w:val="007E1E09"/>
    <w:rsid w:val="007E21D7"/>
    <w:rsid w:val="007E2481"/>
    <w:rsid w:val="007E27D1"/>
    <w:rsid w:val="007E2B40"/>
    <w:rsid w:val="007E318D"/>
    <w:rsid w:val="007E31F8"/>
    <w:rsid w:val="007E33DC"/>
    <w:rsid w:val="007E3674"/>
    <w:rsid w:val="007E3689"/>
    <w:rsid w:val="007E36BC"/>
    <w:rsid w:val="007E38A6"/>
    <w:rsid w:val="007E3A22"/>
    <w:rsid w:val="007E3B55"/>
    <w:rsid w:val="007E3BC9"/>
    <w:rsid w:val="007E3D88"/>
    <w:rsid w:val="007E44E9"/>
    <w:rsid w:val="007E452B"/>
    <w:rsid w:val="007E4638"/>
    <w:rsid w:val="007E465E"/>
    <w:rsid w:val="007E4714"/>
    <w:rsid w:val="007E4928"/>
    <w:rsid w:val="007E4A7D"/>
    <w:rsid w:val="007E4E59"/>
    <w:rsid w:val="007E5013"/>
    <w:rsid w:val="007E5193"/>
    <w:rsid w:val="007E5212"/>
    <w:rsid w:val="007E52CB"/>
    <w:rsid w:val="007E562E"/>
    <w:rsid w:val="007E59F5"/>
    <w:rsid w:val="007E5E6A"/>
    <w:rsid w:val="007E6011"/>
    <w:rsid w:val="007E6074"/>
    <w:rsid w:val="007E6478"/>
    <w:rsid w:val="007E653E"/>
    <w:rsid w:val="007E67B7"/>
    <w:rsid w:val="007E6E59"/>
    <w:rsid w:val="007E6FFB"/>
    <w:rsid w:val="007E7043"/>
    <w:rsid w:val="007E71A7"/>
    <w:rsid w:val="007E7225"/>
    <w:rsid w:val="007E7283"/>
    <w:rsid w:val="007E731F"/>
    <w:rsid w:val="007E7534"/>
    <w:rsid w:val="007E791D"/>
    <w:rsid w:val="007E7978"/>
    <w:rsid w:val="007E7D0C"/>
    <w:rsid w:val="007E7EAA"/>
    <w:rsid w:val="007E7EBC"/>
    <w:rsid w:val="007F00BD"/>
    <w:rsid w:val="007F019B"/>
    <w:rsid w:val="007F029B"/>
    <w:rsid w:val="007F0459"/>
    <w:rsid w:val="007F0466"/>
    <w:rsid w:val="007F06D0"/>
    <w:rsid w:val="007F094C"/>
    <w:rsid w:val="007F0AA6"/>
    <w:rsid w:val="007F0B73"/>
    <w:rsid w:val="007F0BB1"/>
    <w:rsid w:val="007F0C3E"/>
    <w:rsid w:val="007F0C7C"/>
    <w:rsid w:val="007F0F88"/>
    <w:rsid w:val="007F1214"/>
    <w:rsid w:val="007F14A9"/>
    <w:rsid w:val="007F19A6"/>
    <w:rsid w:val="007F19DF"/>
    <w:rsid w:val="007F1B17"/>
    <w:rsid w:val="007F1D95"/>
    <w:rsid w:val="007F1DB2"/>
    <w:rsid w:val="007F1E38"/>
    <w:rsid w:val="007F1E4A"/>
    <w:rsid w:val="007F1EFA"/>
    <w:rsid w:val="007F22ED"/>
    <w:rsid w:val="007F230D"/>
    <w:rsid w:val="007F2335"/>
    <w:rsid w:val="007F2396"/>
    <w:rsid w:val="007F2555"/>
    <w:rsid w:val="007F26A3"/>
    <w:rsid w:val="007F2734"/>
    <w:rsid w:val="007F2B1C"/>
    <w:rsid w:val="007F2B80"/>
    <w:rsid w:val="007F2D53"/>
    <w:rsid w:val="007F2E04"/>
    <w:rsid w:val="007F2F7F"/>
    <w:rsid w:val="007F3094"/>
    <w:rsid w:val="007F33D4"/>
    <w:rsid w:val="007F34ED"/>
    <w:rsid w:val="007F34F0"/>
    <w:rsid w:val="007F36DA"/>
    <w:rsid w:val="007F37A5"/>
    <w:rsid w:val="007F3848"/>
    <w:rsid w:val="007F38FB"/>
    <w:rsid w:val="007F3BA5"/>
    <w:rsid w:val="007F405A"/>
    <w:rsid w:val="007F408D"/>
    <w:rsid w:val="007F40A1"/>
    <w:rsid w:val="007F42EA"/>
    <w:rsid w:val="007F43C6"/>
    <w:rsid w:val="007F4565"/>
    <w:rsid w:val="007F471A"/>
    <w:rsid w:val="007F4C0B"/>
    <w:rsid w:val="007F5009"/>
    <w:rsid w:val="007F51F0"/>
    <w:rsid w:val="007F52C9"/>
    <w:rsid w:val="007F5308"/>
    <w:rsid w:val="007F5571"/>
    <w:rsid w:val="007F5676"/>
    <w:rsid w:val="007F56C1"/>
    <w:rsid w:val="007F58B3"/>
    <w:rsid w:val="007F58E9"/>
    <w:rsid w:val="007F5B95"/>
    <w:rsid w:val="007F5C3B"/>
    <w:rsid w:val="007F5E0B"/>
    <w:rsid w:val="007F60CA"/>
    <w:rsid w:val="007F61B4"/>
    <w:rsid w:val="007F61F5"/>
    <w:rsid w:val="007F6217"/>
    <w:rsid w:val="007F677A"/>
    <w:rsid w:val="007F6A02"/>
    <w:rsid w:val="007F6A4C"/>
    <w:rsid w:val="007F6AEE"/>
    <w:rsid w:val="007F6B9C"/>
    <w:rsid w:val="007F6F47"/>
    <w:rsid w:val="007F6F87"/>
    <w:rsid w:val="007F74AD"/>
    <w:rsid w:val="007F7790"/>
    <w:rsid w:val="007F793F"/>
    <w:rsid w:val="007F7941"/>
    <w:rsid w:val="007F79E6"/>
    <w:rsid w:val="007F79F3"/>
    <w:rsid w:val="007F7B03"/>
    <w:rsid w:val="007F7C38"/>
    <w:rsid w:val="007F7CD7"/>
    <w:rsid w:val="007F7D68"/>
    <w:rsid w:val="007F7FDF"/>
    <w:rsid w:val="008000E8"/>
    <w:rsid w:val="00800208"/>
    <w:rsid w:val="008002FD"/>
    <w:rsid w:val="00800338"/>
    <w:rsid w:val="00800749"/>
    <w:rsid w:val="00800877"/>
    <w:rsid w:val="00800B8A"/>
    <w:rsid w:val="00800E0F"/>
    <w:rsid w:val="00800E50"/>
    <w:rsid w:val="00800E96"/>
    <w:rsid w:val="00800EDB"/>
    <w:rsid w:val="00800F19"/>
    <w:rsid w:val="008010CC"/>
    <w:rsid w:val="00801349"/>
    <w:rsid w:val="0080143F"/>
    <w:rsid w:val="00801480"/>
    <w:rsid w:val="008014B1"/>
    <w:rsid w:val="00801597"/>
    <w:rsid w:val="00801711"/>
    <w:rsid w:val="008017D2"/>
    <w:rsid w:val="00801840"/>
    <w:rsid w:val="008018CB"/>
    <w:rsid w:val="00801B68"/>
    <w:rsid w:val="00802312"/>
    <w:rsid w:val="00802339"/>
    <w:rsid w:val="0080257B"/>
    <w:rsid w:val="00802580"/>
    <w:rsid w:val="00802884"/>
    <w:rsid w:val="0080290D"/>
    <w:rsid w:val="00802959"/>
    <w:rsid w:val="008030AF"/>
    <w:rsid w:val="008031BF"/>
    <w:rsid w:val="008031F3"/>
    <w:rsid w:val="008034F6"/>
    <w:rsid w:val="008036FA"/>
    <w:rsid w:val="00803B9F"/>
    <w:rsid w:val="00803BD6"/>
    <w:rsid w:val="00803ED5"/>
    <w:rsid w:val="00803FF7"/>
    <w:rsid w:val="008042BA"/>
    <w:rsid w:val="00804555"/>
    <w:rsid w:val="00804663"/>
    <w:rsid w:val="008047E6"/>
    <w:rsid w:val="008048DE"/>
    <w:rsid w:val="0080492F"/>
    <w:rsid w:val="00804A43"/>
    <w:rsid w:val="00804BC2"/>
    <w:rsid w:val="00804F1C"/>
    <w:rsid w:val="00804F3F"/>
    <w:rsid w:val="0080530C"/>
    <w:rsid w:val="00805388"/>
    <w:rsid w:val="008056D1"/>
    <w:rsid w:val="008057C6"/>
    <w:rsid w:val="00805871"/>
    <w:rsid w:val="008058E1"/>
    <w:rsid w:val="0080591E"/>
    <w:rsid w:val="0080592B"/>
    <w:rsid w:val="0080593A"/>
    <w:rsid w:val="00805FBD"/>
    <w:rsid w:val="0080611A"/>
    <w:rsid w:val="00806352"/>
    <w:rsid w:val="00806514"/>
    <w:rsid w:val="00806983"/>
    <w:rsid w:val="00806A73"/>
    <w:rsid w:val="00806B89"/>
    <w:rsid w:val="00806DB6"/>
    <w:rsid w:val="00806E8A"/>
    <w:rsid w:val="0080714B"/>
    <w:rsid w:val="00807520"/>
    <w:rsid w:val="008077CF"/>
    <w:rsid w:val="00807857"/>
    <w:rsid w:val="008079B5"/>
    <w:rsid w:val="008079C1"/>
    <w:rsid w:val="00807A46"/>
    <w:rsid w:val="00807BD4"/>
    <w:rsid w:val="00807FD9"/>
    <w:rsid w:val="00810258"/>
    <w:rsid w:val="0081041E"/>
    <w:rsid w:val="00810496"/>
    <w:rsid w:val="00810519"/>
    <w:rsid w:val="00810A63"/>
    <w:rsid w:val="00810B7A"/>
    <w:rsid w:val="00810DDF"/>
    <w:rsid w:val="00810EB9"/>
    <w:rsid w:val="008111C4"/>
    <w:rsid w:val="008112B1"/>
    <w:rsid w:val="008112C0"/>
    <w:rsid w:val="00811354"/>
    <w:rsid w:val="0081185E"/>
    <w:rsid w:val="00811A61"/>
    <w:rsid w:val="00811B2F"/>
    <w:rsid w:val="00811C0D"/>
    <w:rsid w:val="00811E8F"/>
    <w:rsid w:val="0081200C"/>
    <w:rsid w:val="00812073"/>
    <w:rsid w:val="008121BC"/>
    <w:rsid w:val="008122AB"/>
    <w:rsid w:val="008124BF"/>
    <w:rsid w:val="00812614"/>
    <w:rsid w:val="00812659"/>
    <w:rsid w:val="00812A61"/>
    <w:rsid w:val="00812A73"/>
    <w:rsid w:val="00812C7D"/>
    <w:rsid w:val="00812E7A"/>
    <w:rsid w:val="00812F2E"/>
    <w:rsid w:val="00812FDF"/>
    <w:rsid w:val="008130B1"/>
    <w:rsid w:val="00813446"/>
    <w:rsid w:val="00813579"/>
    <w:rsid w:val="00813688"/>
    <w:rsid w:val="0081374D"/>
    <w:rsid w:val="008139BB"/>
    <w:rsid w:val="00813A02"/>
    <w:rsid w:val="00813AC0"/>
    <w:rsid w:val="00813EBC"/>
    <w:rsid w:val="008140F1"/>
    <w:rsid w:val="008142F3"/>
    <w:rsid w:val="008143A9"/>
    <w:rsid w:val="008145F2"/>
    <w:rsid w:val="008146D0"/>
    <w:rsid w:val="00814724"/>
    <w:rsid w:val="008148E9"/>
    <w:rsid w:val="00814A2E"/>
    <w:rsid w:val="00814A51"/>
    <w:rsid w:val="00814C26"/>
    <w:rsid w:val="00814DF7"/>
    <w:rsid w:val="00814EB1"/>
    <w:rsid w:val="00815035"/>
    <w:rsid w:val="008152EE"/>
    <w:rsid w:val="00815684"/>
    <w:rsid w:val="00815729"/>
    <w:rsid w:val="008157C6"/>
    <w:rsid w:val="0081582E"/>
    <w:rsid w:val="008158DA"/>
    <w:rsid w:val="0081595A"/>
    <w:rsid w:val="00815ACF"/>
    <w:rsid w:val="00815C6E"/>
    <w:rsid w:val="00816139"/>
    <w:rsid w:val="00816165"/>
    <w:rsid w:val="008161FC"/>
    <w:rsid w:val="00816368"/>
    <w:rsid w:val="0081684D"/>
    <w:rsid w:val="00816DE0"/>
    <w:rsid w:val="00817190"/>
    <w:rsid w:val="00817312"/>
    <w:rsid w:val="00817316"/>
    <w:rsid w:val="00817318"/>
    <w:rsid w:val="0081732B"/>
    <w:rsid w:val="00817363"/>
    <w:rsid w:val="00817365"/>
    <w:rsid w:val="00817449"/>
    <w:rsid w:val="008179CC"/>
    <w:rsid w:val="00817A3F"/>
    <w:rsid w:val="0082005A"/>
    <w:rsid w:val="00820111"/>
    <w:rsid w:val="008207C5"/>
    <w:rsid w:val="00820807"/>
    <w:rsid w:val="00820880"/>
    <w:rsid w:val="008209A9"/>
    <w:rsid w:val="00820AEB"/>
    <w:rsid w:val="00820E39"/>
    <w:rsid w:val="00820EA5"/>
    <w:rsid w:val="00820F13"/>
    <w:rsid w:val="00820F36"/>
    <w:rsid w:val="00820FEF"/>
    <w:rsid w:val="00821216"/>
    <w:rsid w:val="0082142C"/>
    <w:rsid w:val="00821572"/>
    <w:rsid w:val="008215B1"/>
    <w:rsid w:val="00821663"/>
    <w:rsid w:val="00821699"/>
    <w:rsid w:val="00821736"/>
    <w:rsid w:val="008217EF"/>
    <w:rsid w:val="0082181B"/>
    <w:rsid w:val="00821994"/>
    <w:rsid w:val="00821AB4"/>
    <w:rsid w:val="00821D58"/>
    <w:rsid w:val="00821E09"/>
    <w:rsid w:val="00821E71"/>
    <w:rsid w:val="00821F6A"/>
    <w:rsid w:val="00821F89"/>
    <w:rsid w:val="00821FBC"/>
    <w:rsid w:val="00822103"/>
    <w:rsid w:val="00822174"/>
    <w:rsid w:val="00822218"/>
    <w:rsid w:val="008222C8"/>
    <w:rsid w:val="0082237C"/>
    <w:rsid w:val="00822390"/>
    <w:rsid w:val="008224E5"/>
    <w:rsid w:val="00822637"/>
    <w:rsid w:val="00822734"/>
    <w:rsid w:val="0082277D"/>
    <w:rsid w:val="00822861"/>
    <w:rsid w:val="00822875"/>
    <w:rsid w:val="00822F51"/>
    <w:rsid w:val="00822FF0"/>
    <w:rsid w:val="008230B5"/>
    <w:rsid w:val="00823129"/>
    <w:rsid w:val="00823155"/>
    <w:rsid w:val="00823215"/>
    <w:rsid w:val="008234CB"/>
    <w:rsid w:val="0082395F"/>
    <w:rsid w:val="00823B41"/>
    <w:rsid w:val="00823DAB"/>
    <w:rsid w:val="00823ED0"/>
    <w:rsid w:val="008241C4"/>
    <w:rsid w:val="008244DE"/>
    <w:rsid w:val="00824577"/>
    <w:rsid w:val="008247FB"/>
    <w:rsid w:val="0082483C"/>
    <w:rsid w:val="00824A60"/>
    <w:rsid w:val="00824AA2"/>
    <w:rsid w:val="00824AC4"/>
    <w:rsid w:val="00824B95"/>
    <w:rsid w:val="00824C0E"/>
    <w:rsid w:val="00824E0F"/>
    <w:rsid w:val="0082511F"/>
    <w:rsid w:val="008251DA"/>
    <w:rsid w:val="008252B2"/>
    <w:rsid w:val="008253AF"/>
    <w:rsid w:val="008254D4"/>
    <w:rsid w:val="00825A6A"/>
    <w:rsid w:val="00825DF3"/>
    <w:rsid w:val="00825E0D"/>
    <w:rsid w:val="00825E16"/>
    <w:rsid w:val="00825E35"/>
    <w:rsid w:val="00825EC4"/>
    <w:rsid w:val="0082609F"/>
    <w:rsid w:val="00826151"/>
    <w:rsid w:val="0082667E"/>
    <w:rsid w:val="0082668A"/>
    <w:rsid w:val="0082682F"/>
    <w:rsid w:val="00826E3B"/>
    <w:rsid w:val="00826E49"/>
    <w:rsid w:val="00826ED8"/>
    <w:rsid w:val="008271C3"/>
    <w:rsid w:val="008271CA"/>
    <w:rsid w:val="0082728B"/>
    <w:rsid w:val="008272AA"/>
    <w:rsid w:val="008272B4"/>
    <w:rsid w:val="0082732E"/>
    <w:rsid w:val="0082752F"/>
    <w:rsid w:val="00827661"/>
    <w:rsid w:val="008278CF"/>
    <w:rsid w:val="008278E5"/>
    <w:rsid w:val="00827C8B"/>
    <w:rsid w:val="00827CEB"/>
    <w:rsid w:val="00827EB4"/>
    <w:rsid w:val="0083008B"/>
    <w:rsid w:val="00830115"/>
    <w:rsid w:val="008306F7"/>
    <w:rsid w:val="00830721"/>
    <w:rsid w:val="00830810"/>
    <w:rsid w:val="00830989"/>
    <w:rsid w:val="00830A09"/>
    <w:rsid w:val="00830C25"/>
    <w:rsid w:val="00830CD0"/>
    <w:rsid w:val="00830E4A"/>
    <w:rsid w:val="00830E57"/>
    <w:rsid w:val="0083120B"/>
    <w:rsid w:val="00831386"/>
    <w:rsid w:val="00831819"/>
    <w:rsid w:val="0083198E"/>
    <w:rsid w:val="00831D91"/>
    <w:rsid w:val="00832066"/>
    <w:rsid w:val="00832417"/>
    <w:rsid w:val="0083256D"/>
    <w:rsid w:val="00832694"/>
    <w:rsid w:val="00832784"/>
    <w:rsid w:val="0083279F"/>
    <w:rsid w:val="00832872"/>
    <w:rsid w:val="008328D9"/>
    <w:rsid w:val="008328DF"/>
    <w:rsid w:val="008328F3"/>
    <w:rsid w:val="00832A2A"/>
    <w:rsid w:val="00832A6B"/>
    <w:rsid w:val="00832BF1"/>
    <w:rsid w:val="00832C04"/>
    <w:rsid w:val="00832C42"/>
    <w:rsid w:val="0083337C"/>
    <w:rsid w:val="008334A0"/>
    <w:rsid w:val="0083374A"/>
    <w:rsid w:val="008337AB"/>
    <w:rsid w:val="008337CF"/>
    <w:rsid w:val="008339C2"/>
    <w:rsid w:val="00833A4B"/>
    <w:rsid w:val="00833BED"/>
    <w:rsid w:val="00833EE2"/>
    <w:rsid w:val="00833EEB"/>
    <w:rsid w:val="00834166"/>
    <w:rsid w:val="008341E4"/>
    <w:rsid w:val="008341ED"/>
    <w:rsid w:val="008342BD"/>
    <w:rsid w:val="00834370"/>
    <w:rsid w:val="00834443"/>
    <w:rsid w:val="00834475"/>
    <w:rsid w:val="008344D8"/>
    <w:rsid w:val="008345DE"/>
    <w:rsid w:val="0083473A"/>
    <w:rsid w:val="00834926"/>
    <w:rsid w:val="00834BA2"/>
    <w:rsid w:val="00834C1E"/>
    <w:rsid w:val="00834CCA"/>
    <w:rsid w:val="00834F9F"/>
    <w:rsid w:val="008350E6"/>
    <w:rsid w:val="0083576B"/>
    <w:rsid w:val="00835846"/>
    <w:rsid w:val="00835952"/>
    <w:rsid w:val="00835A95"/>
    <w:rsid w:val="00835AF4"/>
    <w:rsid w:val="00835C65"/>
    <w:rsid w:val="00835C7D"/>
    <w:rsid w:val="00835DB4"/>
    <w:rsid w:val="00835DD0"/>
    <w:rsid w:val="00835DE7"/>
    <w:rsid w:val="00836305"/>
    <w:rsid w:val="0083631F"/>
    <w:rsid w:val="00836402"/>
    <w:rsid w:val="0083667B"/>
    <w:rsid w:val="00836751"/>
    <w:rsid w:val="00836759"/>
    <w:rsid w:val="0083693A"/>
    <w:rsid w:val="00836C6A"/>
    <w:rsid w:val="00836F23"/>
    <w:rsid w:val="00837330"/>
    <w:rsid w:val="008374D8"/>
    <w:rsid w:val="00837570"/>
    <w:rsid w:val="00837A02"/>
    <w:rsid w:val="00837B5A"/>
    <w:rsid w:val="0084020D"/>
    <w:rsid w:val="00840329"/>
    <w:rsid w:val="00840968"/>
    <w:rsid w:val="008409C2"/>
    <w:rsid w:val="00840DF6"/>
    <w:rsid w:val="0084104C"/>
    <w:rsid w:val="00841066"/>
    <w:rsid w:val="008410F4"/>
    <w:rsid w:val="00841199"/>
    <w:rsid w:val="00841367"/>
    <w:rsid w:val="008413F0"/>
    <w:rsid w:val="00841552"/>
    <w:rsid w:val="008417ED"/>
    <w:rsid w:val="00841A58"/>
    <w:rsid w:val="00841AB7"/>
    <w:rsid w:val="00841D41"/>
    <w:rsid w:val="0084209D"/>
    <w:rsid w:val="00842380"/>
    <w:rsid w:val="008423FE"/>
    <w:rsid w:val="00842471"/>
    <w:rsid w:val="00842977"/>
    <w:rsid w:val="00842B73"/>
    <w:rsid w:val="00843046"/>
    <w:rsid w:val="00843175"/>
    <w:rsid w:val="00843390"/>
    <w:rsid w:val="008436CB"/>
    <w:rsid w:val="00843835"/>
    <w:rsid w:val="008439A5"/>
    <w:rsid w:val="008439C3"/>
    <w:rsid w:val="00843B9D"/>
    <w:rsid w:val="00843BAE"/>
    <w:rsid w:val="00843C06"/>
    <w:rsid w:val="00843D04"/>
    <w:rsid w:val="00843DFC"/>
    <w:rsid w:val="00843E5F"/>
    <w:rsid w:val="00843FFB"/>
    <w:rsid w:val="0084401B"/>
    <w:rsid w:val="00844050"/>
    <w:rsid w:val="008440D9"/>
    <w:rsid w:val="00844358"/>
    <w:rsid w:val="00844508"/>
    <w:rsid w:val="00844514"/>
    <w:rsid w:val="00844567"/>
    <w:rsid w:val="008445AD"/>
    <w:rsid w:val="008445FF"/>
    <w:rsid w:val="00844699"/>
    <w:rsid w:val="00844AE3"/>
    <w:rsid w:val="00844D36"/>
    <w:rsid w:val="00844DA7"/>
    <w:rsid w:val="008450B3"/>
    <w:rsid w:val="00845282"/>
    <w:rsid w:val="0084550E"/>
    <w:rsid w:val="0084569C"/>
    <w:rsid w:val="0084572C"/>
    <w:rsid w:val="0084589A"/>
    <w:rsid w:val="0084597A"/>
    <w:rsid w:val="00845D4B"/>
    <w:rsid w:val="00845E25"/>
    <w:rsid w:val="00846161"/>
    <w:rsid w:val="008461C5"/>
    <w:rsid w:val="008462C3"/>
    <w:rsid w:val="008463E1"/>
    <w:rsid w:val="00846597"/>
    <w:rsid w:val="00846AD6"/>
    <w:rsid w:val="00846B48"/>
    <w:rsid w:val="00846B9A"/>
    <w:rsid w:val="00846BC9"/>
    <w:rsid w:val="00847101"/>
    <w:rsid w:val="008474A2"/>
    <w:rsid w:val="00847573"/>
    <w:rsid w:val="008475BF"/>
    <w:rsid w:val="008476BD"/>
    <w:rsid w:val="008476EA"/>
    <w:rsid w:val="0084789A"/>
    <w:rsid w:val="00847D86"/>
    <w:rsid w:val="00847F6F"/>
    <w:rsid w:val="00850049"/>
    <w:rsid w:val="00850092"/>
    <w:rsid w:val="0085010E"/>
    <w:rsid w:val="0085036C"/>
    <w:rsid w:val="0085073B"/>
    <w:rsid w:val="008509C9"/>
    <w:rsid w:val="00850B74"/>
    <w:rsid w:val="00850C16"/>
    <w:rsid w:val="00850FB8"/>
    <w:rsid w:val="008510AB"/>
    <w:rsid w:val="0085131E"/>
    <w:rsid w:val="008516F7"/>
    <w:rsid w:val="00851756"/>
    <w:rsid w:val="00851B4C"/>
    <w:rsid w:val="00851DB7"/>
    <w:rsid w:val="00851FB9"/>
    <w:rsid w:val="00852170"/>
    <w:rsid w:val="008521CB"/>
    <w:rsid w:val="00852381"/>
    <w:rsid w:val="008526C0"/>
    <w:rsid w:val="0085287B"/>
    <w:rsid w:val="008528B5"/>
    <w:rsid w:val="00852903"/>
    <w:rsid w:val="0085295A"/>
    <w:rsid w:val="00852B66"/>
    <w:rsid w:val="00852BAC"/>
    <w:rsid w:val="00852CE0"/>
    <w:rsid w:val="00852DF4"/>
    <w:rsid w:val="00852F76"/>
    <w:rsid w:val="008530C5"/>
    <w:rsid w:val="00853100"/>
    <w:rsid w:val="008531BD"/>
    <w:rsid w:val="00853215"/>
    <w:rsid w:val="008534FB"/>
    <w:rsid w:val="0085351C"/>
    <w:rsid w:val="00853792"/>
    <w:rsid w:val="008539C7"/>
    <w:rsid w:val="00853A65"/>
    <w:rsid w:val="00853A8D"/>
    <w:rsid w:val="00853ADD"/>
    <w:rsid w:val="00853D32"/>
    <w:rsid w:val="00853D77"/>
    <w:rsid w:val="00853DA1"/>
    <w:rsid w:val="00853E72"/>
    <w:rsid w:val="00854030"/>
    <w:rsid w:val="008540DD"/>
    <w:rsid w:val="008541CA"/>
    <w:rsid w:val="008542D7"/>
    <w:rsid w:val="00854428"/>
    <w:rsid w:val="00854481"/>
    <w:rsid w:val="00854532"/>
    <w:rsid w:val="00854627"/>
    <w:rsid w:val="0085466C"/>
    <w:rsid w:val="00854824"/>
    <w:rsid w:val="0085489A"/>
    <w:rsid w:val="00854955"/>
    <w:rsid w:val="0085497C"/>
    <w:rsid w:val="008549F2"/>
    <w:rsid w:val="00854D25"/>
    <w:rsid w:val="00854E72"/>
    <w:rsid w:val="00854FD2"/>
    <w:rsid w:val="00854FD4"/>
    <w:rsid w:val="00854FED"/>
    <w:rsid w:val="00855118"/>
    <w:rsid w:val="008554FC"/>
    <w:rsid w:val="008556A8"/>
    <w:rsid w:val="00855728"/>
    <w:rsid w:val="0085597A"/>
    <w:rsid w:val="00855981"/>
    <w:rsid w:val="008559CC"/>
    <w:rsid w:val="008559FA"/>
    <w:rsid w:val="00855A19"/>
    <w:rsid w:val="00855A8E"/>
    <w:rsid w:val="00855BB0"/>
    <w:rsid w:val="00855BBA"/>
    <w:rsid w:val="00855C7F"/>
    <w:rsid w:val="00855F39"/>
    <w:rsid w:val="0085604C"/>
    <w:rsid w:val="0085618A"/>
    <w:rsid w:val="0085635D"/>
    <w:rsid w:val="00856366"/>
    <w:rsid w:val="00856447"/>
    <w:rsid w:val="00856471"/>
    <w:rsid w:val="008564A8"/>
    <w:rsid w:val="008564C1"/>
    <w:rsid w:val="008565CB"/>
    <w:rsid w:val="00856A5D"/>
    <w:rsid w:val="00856DEA"/>
    <w:rsid w:val="00856F36"/>
    <w:rsid w:val="00856FF6"/>
    <w:rsid w:val="00857173"/>
    <w:rsid w:val="00857324"/>
    <w:rsid w:val="0085743F"/>
    <w:rsid w:val="008574EF"/>
    <w:rsid w:val="0085750E"/>
    <w:rsid w:val="00857A25"/>
    <w:rsid w:val="00857AFF"/>
    <w:rsid w:val="00857B49"/>
    <w:rsid w:val="00857BED"/>
    <w:rsid w:val="00857BF5"/>
    <w:rsid w:val="00857E7C"/>
    <w:rsid w:val="00857F16"/>
    <w:rsid w:val="008601D7"/>
    <w:rsid w:val="008602BD"/>
    <w:rsid w:val="008603A9"/>
    <w:rsid w:val="008603E7"/>
    <w:rsid w:val="0086085D"/>
    <w:rsid w:val="00860928"/>
    <w:rsid w:val="00860A83"/>
    <w:rsid w:val="00860D08"/>
    <w:rsid w:val="00860E82"/>
    <w:rsid w:val="00860EB8"/>
    <w:rsid w:val="008611C6"/>
    <w:rsid w:val="00861251"/>
    <w:rsid w:val="008612F0"/>
    <w:rsid w:val="00861370"/>
    <w:rsid w:val="008613B1"/>
    <w:rsid w:val="00861B20"/>
    <w:rsid w:val="00861FB2"/>
    <w:rsid w:val="00862297"/>
    <w:rsid w:val="0086232A"/>
    <w:rsid w:val="008624D8"/>
    <w:rsid w:val="008625BB"/>
    <w:rsid w:val="008629B8"/>
    <w:rsid w:val="00862A1E"/>
    <w:rsid w:val="00862A4C"/>
    <w:rsid w:val="00862A59"/>
    <w:rsid w:val="00862DD5"/>
    <w:rsid w:val="00863009"/>
    <w:rsid w:val="0086307D"/>
    <w:rsid w:val="00863143"/>
    <w:rsid w:val="008633BF"/>
    <w:rsid w:val="00863674"/>
    <w:rsid w:val="008636E8"/>
    <w:rsid w:val="00863863"/>
    <w:rsid w:val="00863A9F"/>
    <w:rsid w:val="00863B12"/>
    <w:rsid w:val="00863B2C"/>
    <w:rsid w:val="00863B77"/>
    <w:rsid w:val="00863B99"/>
    <w:rsid w:val="00863CA0"/>
    <w:rsid w:val="00863D22"/>
    <w:rsid w:val="00863E83"/>
    <w:rsid w:val="00863ECD"/>
    <w:rsid w:val="00863ED5"/>
    <w:rsid w:val="00863F07"/>
    <w:rsid w:val="00863FFA"/>
    <w:rsid w:val="00864043"/>
    <w:rsid w:val="008641D0"/>
    <w:rsid w:val="0086428F"/>
    <w:rsid w:val="008645E0"/>
    <w:rsid w:val="00864816"/>
    <w:rsid w:val="0086482A"/>
    <w:rsid w:val="00864999"/>
    <w:rsid w:val="008649CE"/>
    <w:rsid w:val="00864AF3"/>
    <w:rsid w:val="00864B14"/>
    <w:rsid w:val="00864D4A"/>
    <w:rsid w:val="008652A4"/>
    <w:rsid w:val="00865521"/>
    <w:rsid w:val="008656D3"/>
    <w:rsid w:val="00865A56"/>
    <w:rsid w:val="00865BDB"/>
    <w:rsid w:val="00865DE1"/>
    <w:rsid w:val="00865EDD"/>
    <w:rsid w:val="0086605B"/>
    <w:rsid w:val="008660AA"/>
    <w:rsid w:val="00866324"/>
    <w:rsid w:val="00866B54"/>
    <w:rsid w:val="00866C3A"/>
    <w:rsid w:val="00866DAD"/>
    <w:rsid w:val="00866FAA"/>
    <w:rsid w:val="00867084"/>
    <w:rsid w:val="008671A0"/>
    <w:rsid w:val="008672F2"/>
    <w:rsid w:val="00867556"/>
    <w:rsid w:val="00867802"/>
    <w:rsid w:val="00867841"/>
    <w:rsid w:val="00867A41"/>
    <w:rsid w:val="00867B25"/>
    <w:rsid w:val="00867B45"/>
    <w:rsid w:val="00867D7C"/>
    <w:rsid w:val="00867E7E"/>
    <w:rsid w:val="00867FBA"/>
    <w:rsid w:val="00870017"/>
    <w:rsid w:val="008701C9"/>
    <w:rsid w:val="008701EF"/>
    <w:rsid w:val="00870264"/>
    <w:rsid w:val="008702C3"/>
    <w:rsid w:val="0087037B"/>
    <w:rsid w:val="008703B8"/>
    <w:rsid w:val="0087044D"/>
    <w:rsid w:val="008705A1"/>
    <w:rsid w:val="008707FD"/>
    <w:rsid w:val="00870960"/>
    <w:rsid w:val="00870972"/>
    <w:rsid w:val="00870A0C"/>
    <w:rsid w:val="00870A85"/>
    <w:rsid w:val="00870BFC"/>
    <w:rsid w:val="00870DBE"/>
    <w:rsid w:val="00870DD0"/>
    <w:rsid w:val="00871192"/>
    <w:rsid w:val="00871700"/>
    <w:rsid w:val="0087181F"/>
    <w:rsid w:val="008718AA"/>
    <w:rsid w:val="008718BB"/>
    <w:rsid w:val="00871A57"/>
    <w:rsid w:val="00871B2D"/>
    <w:rsid w:val="00871B5D"/>
    <w:rsid w:val="00871C63"/>
    <w:rsid w:val="00871CC2"/>
    <w:rsid w:val="00871CED"/>
    <w:rsid w:val="00871D49"/>
    <w:rsid w:val="00871DAC"/>
    <w:rsid w:val="00871FAF"/>
    <w:rsid w:val="00872018"/>
    <w:rsid w:val="008721AD"/>
    <w:rsid w:val="008726AC"/>
    <w:rsid w:val="00872841"/>
    <w:rsid w:val="00872ACC"/>
    <w:rsid w:val="00872E56"/>
    <w:rsid w:val="00873621"/>
    <w:rsid w:val="0087368A"/>
    <w:rsid w:val="008738D6"/>
    <w:rsid w:val="00873B87"/>
    <w:rsid w:val="00873C69"/>
    <w:rsid w:val="00873C89"/>
    <w:rsid w:val="00873DA9"/>
    <w:rsid w:val="00873F6C"/>
    <w:rsid w:val="00873FC0"/>
    <w:rsid w:val="0087407C"/>
    <w:rsid w:val="00874179"/>
    <w:rsid w:val="008742A1"/>
    <w:rsid w:val="00874458"/>
    <w:rsid w:val="00874891"/>
    <w:rsid w:val="00874C3B"/>
    <w:rsid w:val="00874DF7"/>
    <w:rsid w:val="008751EE"/>
    <w:rsid w:val="0087520C"/>
    <w:rsid w:val="0087527A"/>
    <w:rsid w:val="008756AB"/>
    <w:rsid w:val="008756C7"/>
    <w:rsid w:val="00875816"/>
    <w:rsid w:val="0087593B"/>
    <w:rsid w:val="00875BAB"/>
    <w:rsid w:val="00875BC5"/>
    <w:rsid w:val="00875D34"/>
    <w:rsid w:val="00875D6C"/>
    <w:rsid w:val="00875F74"/>
    <w:rsid w:val="0087601C"/>
    <w:rsid w:val="00876662"/>
    <w:rsid w:val="008766CE"/>
    <w:rsid w:val="00876C2D"/>
    <w:rsid w:val="00876F14"/>
    <w:rsid w:val="00876F90"/>
    <w:rsid w:val="00877066"/>
    <w:rsid w:val="008770A9"/>
    <w:rsid w:val="008771A8"/>
    <w:rsid w:val="008771C5"/>
    <w:rsid w:val="0087720E"/>
    <w:rsid w:val="00877243"/>
    <w:rsid w:val="008773A1"/>
    <w:rsid w:val="00877488"/>
    <w:rsid w:val="00877751"/>
    <w:rsid w:val="00877B3C"/>
    <w:rsid w:val="00877C28"/>
    <w:rsid w:val="00877CE2"/>
    <w:rsid w:val="008800E3"/>
    <w:rsid w:val="00880135"/>
    <w:rsid w:val="00880339"/>
    <w:rsid w:val="00880398"/>
    <w:rsid w:val="00880610"/>
    <w:rsid w:val="0088098A"/>
    <w:rsid w:val="008809D0"/>
    <w:rsid w:val="00880A1D"/>
    <w:rsid w:val="00880B35"/>
    <w:rsid w:val="00880C64"/>
    <w:rsid w:val="00880D79"/>
    <w:rsid w:val="00880DE7"/>
    <w:rsid w:val="00880F31"/>
    <w:rsid w:val="00880FB8"/>
    <w:rsid w:val="0088109A"/>
    <w:rsid w:val="00881127"/>
    <w:rsid w:val="00881265"/>
    <w:rsid w:val="008816AC"/>
    <w:rsid w:val="00881ACC"/>
    <w:rsid w:val="00881CAB"/>
    <w:rsid w:val="00881EC0"/>
    <w:rsid w:val="00881F42"/>
    <w:rsid w:val="008820F7"/>
    <w:rsid w:val="00882265"/>
    <w:rsid w:val="00882373"/>
    <w:rsid w:val="008823AB"/>
    <w:rsid w:val="00882604"/>
    <w:rsid w:val="00882866"/>
    <w:rsid w:val="008828BF"/>
    <w:rsid w:val="008828E6"/>
    <w:rsid w:val="008829A9"/>
    <w:rsid w:val="00882B74"/>
    <w:rsid w:val="00882C82"/>
    <w:rsid w:val="00882CA5"/>
    <w:rsid w:val="00882CB7"/>
    <w:rsid w:val="00882D24"/>
    <w:rsid w:val="00882DAE"/>
    <w:rsid w:val="00882F48"/>
    <w:rsid w:val="00882F56"/>
    <w:rsid w:val="00882F69"/>
    <w:rsid w:val="008833BB"/>
    <w:rsid w:val="00883480"/>
    <w:rsid w:val="00883524"/>
    <w:rsid w:val="0088366E"/>
    <w:rsid w:val="008836FB"/>
    <w:rsid w:val="008837A1"/>
    <w:rsid w:val="008837F5"/>
    <w:rsid w:val="00883A52"/>
    <w:rsid w:val="00883BA3"/>
    <w:rsid w:val="00883F3D"/>
    <w:rsid w:val="00884304"/>
    <w:rsid w:val="00884339"/>
    <w:rsid w:val="00884539"/>
    <w:rsid w:val="008845E6"/>
    <w:rsid w:val="0088485B"/>
    <w:rsid w:val="00884932"/>
    <w:rsid w:val="0088497B"/>
    <w:rsid w:val="008849FD"/>
    <w:rsid w:val="00884ADC"/>
    <w:rsid w:val="00884B78"/>
    <w:rsid w:val="00884CCB"/>
    <w:rsid w:val="00884D60"/>
    <w:rsid w:val="00884EA4"/>
    <w:rsid w:val="00885059"/>
    <w:rsid w:val="008853F3"/>
    <w:rsid w:val="0088572B"/>
    <w:rsid w:val="00885798"/>
    <w:rsid w:val="008857F1"/>
    <w:rsid w:val="008859A5"/>
    <w:rsid w:val="00885CF9"/>
    <w:rsid w:val="00885D82"/>
    <w:rsid w:val="00885DC7"/>
    <w:rsid w:val="00885E08"/>
    <w:rsid w:val="0088600B"/>
    <w:rsid w:val="008860A2"/>
    <w:rsid w:val="008860E0"/>
    <w:rsid w:val="008861FA"/>
    <w:rsid w:val="00886253"/>
    <w:rsid w:val="0088633D"/>
    <w:rsid w:val="0088659E"/>
    <w:rsid w:val="0088666B"/>
    <w:rsid w:val="008869EC"/>
    <w:rsid w:val="00886A59"/>
    <w:rsid w:val="00886C70"/>
    <w:rsid w:val="0088727A"/>
    <w:rsid w:val="00887379"/>
    <w:rsid w:val="0088767D"/>
    <w:rsid w:val="00887743"/>
    <w:rsid w:val="0088790B"/>
    <w:rsid w:val="00887BF3"/>
    <w:rsid w:val="00887C63"/>
    <w:rsid w:val="00887D3F"/>
    <w:rsid w:val="00887E5D"/>
    <w:rsid w:val="00887E8C"/>
    <w:rsid w:val="00887F06"/>
    <w:rsid w:val="00887F25"/>
    <w:rsid w:val="00887FB7"/>
    <w:rsid w:val="00890430"/>
    <w:rsid w:val="00890493"/>
    <w:rsid w:val="00890A89"/>
    <w:rsid w:val="00890B54"/>
    <w:rsid w:val="00890C04"/>
    <w:rsid w:val="00890D80"/>
    <w:rsid w:val="00890E03"/>
    <w:rsid w:val="00890EBF"/>
    <w:rsid w:val="00890F8C"/>
    <w:rsid w:val="00891097"/>
    <w:rsid w:val="008910D5"/>
    <w:rsid w:val="00891114"/>
    <w:rsid w:val="008911E2"/>
    <w:rsid w:val="00891341"/>
    <w:rsid w:val="0089137C"/>
    <w:rsid w:val="00891411"/>
    <w:rsid w:val="008914DC"/>
    <w:rsid w:val="0089167D"/>
    <w:rsid w:val="00891725"/>
    <w:rsid w:val="008917AD"/>
    <w:rsid w:val="008917BD"/>
    <w:rsid w:val="00891864"/>
    <w:rsid w:val="00891884"/>
    <w:rsid w:val="008918C3"/>
    <w:rsid w:val="00891921"/>
    <w:rsid w:val="008919EE"/>
    <w:rsid w:val="00891A77"/>
    <w:rsid w:val="00891B92"/>
    <w:rsid w:val="00891CB4"/>
    <w:rsid w:val="00891D22"/>
    <w:rsid w:val="00892137"/>
    <w:rsid w:val="00892234"/>
    <w:rsid w:val="008923A2"/>
    <w:rsid w:val="008923D4"/>
    <w:rsid w:val="008926FE"/>
    <w:rsid w:val="00892B0E"/>
    <w:rsid w:val="00892CD4"/>
    <w:rsid w:val="00892CEF"/>
    <w:rsid w:val="00893003"/>
    <w:rsid w:val="0089309C"/>
    <w:rsid w:val="008930BE"/>
    <w:rsid w:val="00893352"/>
    <w:rsid w:val="008933D9"/>
    <w:rsid w:val="008939F2"/>
    <w:rsid w:val="00893A8C"/>
    <w:rsid w:val="00893B19"/>
    <w:rsid w:val="00893B84"/>
    <w:rsid w:val="00893BC5"/>
    <w:rsid w:val="00893E4F"/>
    <w:rsid w:val="00894074"/>
    <w:rsid w:val="008940C4"/>
    <w:rsid w:val="008943B5"/>
    <w:rsid w:val="008943B6"/>
    <w:rsid w:val="0089450D"/>
    <w:rsid w:val="00894566"/>
    <w:rsid w:val="008945AA"/>
    <w:rsid w:val="00894FD9"/>
    <w:rsid w:val="008950A7"/>
    <w:rsid w:val="00895285"/>
    <w:rsid w:val="008958E2"/>
    <w:rsid w:val="00895912"/>
    <w:rsid w:val="00895A50"/>
    <w:rsid w:val="00895BEE"/>
    <w:rsid w:val="00895D7B"/>
    <w:rsid w:val="00895E3B"/>
    <w:rsid w:val="00895E5D"/>
    <w:rsid w:val="00895E8A"/>
    <w:rsid w:val="00895EAF"/>
    <w:rsid w:val="00896024"/>
    <w:rsid w:val="008960C6"/>
    <w:rsid w:val="00896269"/>
    <w:rsid w:val="00896726"/>
    <w:rsid w:val="00896872"/>
    <w:rsid w:val="0089695A"/>
    <w:rsid w:val="00896A0F"/>
    <w:rsid w:val="00896B2D"/>
    <w:rsid w:val="00896C8F"/>
    <w:rsid w:val="00896DA2"/>
    <w:rsid w:val="00896DCD"/>
    <w:rsid w:val="00896E87"/>
    <w:rsid w:val="008970F0"/>
    <w:rsid w:val="00897243"/>
    <w:rsid w:val="00897265"/>
    <w:rsid w:val="00897357"/>
    <w:rsid w:val="0089741F"/>
    <w:rsid w:val="00897468"/>
    <w:rsid w:val="0089755B"/>
    <w:rsid w:val="008975FD"/>
    <w:rsid w:val="00897667"/>
    <w:rsid w:val="00897755"/>
    <w:rsid w:val="00897891"/>
    <w:rsid w:val="00897A6E"/>
    <w:rsid w:val="00897B28"/>
    <w:rsid w:val="00897C74"/>
    <w:rsid w:val="00897EF6"/>
    <w:rsid w:val="008A0003"/>
    <w:rsid w:val="008A015E"/>
    <w:rsid w:val="008A0253"/>
    <w:rsid w:val="008A0487"/>
    <w:rsid w:val="008A0534"/>
    <w:rsid w:val="008A054C"/>
    <w:rsid w:val="008A0583"/>
    <w:rsid w:val="008A0747"/>
    <w:rsid w:val="008A07B1"/>
    <w:rsid w:val="008A0837"/>
    <w:rsid w:val="008A0CED"/>
    <w:rsid w:val="008A0F85"/>
    <w:rsid w:val="008A1106"/>
    <w:rsid w:val="008A1483"/>
    <w:rsid w:val="008A18CD"/>
    <w:rsid w:val="008A190F"/>
    <w:rsid w:val="008A19BF"/>
    <w:rsid w:val="008A1C5B"/>
    <w:rsid w:val="008A2003"/>
    <w:rsid w:val="008A2151"/>
    <w:rsid w:val="008A22FE"/>
    <w:rsid w:val="008A236B"/>
    <w:rsid w:val="008A2386"/>
    <w:rsid w:val="008A2457"/>
    <w:rsid w:val="008A2841"/>
    <w:rsid w:val="008A2A53"/>
    <w:rsid w:val="008A2AE1"/>
    <w:rsid w:val="008A2B95"/>
    <w:rsid w:val="008A2BF4"/>
    <w:rsid w:val="008A2CB3"/>
    <w:rsid w:val="008A2CC0"/>
    <w:rsid w:val="008A2F39"/>
    <w:rsid w:val="008A300B"/>
    <w:rsid w:val="008A316C"/>
    <w:rsid w:val="008A338B"/>
    <w:rsid w:val="008A36DA"/>
    <w:rsid w:val="008A371E"/>
    <w:rsid w:val="008A37BC"/>
    <w:rsid w:val="008A37C7"/>
    <w:rsid w:val="008A37F2"/>
    <w:rsid w:val="008A39AA"/>
    <w:rsid w:val="008A3D2E"/>
    <w:rsid w:val="008A41D3"/>
    <w:rsid w:val="008A437F"/>
    <w:rsid w:val="008A43C7"/>
    <w:rsid w:val="008A4438"/>
    <w:rsid w:val="008A4684"/>
    <w:rsid w:val="008A4729"/>
    <w:rsid w:val="008A48AB"/>
    <w:rsid w:val="008A4AB1"/>
    <w:rsid w:val="008A4CE9"/>
    <w:rsid w:val="008A4D89"/>
    <w:rsid w:val="008A4D9C"/>
    <w:rsid w:val="008A4E09"/>
    <w:rsid w:val="008A5092"/>
    <w:rsid w:val="008A51FC"/>
    <w:rsid w:val="008A53E5"/>
    <w:rsid w:val="008A5422"/>
    <w:rsid w:val="008A5836"/>
    <w:rsid w:val="008A5A69"/>
    <w:rsid w:val="008A5E8E"/>
    <w:rsid w:val="008A5F4A"/>
    <w:rsid w:val="008A5FC3"/>
    <w:rsid w:val="008A615F"/>
    <w:rsid w:val="008A6225"/>
    <w:rsid w:val="008A6AB9"/>
    <w:rsid w:val="008A6E5B"/>
    <w:rsid w:val="008A70A0"/>
    <w:rsid w:val="008A720F"/>
    <w:rsid w:val="008A733D"/>
    <w:rsid w:val="008A755B"/>
    <w:rsid w:val="008A7679"/>
    <w:rsid w:val="008A770A"/>
    <w:rsid w:val="008A792F"/>
    <w:rsid w:val="008A7E0F"/>
    <w:rsid w:val="008B000A"/>
    <w:rsid w:val="008B029D"/>
    <w:rsid w:val="008B037F"/>
    <w:rsid w:val="008B0399"/>
    <w:rsid w:val="008B03BB"/>
    <w:rsid w:val="008B08DC"/>
    <w:rsid w:val="008B095D"/>
    <w:rsid w:val="008B09A5"/>
    <w:rsid w:val="008B0AC9"/>
    <w:rsid w:val="008B0BC0"/>
    <w:rsid w:val="008B0C9C"/>
    <w:rsid w:val="008B0E8A"/>
    <w:rsid w:val="008B11AB"/>
    <w:rsid w:val="008B12BB"/>
    <w:rsid w:val="008B1530"/>
    <w:rsid w:val="008B1627"/>
    <w:rsid w:val="008B181E"/>
    <w:rsid w:val="008B18F6"/>
    <w:rsid w:val="008B1A2D"/>
    <w:rsid w:val="008B1B62"/>
    <w:rsid w:val="008B1B73"/>
    <w:rsid w:val="008B1C91"/>
    <w:rsid w:val="008B1D12"/>
    <w:rsid w:val="008B1E76"/>
    <w:rsid w:val="008B2100"/>
    <w:rsid w:val="008B22C4"/>
    <w:rsid w:val="008B2567"/>
    <w:rsid w:val="008B2569"/>
    <w:rsid w:val="008B25B9"/>
    <w:rsid w:val="008B2623"/>
    <w:rsid w:val="008B2651"/>
    <w:rsid w:val="008B277A"/>
    <w:rsid w:val="008B2A8B"/>
    <w:rsid w:val="008B2A8C"/>
    <w:rsid w:val="008B2D3D"/>
    <w:rsid w:val="008B2D91"/>
    <w:rsid w:val="008B3009"/>
    <w:rsid w:val="008B30B1"/>
    <w:rsid w:val="008B311A"/>
    <w:rsid w:val="008B3245"/>
    <w:rsid w:val="008B32AC"/>
    <w:rsid w:val="008B345C"/>
    <w:rsid w:val="008B35D9"/>
    <w:rsid w:val="008B3708"/>
    <w:rsid w:val="008B3810"/>
    <w:rsid w:val="008B3957"/>
    <w:rsid w:val="008B3A3B"/>
    <w:rsid w:val="008B3B0D"/>
    <w:rsid w:val="008B3BDF"/>
    <w:rsid w:val="008B3DC5"/>
    <w:rsid w:val="008B41D1"/>
    <w:rsid w:val="008B427E"/>
    <w:rsid w:val="008B4345"/>
    <w:rsid w:val="008B43A2"/>
    <w:rsid w:val="008B44B1"/>
    <w:rsid w:val="008B46F4"/>
    <w:rsid w:val="008B46FA"/>
    <w:rsid w:val="008B4A7A"/>
    <w:rsid w:val="008B4AF9"/>
    <w:rsid w:val="008B4C8D"/>
    <w:rsid w:val="008B4FB4"/>
    <w:rsid w:val="008B50DF"/>
    <w:rsid w:val="008B55F8"/>
    <w:rsid w:val="008B57DB"/>
    <w:rsid w:val="008B585E"/>
    <w:rsid w:val="008B5992"/>
    <w:rsid w:val="008B5A22"/>
    <w:rsid w:val="008B5A37"/>
    <w:rsid w:val="008B5ADF"/>
    <w:rsid w:val="008B5CAC"/>
    <w:rsid w:val="008B5E70"/>
    <w:rsid w:val="008B5E86"/>
    <w:rsid w:val="008B5E89"/>
    <w:rsid w:val="008B5E8B"/>
    <w:rsid w:val="008B6091"/>
    <w:rsid w:val="008B614D"/>
    <w:rsid w:val="008B61C5"/>
    <w:rsid w:val="008B6388"/>
    <w:rsid w:val="008B64FB"/>
    <w:rsid w:val="008B653B"/>
    <w:rsid w:val="008B6612"/>
    <w:rsid w:val="008B6679"/>
    <w:rsid w:val="008B67D4"/>
    <w:rsid w:val="008B6907"/>
    <w:rsid w:val="008B6B8F"/>
    <w:rsid w:val="008B6CF3"/>
    <w:rsid w:val="008B6CFA"/>
    <w:rsid w:val="008B6F44"/>
    <w:rsid w:val="008B6F6F"/>
    <w:rsid w:val="008B701E"/>
    <w:rsid w:val="008B71F6"/>
    <w:rsid w:val="008B759A"/>
    <w:rsid w:val="008B75C0"/>
    <w:rsid w:val="008B77D8"/>
    <w:rsid w:val="008B7B53"/>
    <w:rsid w:val="008B7B96"/>
    <w:rsid w:val="008C036D"/>
    <w:rsid w:val="008C042F"/>
    <w:rsid w:val="008C044F"/>
    <w:rsid w:val="008C04DB"/>
    <w:rsid w:val="008C0527"/>
    <w:rsid w:val="008C056C"/>
    <w:rsid w:val="008C0A51"/>
    <w:rsid w:val="008C0AAD"/>
    <w:rsid w:val="008C0C9A"/>
    <w:rsid w:val="008C0CE5"/>
    <w:rsid w:val="008C0E50"/>
    <w:rsid w:val="008C104E"/>
    <w:rsid w:val="008C1104"/>
    <w:rsid w:val="008C1204"/>
    <w:rsid w:val="008C15C8"/>
    <w:rsid w:val="008C18A4"/>
    <w:rsid w:val="008C1CC0"/>
    <w:rsid w:val="008C2186"/>
    <w:rsid w:val="008C237F"/>
    <w:rsid w:val="008C2419"/>
    <w:rsid w:val="008C2427"/>
    <w:rsid w:val="008C2800"/>
    <w:rsid w:val="008C2A44"/>
    <w:rsid w:val="008C2A6A"/>
    <w:rsid w:val="008C2E56"/>
    <w:rsid w:val="008C2EA6"/>
    <w:rsid w:val="008C2ECF"/>
    <w:rsid w:val="008C2F2D"/>
    <w:rsid w:val="008C2F3C"/>
    <w:rsid w:val="008C32D9"/>
    <w:rsid w:val="008C330D"/>
    <w:rsid w:val="008C3477"/>
    <w:rsid w:val="008C3815"/>
    <w:rsid w:val="008C39A3"/>
    <w:rsid w:val="008C3A29"/>
    <w:rsid w:val="008C3A53"/>
    <w:rsid w:val="008C3BF4"/>
    <w:rsid w:val="008C3C15"/>
    <w:rsid w:val="008C41EE"/>
    <w:rsid w:val="008C44F6"/>
    <w:rsid w:val="008C46C7"/>
    <w:rsid w:val="008C4779"/>
    <w:rsid w:val="008C499B"/>
    <w:rsid w:val="008C4B0A"/>
    <w:rsid w:val="008C4DDC"/>
    <w:rsid w:val="008C4DE8"/>
    <w:rsid w:val="008C5183"/>
    <w:rsid w:val="008C51F9"/>
    <w:rsid w:val="008C51FE"/>
    <w:rsid w:val="008C53E7"/>
    <w:rsid w:val="008C55BE"/>
    <w:rsid w:val="008C55DD"/>
    <w:rsid w:val="008C58AB"/>
    <w:rsid w:val="008C60BA"/>
    <w:rsid w:val="008C60F8"/>
    <w:rsid w:val="008C6440"/>
    <w:rsid w:val="008C64AD"/>
    <w:rsid w:val="008C6594"/>
    <w:rsid w:val="008C67E6"/>
    <w:rsid w:val="008C6CE3"/>
    <w:rsid w:val="008C6FD2"/>
    <w:rsid w:val="008C706C"/>
    <w:rsid w:val="008C71BF"/>
    <w:rsid w:val="008C71EC"/>
    <w:rsid w:val="008C721F"/>
    <w:rsid w:val="008C74EA"/>
    <w:rsid w:val="008C754B"/>
    <w:rsid w:val="008C7A3E"/>
    <w:rsid w:val="008C7A41"/>
    <w:rsid w:val="008C7AB3"/>
    <w:rsid w:val="008C7E05"/>
    <w:rsid w:val="008C7FBF"/>
    <w:rsid w:val="008C7FF7"/>
    <w:rsid w:val="008D008B"/>
    <w:rsid w:val="008D02FA"/>
    <w:rsid w:val="008D0808"/>
    <w:rsid w:val="008D0815"/>
    <w:rsid w:val="008D0A84"/>
    <w:rsid w:val="008D0B11"/>
    <w:rsid w:val="008D0CCA"/>
    <w:rsid w:val="008D1020"/>
    <w:rsid w:val="008D1021"/>
    <w:rsid w:val="008D110C"/>
    <w:rsid w:val="008D11F9"/>
    <w:rsid w:val="008D1382"/>
    <w:rsid w:val="008D162E"/>
    <w:rsid w:val="008D1670"/>
    <w:rsid w:val="008D1A2B"/>
    <w:rsid w:val="008D1A53"/>
    <w:rsid w:val="008D1A97"/>
    <w:rsid w:val="008D1BAA"/>
    <w:rsid w:val="008D1DDF"/>
    <w:rsid w:val="008D1E27"/>
    <w:rsid w:val="008D1F3D"/>
    <w:rsid w:val="008D1FA1"/>
    <w:rsid w:val="008D2564"/>
    <w:rsid w:val="008D2594"/>
    <w:rsid w:val="008D26A1"/>
    <w:rsid w:val="008D2824"/>
    <w:rsid w:val="008D28AA"/>
    <w:rsid w:val="008D29D0"/>
    <w:rsid w:val="008D2B2A"/>
    <w:rsid w:val="008D2C4B"/>
    <w:rsid w:val="008D2DAD"/>
    <w:rsid w:val="008D2DBE"/>
    <w:rsid w:val="008D31E5"/>
    <w:rsid w:val="008D3512"/>
    <w:rsid w:val="008D369F"/>
    <w:rsid w:val="008D36FF"/>
    <w:rsid w:val="008D37BB"/>
    <w:rsid w:val="008D385C"/>
    <w:rsid w:val="008D38BE"/>
    <w:rsid w:val="008D3999"/>
    <w:rsid w:val="008D39C0"/>
    <w:rsid w:val="008D3C57"/>
    <w:rsid w:val="008D3CF7"/>
    <w:rsid w:val="008D3D5C"/>
    <w:rsid w:val="008D3E83"/>
    <w:rsid w:val="008D3FF2"/>
    <w:rsid w:val="008D436C"/>
    <w:rsid w:val="008D46B3"/>
    <w:rsid w:val="008D48F9"/>
    <w:rsid w:val="008D4A68"/>
    <w:rsid w:val="008D4CF9"/>
    <w:rsid w:val="008D4D90"/>
    <w:rsid w:val="008D4EFE"/>
    <w:rsid w:val="008D4F15"/>
    <w:rsid w:val="008D4FF5"/>
    <w:rsid w:val="008D54A3"/>
    <w:rsid w:val="008D54D3"/>
    <w:rsid w:val="008D5527"/>
    <w:rsid w:val="008D5543"/>
    <w:rsid w:val="008D55BD"/>
    <w:rsid w:val="008D57B9"/>
    <w:rsid w:val="008D5C1E"/>
    <w:rsid w:val="008D5D00"/>
    <w:rsid w:val="008D5DFE"/>
    <w:rsid w:val="008D5FDE"/>
    <w:rsid w:val="008D6044"/>
    <w:rsid w:val="008D611C"/>
    <w:rsid w:val="008D621A"/>
    <w:rsid w:val="008D6498"/>
    <w:rsid w:val="008D6531"/>
    <w:rsid w:val="008D666A"/>
    <w:rsid w:val="008D6736"/>
    <w:rsid w:val="008D6BD7"/>
    <w:rsid w:val="008D6C81"/>
    <w:rsid w:val="008D6E1E"/>
    <w:rsid w:val="008D6F1E"/>
    <w:rsid w:val="008D6FD6"/>
    <w:rsid w:val="008D7084"/>
    <w:rsid w:val="008D72C9"/>
    <w:rsid w:val="008D74A3"/>
    <w:rsid w:val="008D74E2"/>
    <w:rsid w:val="008D765C"/>
    <w:rsid w:val="008D7739"/>
    <w:rsid w:val="008D78C7"/>
    <w:rsid w:val="008D7AB7"/>
    <w:rsid w:val="008D7B0B"/>
    <w:rsid w:val="008D7C8C"/>
    <w:rsid w:val="008D7DB7"/>
    <w:rsid w:val="008D7DD7"/>
    <w:rsid w:val="008D7EDB"/>
    <w:rsid w:val="008E0117"/>
    <w:rsid w:val="008E046D"/>
    <w:rsid w:val="008E05AE"/>
    <w:rsid w:val="008E05C1"/>
    <w:rsid w:val="008E05C3"/>
    <w:rsid w:val="008E05CC"/>
    <w:rsid w:val="008E05D9"/>
    <w:rsid w:val="008E075F"/>
    <w:rsid w:val="008E0769"/>
    <w:rsid w:val="008E0C23"/>
    <w:rsid w:val="008E0FF4"/>
    <w:rsid w:val="008E1296"/>
    <w:rsid w:val="008E131C"/>
    <w:rsid w:val="008E1418"/>
    <w:rsid w:val="008E192E"/>
    <w:rsid w:val="008E1A85"/>
    <w:rsid w:val="008E1ADA"/>
    <w:rsid w:val="008E1CA8"/>
    <w:rsid w:val="008E1CF0"/>
    <w:rsid w:val="008E1D92"/>
    <w:rsid w:val="008E1F56"/>
    <w:rsid w:val="008E204C"/>
    <w:rsid w:val="008E25BA"/>
    <w:rsid w:val="008E2717"/>
    <w:rsid w:val="008E2999"/>
    <w:rsid w:val="008E2A10"/>
    <w:rsid w:val="008E2BBB"/>
    <w:rsid w:val="008E2D43"/>
    <w:rsid w:val="008E2D5C"/>
    <w:rsid w:val="008E2F3E"/>
    <w:rsid w:val="008E309E"/>
    <w:rsid w:val="008E31D5"/>
    <w:rsid w:val="008E32A0"/>
    <w:rsid w:val="008E332F"/>
    <w:rsid w:val="008E33BD"/>
    <w:rsid w:val="008E364E"/>
    <w:rsid w:val="008E37CD"/>
    <w:rsid w:val="008E3975"/>
    <w:rsid w:val="008E3A51"/>
    <w:rsid w:val="008E3B58"/>
    <w:rsid w:val="008E3CFE"/>
    <w:rsid w:val="008E3D6A"/>
    <w:rsid w:val="008E3FE4"/>
    <w:rsid w:val="008E409F"/>
    <w:rsid w:val="008E40D9"/>
    <w:rsid w:val="008E41ED"/>
    <w:rsid w:val="008E4C03"/>
    <w:rsid w:val="008E4E1B"/>
    <w:rsid w:val="008E4FB1"/>
    <w:rsid w:val="008E5144"/>
    <w:rsid w:val="008E51D2"/>
    <w:rsid w:val="008E51F6"/>
    <w:rsid w:val="008E52AF"/>
    <w:rsid w:val="008E536A"/>
    <w:rsid w:val="008E536B"/>
    <w:rsid w:val="008E54A7"/>
    <w:rsid w:val="008E58E1"/>
    <w:rsid w:val="008E5ABC"/>
    <w:rsid w:val="008E5F90"/>
    <w:rsid w:val="008E61C4"/>
    <w:rsid w:val="008E61F4"/>
    <w:rsid w:val="008E6228"/>
    <w:rsid w:val="008E656E"/>
    <w:rsid w:val="008E6597"/>
    <w:rsid w:val="008E6636"/>
    <w:rsid w:val="008E697F"/>
    <w:rsid w:val="008E6AC8"/>
    <w:rsid w:val="008E6B16"/>
    <w:rsid w:val="008E6C8F"/>
    <w:rsid w:val="008E6D34"/>
    <w:rsid w:val="008E6DAB"/>
    <w:rsid w:val="008E6DE7"/>
    <w:rsid w:val="008E6F0F"/>
    <w:rsid w:val="008E6F6C"/>
    <w:rsid w:val="008E6F8C"/>
    <w:rsid w:val="008E70F3"/>
    <w:rsid w:val="008E723A"/>
    <w:rsid w:val="008E7509"/>
    <w:rsid w:val="008E7604"/>
    <w:rsid w:val="008E7806"/>
    <w:rsid w:val="008E7C30"/>
    <w:rsid w:val="008E7E1E"/>
    <w:rsid w:val="008E7E7C"/>
    <w:rsid w:val="008E7FA2"/>
    <w:rsid w:val="008F02FD"/>
    <w:rsid w:val="008F0397"/>
    <w:rsid w:val="008F0511"/>
    <w:rsid w:val="008F07F3"/>
    <w:rsid w:val="008F082A"/>
    <w:rsid w:val="008F08DA"/>
    <w:rsid w:val="008F09E7"/>
    <w:rsid w:val="008F0CDD"/>
    <w:rsid w:val="008F0E97"/>
    <w:rsid w:val="008F0EAF"/>
    <w:rsid w:val="008F1025"/>
    <w:rsid w:val="008F1082"/>
    <w:rsid w:val="008F1315"/>
    <w:rsid w:val="008F14D0"/>
    <w:rsid w:val="008F15C8"/>
    <w:rsid w:val="008F1734"/>
    <w:rsid w:val="008F1868"/>
    <w:rsid w:val="008F1BC0"/>
    <w:rsid w:val="008F2012"/>
    <w:rsid w:val="008F20DB"/>
    <w:rsid w:val="008F20F7"/>
    <w:rsid w:val="008F25FF"/>
    <w:rsid w:val="008F2663"/>
    <w:rsid w:val="008F2824"/>
    <w:rsid w:val="008F283F"/>
    <w:rsid w:val="008F2C17"/>
    <w:rsid w:val="008F2DE2"/>
    <w:rsid w:val="008F2E6F"/>
    <w:rsid w:val="008F2F31"/>
    <w:rsid w:val="008F303B"/>
    <w:rsid w:val="008F30C4"/>
    <w:rsid w:val="008F322F"/>
    <w:rsid w:val="008F32EB"/>
    <w:rsid w:val="008F35CE"/>
    <w:rsid w:val="008F3631"/>
    <w:rsid w:val="008F39AA"/>
    <w:rsid w:val="008F3ADB"/>
    <w:rsid w:val="008F3CFF"/>
    <w:rsid w:val="008F3D57"/>
    <w:rsid w:val="008F4769"/>
    <w:rsid w:val="008F486A"/>
    <w:rsid w:val="008F492B"/>
    <w:rsid w:val="008F4AE5"/>
    <w:rsid w:val="008F4D83"/>
    <w:rsid w:val="008F4E27"/>
    <w:rsid w:val="008F4E5E"/>
    <w:rsid w:val="008F4EDC"/>
    <w:rsid w:val="008F5197"/>
    <w:rsid w:val="008F5364"/>
    <w:rsid w:val="008F53D2"/>
    <w:rsid w:val="008F5401"/>
    <w:rsid w:val="008F5AB5"/>
    <w:rsid w:val="008F5BDD"/>
    <w:rsid w:val="008F5C40"/>
    <w:rsid w:val="008F5F93"/>
    <w:rsid w:val="008F6083"/>
    <w:rsid w:val="008F63EC"/>
    <w:rsid w:val="008F66BD"/>
    <w:rsid w:val="008F670C"/>
    <w:rsid w:val="008F6ADF"/>
    <w:rsid w:val="008F6B44"/>
    <w:rsid w:val="008F6C30"/>
    <w:rsid w:val="008F6CBD"/>
    <w:rsid w:val="008F6DDE"/>
    <w:rsid w:val="008F7133"/>
    <w:rsid w:val="008F7425"/>
    <w:rsid w:val="008F760A"/>
    <w:rsid w:val="008F7615"/>
    <w:rsid w:val="008F7737"/>
    <w:rsid w:val="008F77CA"/>
    <w:rsid w:val="008F7AD4"/>
    <w:rsid w:val="008F7B85"/>
    <w:rsid w:val="008F7C2A"/>
    <w:rsid w:val="008F7EDE"/>
    <w:rsid w:val="008F7F4F"/>
    <w:rsid w:val="00900292"/>
    <w:rsid w:val="0090030B"/>
    <w:rsid w:val="009003F2"/>
    <w:rsid w:val="0090049E"/>
    <w:rsid w:val="00900600"/>
    <w:rsid w:val="009009FB"/>
    <w:rsid w:val="00900AC5"/>
    <w:rsid w:val="00900B5A"/>
    <w:rsid w:val="009015C7"/>
    <w:rsid w:val="009017AE"/>
    <w:rsid w:val="00901975"/>
    <w:rsid w:val="00901CA1"/>
    <w:rsid w:val="00901EA3"/>
    <w:rsid w:val="00901EAB"/>
    <w:rsid w:val="0090200C"/>
    <w:rsid w:val="00902228"/>
    <w:rsid w:val="009022DC"/>
    <w:rsid w:val="009023D9"/>
    <w:rsid w:val="009028D0"/>
    <w:rsid w:val="00902ACD"/>
    <w:rsid w:val="00902E33"/>
    <w:rsid w:val="00902FEE"/>
    <w:rsid w:val="0090307F"/>
    <w:rsid w:val="0090333F"/>
    <w:rsid w:val="009037F9"/>
    <w:rsid w:val="00903DE3"/>
    <w:rsid w:val="00903E19"/>
    <w:rsid w:val="00903EA2"/>
    <w:rsid w:val="00903EA5"/>
    <w:rsid w:val="009041B0"/>
    <w:rsid w:val="009041BC"/>
    <w:rsid w:val="009042EA"/>
    <w:rsid w:val="0090478D"/>
    <w:rsid w:val="00904892"/>
    <w:rsid w:val="00904A7C"/>
    <w:rsid w:val="00904B93"/>
    <w:rsid w:val="00904C00"/>
    <w:rsid w:val="00904C0A"/>
    <w:rsid w:val="00904D3A"/>
    <w:rsid w:val="00904DF9"/>
    <w:rsid w:val="00904E08"/>
    <w:rsid w:val="00904E0E"/>
    <w:rsid w:val="00904FCC"/>
    <w:rsid w:val="009050BF"/>
    <w:rsid w:val="009051C6"/>
    <w:rsid w:val="0090522F"/>
    <w:rsid w:val="00905317"/>
    <w:rsid w:val="00905419"/>
    <w:rsid w:val="0090557E"/>
    <w:rsid w:val="009057DE"/>
    <w:rsid w:val="00905A84"/>
    <w:rsid w:val="00905E51"/>
    <w:rsid w:val="00905F0E"/>
    <w:rsid w:val="009061BD"/>
    <w:rsid w:val="009065FD"/>
    <w:rsid w:val="00906672"/>
    <w:rsid w:val="00906823"/>
    <w:rsid w:val="009068B9"/>
    <w:rsid w:val="009069D0"/>
    <w:rsid w:val="009069F1"/>
    <w:rsid w:val="00906C99"/>
    <w:rsid w:val="00906CDF"/>
    <w:rsid w:val="00906EA7"/>
    <w:rsid w:val="00907075"/>
    <w:rsid w:val="009071A8"/>
    <w:rsid w:val="009073F2"/>
    <w:rsid w:val="00907551"/>
    <w:rsid w:val="0090768D"/>
    <w:rsid w:val="009076D5"/>
    <w:rsid w:val="009076D7"/>
    <w:rsid w:val="00907855"/>
    <w:rsid w:val="00907E33"/>
    <w:rsid w:val="00907F20"/>
    <w:rsid w:val="009101A8"/>
    <w:rsid w:val="00910259"/>
    <w:rsid w:val="0091039E"/>
    <w:rsid w:val="00910521"/>
    <w:rsid w:val="009108A1"/>
    <w:rsid w:val="009109C8"/>
    <w:rsid w:val="00910A2D"/>
    <w:rsid w:val="00910A5F"/>
    <w:rsid w:val="00910BE0"/>
    <w:rsid w:val="00910CAC"/>
    <w:rsid w:val="00910CB2"/>
    <w:rsid w:val="00910D04"/>
    <w:rsid w:val="00910F19"/>
    <w:rsid w:val="009110EA"/>
    <w:rsid w:val="009112D6"/>
    <w:rsid w:val="00911408"/>
    <w:rsid w:val="009114C6"/>
    <w:rsid w:val="009116ED"/>
    <w:rsid w:val="0091171A"/>
    <w:rsid w:val="00911772"/>
    <w:rsid w:val="009119F6"/>
    <w:rsid w:val="00911A5E"/>
    <w:rsid w:val="00911B36"/>
    <w:rsid w:val="00911DEB"/>
    <w:rsid w:val="00911E49"/>
    <w:rsid w:val="00911E73"/>
    <w:rsid w:val="00911ED4"/>
    <w:rsid w:val="00912219"/>
    <w:rsid w:val="0091224D"/>
    <w:rsid w:val="0091236E"/>
    <w:rsid w:val="00912990"/>
    <w:rsid w:val="009129F9"/>
    <w:rsid w:val="00912D3A"/>
    <w:rsid w:val="00912F07"/>
    <w:rsid w:val="00912FF3"/>
    <w:rsid w:val="0091311F"/>
    <w:rsid w:val="00913541"/>
    <w:rsid w:val="009135C2"/>
    <w:rsid w:val="0091368F"/>
    <w:rsid w:val="00913711"/>
    <w:rsid w:val="00913861"/>
    <w:rsid w:val="00913B2F"/>
    <w:rsid w:val="00913C90"/>
    <w:rsid w:val="00913CEA"/>
    <w:rsid w:val="00914127"/>
    <w:rsid w:val="00914296"/>
    <w:rsid w:val="009142CD"/>
    <w:rsid w:val="00914300"/>
    <w:rsid w:val="0091430C"/>
    <w:rsid w:val="0091456D"/>
    <w:rsid w:val="009148BB"/>
    <w:rsid w:val="00914AF7"/>
    <w:rsid w:val="00914C46"/>
    <w:rsid w:val="00914DC8"/>
    <w:rsid w:val="0091529B"/>
    <w:rsid w:val="00915562"/>
    <w:rsid w:val="009156A9"/>
    <w:rsid w:val="009157C7"/>
    <w:rsid w:val="009159CB"/>
    <w:rsid w:val="00915B7B"/>
    <w:rsid w:val="00915B9A"/>
    <w:rsid w:val="00915CD3"/>
    <w:rsid w:val="00915CF9"/>
    <w:rsid w:val="00915E22"/>
    <w:rsid w:val="00915F05"/>
    <w:rsid w:val="00915FE4"/>
    <w:rsid w:val="00916393"/>
    <w:rsid w:val="00916986"/>
    <w:rsid w:val="009169A0"/>
    <w:rsid w:val="00916A33"/>
    <w:rsid w:val="00916C4B"/>
    <w:rsid w:val="00916CE2"/>
    <w:rsid w:val="00916CFB"/>
    <w:rsid w:val="009171C4"/>
    <w:rsid w:val="009172E0"/>
    <w:rsid w:val="00917371"/>
    <w:rsid w:val="00917460"/>
    <w:rsid w:val="009177DB"/>
    <w:rsid w:val="00917888"/>
    <w:rsid w:val="009178C8"/>
    <w:rsid w:val="009179A3"/>
    <w:rsid w:val="009179FB"/>
    <w:rsid w:val="00917A85"/>
    <w:rsid w:val="00917BFD"/>
    <w:rsid w:val="00917E2E"/>
    <w:rsid w:val="00917F5D"/>
    <w:rsid w:val="00920234"/>
    <w:rsid w:val="009204A1"/>
    <w:rsid w:val="0092075F"/>
    <w:rsid w:val="00920903"/>
    <w:rsid w:val="00920A26"/>
    <w:rsid w:val="00920A6C"/>
    <w:rsid w:val="00920E62"/>
    <w:rsid w:val="0092106B"/>
    <w:rsid w:val="0092106F"/>
    <w:rsid w:val="00921831"/>
    <w:rsid w:val="00921836"/>
    <w:rsid w:val="009219B0"/>
    <w:rsid w:val="00921B4F"/>
    <w:rsid w:val="00921DEB"/>
    <w:rsid w:val="0092237B"/>
    <w:rsid w:val="009229D3"/>
    <w:rsid w:val="00922BAB"/>
    <w:rsid w:val="00922CA9"/>
    <w:rsid w:val="00922D60"/>
    <w:rsid w:val="00923033"/>
    <w:rsid w:val="00923061"/>
    <w:rsid w:val="00923069"/>
    <w:rsid w:val="0092306C"/>
    <w:rsid w:val="009231B0"/>
    <w:rsid w:val="009232B0"/>
    <w:rsid w:val="009232F4"/>
    <w:rsid w:val="0092364D"/>
    <w:rsid w:val="00923770"/>
    <w:rsid w:val="00923988"/>
    <w:rsid w:val="00923AA9"/>
    <w:rsid w:val="00923ACC"/>
    <w:rsid w:val="0092410F"/>
    <w:rsid w:val="0092422B"/>
    <w:rsid w:val="0092431C"/>
    <w:rsid w:val="009243D4"/>
    <w:rsid w:val="00924452"/>
    <w:rsid w:val="0092454C"/>
    <w:rsid w:val="009247D8"/>
    <w:rsid w:val="00924826"/>
    <w:rsid w:val="00924D36"/>
    <w:rsid w:val="00924E66"/>
    <w:rsid w:val="00924F9A"/>
    <w:rsid w:val="0092515E"/>
    <w:rsid w:val="009254F8"/>
    <w:rsid w:val="0092566E"/>
    <w:rsid w:val="009256FE"/>
    <w:rsid w:val="009258D6"/>
    <w:rsid w:val="00925B08"/>
    <w:rsid w:val="00925C80"/>
    <w:rsid w:val="00925EE9"/>
    <w:rsid w:val="00926003"/>
    <w:rsid w:val="00926083"/>
    <w:rsid w:val="00926650"/>
    <w:rsid w:val="009266C7"/>
    <w:rsid w:val="0092671D"/>
    <w:rsid w:val="009267D2"/>
    <w:rsid w:val="009267D7"/>
    <w:rsid w:val="00926905"/>
    <w:rsid w:val="009269AD"/>
    <w:rsid w:val="00926B66"/>
    <w:rsid w:val="00926DD7"/>
    <w:rsid w:val="00926E7C"/>
    <w:rsid w:val="00926F02"/>
    <w:rsid w:val="009272A1"/>
    <w:rsid w:val="009273B1"/>
    <w:rsid w:val="00927513"/>
    <w:rsid w:val="00927543"/>
    <w:rsid w:val="0092769E"/>
    <w:rsid w:val="00927E77"/>
    <w:rsid w:val="009300C6"/>
    <w:rsid w:val="0093023D"/>
    <w:rsid w:val="0093027A"/>
    <w:rsid w:val="009303EE"/>
    <w:rsid w:val="009303FA"/>
    <w:rsid w:val="009304A6"/>
    <w:rsid w:val="00930914"/>
    <w:rsid w:val="00930A3F"/>
    <w:rsid w:val="00930AB6"/>
    <w:rsid w:val="00930D87"/>
    <w:rsid w:val="0093136E"/>
    <w:rsid w:val="009319AF"/>
    <w:rsid w:val="00931B12"/>
    <w:rsid w:val="00931BAA"/>
    <w:rsid w:val="00931D47"/>
    <w:rsid w:val="00931D97"/>
    <w:rsid w:val="00931E0B"/>
    <w:rsid w:val="0093242A"/>
    <w:rsid w:val="0093242D"/>
    <w:rsid w:val="0093255E"/>
    <w:rsid w:val="009326B8"/>
    <w:rsid w:val="0093274A"/>
    <w:rsid w:val="00932820"/>
    <w:rsid w:val="0093283C"/>
    <w:rsid w:val="00932953"/>
    <w:rsid w:val="00932E1D"/>
    <w:rsid w:val="00932E56"/>
    <w:rsid w:val="00932F50"/>
    <w:rsid w:val="00932FE9"/>
    <w:rsid w:val="00933088"/>
    <w:rsid w:val="00933240"/>
    <w:rsid w:val="00933268"/>
    <w:rsid w:val="00933473"/>
    <w:rsid w:val="00933748"/>
    <w:rsid w:val="0093377B"/>
    <w:rsid w:val="00933814"/>
    <w:rsid w:val="00933822"/>
    <w:rsid w:val="009339AB"/>
    <w:rsid w:val="00933A63"/>
    <w:rsid w:val="00933AA4"/>
    <w:rsid w:val="00933D34"/>
    <w:rsid w:val="00933D3F"/>
    <w:rsid w:val="00933E4A"/>
    <w:rsid w:val="00933E91"/>
    <w:rsid w:val="00934206"/>
    <w:rsid w:val="00934631"/>
    <w:rsid w:val="009346CD"/>
    <w:rsid w:val="009347F8"/>
    <w:rsid w:val="0093482C"/>
    <w:rsid w:val="00934AA6"/>
    <w:rsid w:val="00934AED"/>
    <w:rsid w:val="00934EA9"/>
    <w:rsid w:val="009351A5"/>
    <w:rsid w:val="00935223"/>
    <w:rsid w:val="00935422"/>
    <w:rsid w:val="00935488"/>
    <w:rsid w:val="009354DD"/>
    <w:rsid w:val="009356F5"/>
    <w:rsid w:val="009359C5"/>
    <w:rsid w:val="009359E0"/>
    <w:rsid w:val="009359E5"/>
    <w:rsid w:val="00935BBE"/>
    <w:rsid w:val="00935C52"/>
    <w:rsid w:val="00935CF0"/>
    <w:rsid w:val="00935DCD"/>
    <w:rsid w:val="00936215"/>
    <w:rsid w:val="0093629D"/>
    <w:rsid w:val="0093631F"/>
    <w:rsid w:val="009364F6"/>
    <w:rsid w:val="0093652D"/>
    <w:rsid w:val="00936590"/>
    <w:rsid w:val="00936677"/>
    <w:rsid w:val="0093672B"/>
    <w:rsid w:val="009367C5"/>
    <w:rsid w:val="0093682E"/>
    <w:rsid w:val="00936833"/>
    <w:rsid w:val="00936C30"/>
    <w:rsid w:val="0093705F"/>
    <w:rsid w:val="009370C7"/>
    <w:rsid w:val="00937191"/>
    <w:rsid w:val="0093719A"/>
    <w:rsid w:val="009378C4"/>
    <w:rsid w:val="00937996"/>
    <w:rsid w:val="00937A2A"/>
    <w:rsid w:val="00937B24"/>
    <w:rsid w:val="00937E8D"/>
    <w:rsid w:val="00937F95"/>
    <w:rsid w:val="00940277"/>
    <w:rsid w:val="00940654"/>
    <w:rsid w:val="009409F5"/>
    <w:rsid w:val="00940CAA"/>
    <w:rsid w:val="00940CE1"/>
    <w:rsid w:val="00940DB4"/>
    <w:rsid w:val="00940FE9"/>
    <w:rsid w:val="00941346"/>
    <w:rsid w:val="009416DF"/>
    <w:rsid w:val="00941737"/>
    <w:rsid w:val="00941A8A"/>
    <w:rsid w:val="00941E16"/>
    <w:rsid w:val="00941EDB"/>
    <w:rsid w:val="00942440"/>
    <w:rsid w:val="009424E8"/>
    <w:rsid w:val="0094263C"/>
    <w:rsid w:val="0094273D"/>
    <w:rsid w:val="0094280B"/>
    <w:rsid w:val="0094284C"/>
    <w:rsid w:val="0094290A"/>
    <w:rsid w:val="00942B3B"/>
    <w:rsid w:val="00942D64"/>
    <w:rsid w:val="009430EA"/>
    <w:rsid w:val="0094312C"/>
    <w:rsid w:val="009431BF"/>
    <w:rsid w:val="009431EC"/>
    <w:rsid w:val="009432D6"/>
    <w:rsid w:val="0094338E"/>
    <w:rsid w:val="0094376A"/>
    <w:rsid w:val="00944183"/>
    <w:rsid w:val="00944305"/>
    <w:rsid w:val="009443A5"/>
    <w:rsid w:val="009443AF"/>
    <w:rsid w:val="009446D5"/>
    <w:rsid w:val="00944A27"/>
    <w:rsid w:val="00944A97"/>
    <w:rsid w:val="00944E20"/>
    <w:rsid w:val="009453D9"/>
    <w:rsid w:val="00945446"/>
    <w:rsid w:val="009458C8"/>
    <w:rsid w:val="00945ABD"/>
    <w:rsid w:val="00945CBA"/>
    <w:rsid w:val="00946098"/>
    <w:rsid w:val="0094638A"/>
    <w:rsid w:val="009463D2"/>
    <w:rsid w:val="009464C5"/>
    <w:rsid w:val="009464E5"/>
    <w:rsid w:val="00946B25"/>
    <w:rsid w:val="00946E3A"/>
    <w:rsid w:val="0094733C"/>
    <w:rsid w:val="0094739A"/>
    <w:rsid w:val="0094767C"/>
    <w:rsid w:val="00947697"/>
    <w:rsid w:val="00947769"/>
    <w:rsid w:val="00947885"/>
    <w:rsid w:val="009478EC"/>
    <w:rsid w:val="00947958"/>
    <w:rsid w:val="0094795F"/>
    <w:rsid w:val="00947B6C"/>
    <w:rsid w:val="00947C91"/>
    <w:rsid w:val="00950032"/>
    <w:rsid w:val="009502E4"/>
    <w:rsid w:val="009503F4"/>
    <w:rsid w:val="009508A3"/>
    <w:rsid w:val="0095097F"/>
    <w:rsid w:val="00950B0A"/>
    <w:rsid w:val="0095102A"/>
    <w:rsid w:val="009510B4"/>
    <w:rsid w:val="009511F7"/>
    <w:rsid w:val="00951259"/>
    <w:rsid w:val="0095129F"/>
    <w:rsid w:val="009514AD"/>
    <w:rsid w:val="009514B7"/>
    <w:rsid w:val="00951590"/>
    <w:rsid w:val="009515A5"/>
    <w:rsid w:val="009516F8"/>
    <w:rsid w:val="00951CAA"/>
    <w:rsid w:val="00952051"/>
    <w:rsid w:val="00952072"/>
    <w:rsid w:val="00952102"/>
    <w:rsid w:val="00952190"/>
    <w:rsid w:val="00952268"/>
    <w:rsid w:val="009523F7"/>
    <w:rsid w:val="00952410"/>
    <w:rsid w:val="00952591"/>
    <w:rsid w:val="00952632"/>
    <w:rsid w:val="009527A1"/>
    <w:rsid w:val="00952821"/>
    <w:rsid w:val="009529F8"/>
    <w:rsid w:val="00952A21"/>
    <w:rsid w:val="00952CAF"/>
    <w:rsid w:val="00952CB6"/>
    <w:rsid w:val="00952DE5"/>
    <w:rsid w:val="00952EFE"/>
    <w:rsid w:val="00953141"/>
    <w:rsid w:val="0095316F"/>
    <w:rsid w:val="00953668"/>
    <w:rsid w:val="0095385C"/>
    <w:rsid w:val="00953998"/>
    <w:rsid w:val="00953B0D"/>
    <w:rsid w:val="00953B99"/>
    <w:rsid w:val="00953B9B"/>
    <w:rsid w:val="00953BC4"/>
    <w:rsid w:val="00953BC6"/>
    <w:rsid w:val="00953BE2"/>
    <w:rsid w:val="00953EE1"/>
    <w:rsid w:val="009543D3"/>
    <w:rsid w:val="0095440E"/>
    <w:rsid w:val="00954BBE"/>
    <w:rsid w:val="00954CF7"/>
    <w:rsid w:val="00954D97"/>
    <w:rsid w:val="00954E44"/>
    <w:rsid w:val="00955261"/>
    <w:rsid w:val="0095528F"/>
    <w:rsid w:val="009554FC"/>
    <w:rsid w:val="0095579A"/>
    <w:rsid w:val="009559B6"/>
    <w:rsid w:val="00955B1F"/>
    <w:rsid w:val="00955BFF"/>
    <w:rsid w:val="00955CB4"/>
    <w:rsid w:val="00955DCC"/>
    <w:rsid w:val="00955EA3"/>
    <w:rsid w:val="009562BD"/>
    <w:rsid w:val="00956300"/>
    <w:rsid w:val="00956334"/>
    <w:rsid w:val="0095641E"/>
    <w:rsid w:val="00956484"/>
    <w:rsid w:val="00956625"/>
    <w:rsid w:val="009569AC"/>
    <w:rsid w:val="00956A6C"/>
    <w:rsid w:val="00956EEA"/>
    <w:rsid w:val="009571FC"/>
    <w:rsid w:val="0095727D"/>
    <w:rsid w:val="009575EF"/>
    <w:rsid w:val="0095783B"/>
    <w:rsid w:val="00957891"/>
    <w:rsid w:val="009578A1"/>
    <w:rsid w:val="0095793B"/>
    <w:rsid w:val="00957B51"/>
    <w:rsid w:val="00957DF6"/>
    <w:rsid w:val="00957FA0"/>
    <w:rsid w:val="00960123"/>
    <w:rsid w:val="0096012E"/>
    <w:rsid w:val="009601A8"/>
    <w:rsid w:val="00960578"/>
    <w:rsid w:val="009607CB"/>
    <w:rsid w:val="009607F6"/>
    <w:rsid w:val="009608D1"/>
    <w:rsid w:val="00960A70"/>
    <w:rsid w:val="00960BBA"/>
    <w:rsid w:val="00960C7A"/>
    <w:rsid w:val="00960F7C"/>
    <w:rsid w:val="009611BB"/>
    <w:rsid w:val="009611CE"/>
    <w:rsid w:val="00961278"/>
    <w:rsid w:val="00961320"/>
    <w:rsid w:val="0096146E"/>
    <w:rsid w:val="00961667"/>
    <w:rsid w:val="00961D7B"/>
    <w:rsid w:val="00961E5F"/>
    <w:rsid w:val="00961EA4"/>
    <w:rsid w:val="00962029"/>
    <w:rsid w:val="009620C8"/>
    <w:rsid w:val="0096213E"/>
    <w:rsid w:val="0096227A"/>
    <w:rsid w:val="0096228E"/>
    <w:rsid w:val="009624BD"/>
    <w:rsid w:val="009624E9"/>
    <w:rsid w:val="009625ED"/>
    <w:rsid w:val="00962669"/>
    <w:rsid w:val="00962837"/>
    <w:rsid w:val="0096295E"/>
    <w:rsid w:val="00962C7B"/>
    <w:rsid w:val="009631F2"/>
    <w:rsid w:val="0096324E"/>
    <w:rsid w:val="00963413"/>
    <w:rsid w:val="0096351A"/>
    <w:rsid w:val="00963540"/>
    <w:rsid w:val="00963875"/>
    <w:rsid w:val="00963B91"/>
    <w:rsid w:val="00963BD9"/>
    <w:rsid w:val="00963CCE"/>
    <w:rsid w:val="00964295"/>
    <w:rsid w:val="00964969"/>
    <w:rsid w:val="0096497D"/>
    <w:rsid w:val="00964B0C"/>
    <w:rsid w:val="00964CA8"/>
    <w:rsid w:val="00964E74"/>
    <w:rsid w:val="009653E4"/>
    <w:rsid w:val="009653FE"/>
    <w:rsid w:val="009655AD"/>
    <w:rsid w:val="00966060"/>
    <w:rsid w:val="00966233"/>
    <w:rsid w:val="009662ED"/>
    <w:rsid w:val="009662EE"/>
    <w:rsid w:val="00966325"/>
    <w:rsid w:val="0096633F"/>
    <w:rsid w:val="009663E8"/>
    <w:rsid w:val="009667E8"/>
    <w:rsid w:val="0096683F"/>
    <w:rsid w:val="00966B79"/>
    <w:rsid w:val="00966D19"/>
    <w:rsid w:val="00966D85"/>
    <w:rsid w:val="00966EC1"/>
    <w:rsid w:val="009671C3"/>
    <w:rsid w:val="009673C9"/>
    <w:rsid w:val="009673DF"/>
    <w:rsid w:val="009675C6"/>
    <w:rsid w:val="00967886"/>
    <w:rsid w:val="009679E7"/>
    <w:rsid w:val="00967B5B"/>
    <w:rsid w:val="00967BDB"/>
    <w:rsid w:val="00967DAB"/>
    <w:rsid w:val="00967E24"/>
    <w:rsid w:val="00967EEA"/>
    <w:rsid w:val="0097022D"/>
    <w:rsid w:val="00970548"/>
    <w:rsid w:val="00970A94"/>
    <w:rsid w:val="00970B0B"/>
    <w:rsid w:val="00970C33"/>
    <w:rsid w:val="00970CEE"/>
    <w:rsid w:val="009710CC"/>
    <w:rsid w:val="00971469"/>
    <w:rsid w:val="009717EB"/>
    <w:rsid w:val="009718F9"/>
    <w:rsid w:val="00971951"/>
    <w:rsid w:val="00971A5C"/>
    <w:rsid w:val="00971A98"/>
    <w:rsid w:val="00971CBA"/>
    <w:rsid w:val="00971D27"/>
    <w:rsid w:val="00971E35"/>
    <w:rsid w:val="00971EFF"/>
    <w:rsid w:val="00971F14"/>
    <w:rsid w:val="009723D6"/>
    <w:rsid w:val="009723D7"/>
    <w:rsid w:val="009724A1"/>
    <w:rsid w:val="009724EC"/>
    <w:rsid w:val="00972675"/>
    <w:rsid w:val="00972777"/>
    <w:rsid w:val="00972874"/>
    <w:rsid w:val="00972BB0"/>
    <w:rsid w:val="00972DD3"/>
    <w:rsid w:val="009732CB"/>
    <w:rsid w:val="009733DE"/>
    <w:rsid w:val="00973451"/>
    <w:rsid w:val="00973495"/>
    <w:rsid w:val="0097394E"/>
    <w:rsid w:val="00973B1C"/>
    <w:rsid w:val="00973BA0"/>
    <w:rsid w:val="00973CC3"/>
    <w:rsid w:val="00973D56"/>
    <w:rsid w:val="00974038"/>
    <w:rsid w:val="009740E7"/>
    <w:rsid w:val="0097413A"/>
    <w:rsid w:val="009742BE"/>
    <w:rsid w:val="009745AE"/>
    <w:rsid w:val="0097472F"/>
    <w:rsid w:val="009749B6"/>
    <w:rsid w:val="00974B0E"/>
    <w:rsid w:val="00974CBF"/>
    <w:rsid w:val="00974EA9"/>
    <w:rsid w:val="00974ECF"/>
    <w:rsid w:val="009751AC"/>
    <w:rsid w:val="00975297"/>
    <w:rsid w:val="00975A35"/>
    <w:rsid w:val="00975B57"/>
    <w:rsid w:val="00975F67"/>
    <w:rsid w:val="00976020"/>
    <w:rsid w:val="00976062"/>
    <w:rsid w:val="0097608C"/>
    <w:rsid w:val="00976138"/>
    <w:rsid w:val="00976182"/>
    <w:rsid w:val="00976425"/>
    <w:rsid w:val="00976764"/>
    <w:rsid w:val="00976BC4"/>
    <w:rsid w:val="00976D16"/>
    <w:rsid w:val="00976DC5"/>
    <w:rsid w:val="00976ECE"/>
    <w:rsid w:val="00976EED"/>
    <w:rsid w:val="00976F3D"/>
    <w:rsid w:val="00977167"/>
    <w:rsid w:val="009774E0"/>
    <w:rsid w:val="009775EA"/>
    <w:rsid w:val="009779B0"/>
    <w:rsid w:val="00977A9E"/>
    <w:rsid w:val="00977B88"/>
    <w:rsid w:val="00977B93"/>
    <w:rsid w:val="00977C74"/>
    <w:rsid w:val="00977F05"/>
    <w:rsid w:val="00977F3E"/>
    <w:rsid w:val="00977F9F"/>
    <w:rsid w:val="0098021D"/>
    <w:rsid w:val="0098054E"/>
    <w:rsid w:val="009809B7"/>
    <w:rsid w:val="009809DE"/>
    <w:rsid w:val="00980BD4"/>
    <w:rsid w:val="0098135B"/>
    <w:rsid w:val="0098155F"/>
    <w:rsid w:val="009817C0"/>
    <w:rsid w:val="0098182F"/>
    <w:rsid w:val="009819F1"/>
    <w:rsid w:val="00981F2E"/>
    <w:rsid w:val="009821A0"/>
    <w:rsid w:val="00982233"/>
    <w:rsid w:val="0098249A"/>
    <w:rsid w:val="009824DB"/>
    <w:rsid w:val="009824DC"/>
    <w:rsid w:val="00982538"/>
    <w:rsid w:val="00982748"/>
    <w:rsid w:val="0098281E"/>
    <w:rsid w:val="009828B2"/>
    <w:rsid w:val="009828F4"/>
    <w:rsid w:val="00982942"/>
    <w:rsid w:val="00982C4B"/>
    <w:rsid w:val="00982D3A"/>
    <w:rsid w:val="00983064"/>
    <w:rsid w:val="009830B4"/>
    <w:rsid w:val="0098366B"/>
    <w:rsid w:val="00983AC8"/>
    <w:rsid w:val="00983C3D"/>
    <w:rsid w:val="00983FA8"/>
    <w:rsid w:val="009843E7"/>
    <w:rsid w:val="0098441E"/>
    <w:rsid w:val="009844B7"/>
    <w:rsid w:val="00984617"/>
    <w:rsid w:val="0098466F"/>
    <w:rsid w:val="009848DE"/>
    <w:rsid w:val="00984AB4"/>
    <w:rsid w:val="00984E17"/>
    <w:rsid w:val="00984F0D"/>
    <w:rsid w:val="00984F4B"/>
    <w:rsid w:val="00984F7A"/>
    <w:rsid w:val="009851E2"/>
    <w:rsid w:val="009854BC"/>
    <w:rsid w:val="00985715"/>
    <w:rsid w:val="0098585C"/>
    <w:rsid w:val="009858DB"/>
    <w:rsid w:val="00985A68"/>
    <w:rsid w:val="00985A98"/>
    <w:rsid w:val="00985D3C"/>
    <w:rsid w:val="00985F54"/>
    <w:rsid w:val="009863AA"/>
    <w:rsid w:val="009865A6"/>
    <w:rsid w:val="00986822"/>
    <w:rsid w:val="009869FF"/>
    <w:rsid w:val="00986E3D"/>
    <w:rsid w:val="009870C8"/>
    <w:rsid w:val="009871AF"/>
    <w:rsid w:val="009874BC"/>
    <w:rsid w:val="009874DB"/>
    <w:rsid w:val="00987591"/>
    <w:rsid w:val="009875A9"/>
    <w:rsid w:val="00987662"/>
    <w:rsid w:val="0098786D"/>
    <w:rsid w:val="00987AE4"/>
    <w:rsid w:val="00987AF2"/>
    <w:rsid w:val="00987BF8"/>
    <w:rsid w:val="00987E01"/>
    <w:rsid w:val="00987E3F"/>
    <w:rsid w:val="009901DD"/>
    <w:rsid w:val="00990260"/>
    <w:rsid w:val="00990519"/>
    <w:rsid w:val="00990549"/>
    <w:rsid w:val="009905CC"/>
    <w:rsid w:val="00990A3E"/>
    <w:rsid w:val="00990A71"/>
    <w:rsid w:val="00990DA9"/>
    <w:rsid w:val="00990EA5"/>
    <w:rsid w:val="00990F0F"/>
    <w:rsid w:val="00990F3B"/>
    <w:rsid w:val="00990F86"/>
    <w:rsid w:val="0099102F"/>
    <w:rsid w:val="00991073"/>
    <w:rsid w:val="0099126B"/>
    <w:rsid w:val="00991316"/>
    <w:rsid w:val="009915E0"/>
    <w:rsid w:val="00991810"/>
    <w:rsid w:val="0099182D"/>
    <w:rsid w:val="00991971"/>
    <w:rsid w:val="00991AB9"/>
    <w:rsid w:val="00991B6A"/>
    <w:rsid w:val="00991B6B"/>
    <w:rsid w:val="00991B72"/>
    <w:rsid w:val="00991C0D"/>
    <w:rsid w:val="00991DDB"/>
    <w:rsid w:val="00991FC1"/>
    <w:rsid w:val="00992203"/>
    <w:rsid w:val="0099229E"/>
    <w:rsid w:val="0099237A"/>
    <w:rsid w:val="009924CA"/>
    <w:rsid w:val="009924F1"/>
    <w:rsid w:val="00992601"/>
    <w:rsid w:val="00992632"/>
    <w:rsid w:val="009928E0"/>
    <w:rsid w:val="0099294D"/>
    <w:rsid w:val="00992AAB"/>
    <w:rsid w:val="00992BDC"/>
    <w:rsid w:val="00992E83"/>
    <w:rsid w:val="00992FA4"/>
    <w:rsid w:val="00993259"/>
    <w:rsid w:val="00993327"/>
    <w:rsid w:val="00993393"/>
    <w:rsid w:val="00993726"/>
    <w:rsid w:val="0099375D"/>
    <w:rsid w:val="0099378A"/>
    <w:rsid w:val="00993887"/>
    <w:rsid w:val="00993D6F"/>
    <w:rsid w:val="00993FC0"/>
    <w:rsid w:val="00993FFF"/>
    <w:rsid w:val="009941CA"/>
    <w:rsid w:val="00994286"/>
    <w:rsid w:val="00994515"/>
    <w:rsid w:val="0099460F"/>
    <w:rsid w:val="0099463B"/>
    <w:rsid w:val="009946B2"/>
    <w:rsid w:val="009946B5"/>
    <w:rsid w:val="00994769"/>
    <w:rsid w:val="00994857"/>
    <w:rsid w:val="00994953"/>
    <w:rsid w:val="00994FA3"/>
    <w:rsid w:val="009950AA"/>
    <w:rsid w:val="00995123"/>
    <w:rsid w:val="009951BD"/>
    <w:rsid w:val="009952A4"/>
    <w:rsid w:val="00995423"/>
    <w:rsid w:val="0099555D"/>
    <w:rsid w:val="00995631"/>
    <w:rsid w:val="009956B0"/>
    <w:rsid w:val="009959DC"/>
    <w:rsid w:val="00995A53"/>
    <w:rsid w:val="00995CAC"/>
    <w:rsid w:val="00995CD5"/>
    <w:rsid w:val="00995D69"/>
    <w:rsid w:val="00995D7D"/>
    <w:rsid w:val="00995DBE"/>
    <w:rsid w:val="0099620E"/>
    <w:rsid w:val="0099632C"/>
    <w:rsid w:val="0099639A"/>
    <w:rsid w:val="0099640F"/>
    <w:rsid w:val="0099653B"/>
    <w:rsid w:val="00996B47"/>
    <w:rsid w:val="00996C64"/>
    <w:rsid w:val="00996D16"/>
    <w:rsid w:val="00996E99"/>
    <w:rsid w:val="00996F2C"/>
    <w:rsid w:val="00996F89"/>
    <w:rsid w:val="0099706B"/>
    <w:rsid w:val="009970AD"/>
    <w:rsid w:val="009971D6"/>
    <w:rsid w:val="009971F7"/>
    <w:rsid w:val="0099735A"/>
    <w:rsid w:val="0099752F"/>
    <w:rsid w:val="00997530"/>
    <w:rsid w:val="009976DE"/>
    <w:rsid w:val="009976F6"/>
    <w:rsid w:val="00997931"/>
    <w:rsid w:val="00997994"/>
    <w:rsid w:val="009979E7"/>
    <w:rsid w:val="00997E5B"/>
    <w:rsid w:val="009A0003"/>
    <w:rsid w:val="009A00BA"/>
    <w:rsid w:val="009A018E"/>
    <w:rsid w:val="009A026F"/>
    <w:rsid w:val="009A0419"/>
    <w:rsid w:val="009A0520"/>
    <w:rsid w:val="009A0609"/>
    <w:rsid w:val="009A0838"/>
    <w:rsid w:val="009A0B16"/>
    <w:rsid w:val="009A0B72"/>
    <w:rsid w:val="009A0BAC"/>
    <w:rsid w:val="009A0D50"/>
    <w:rsid w:val="009A0F0A"/>
    <w:rsid w:val="009A1322"/>
    <w:rsid w:val="009A134D"/>
    <w:rsid w:val="009A165B"/>
    <w:rsid w:val="009A19F6"/>
    <w:rsid w:val="009A1A4F"/>
    <w:rsid w:val="009A1B44"/>
    <w:rsid w:val="009A1F40"/>
    <w:rsid w:val="009A1F9C"/>
    <w:rsid w:val="009A2058"/>
    <w:rsid w:val="009A2118"/>
    <w:rsid w:val="009A244E"/>
    <w:rsid w:val="009A24CD"/>
    <w:rsid w:val="009A24CE"/>
    <w:rsid w:val="009A2634"/>
    <w:rsid w:val="009A2B33"/>
    <w:rsid w:val="009A2E6A"/>
    <w:rsid w:val="009A2FC6"/>
    <w:rsid w:val="009A302B"/>
    <w:rsid w:val="009A3062"/>
    <w:rsid w:val="009A3509"/>
    <w:rsid w:val="009A352E"/>
    <w:rsid w:val="009A37AD"/>
    <w:rsid w:val="009A380A"/>
    <w:rsid w:val="009A3838"/>
    <w:rsid w:val="009A3A5F"/>
    <w:rsid w:val="009A3A6E"/>
    <w:rsid w:val="009A3ABE"/>
    <w:rsid w:val="009A3E6B"/>
    <w:rsid w:val="009A3F11"/>
    <w:rsid w:val="009A3FC4"/>
    <w:rsid w:val="009A4198"/>
    <w:rsid w:val="009A41DF"/>
    <w:rsid w:val="009A4298"/>
    <w:rsid w:val="009A42E0"/>
    <w:rsid w:val="009A43BD"/>
    <w:rsid w:val="009A45A1"/>
    <w:rsid w:val="009A45AA"/>
    <w:rsid w:val="009A4B6D"/>
    <w:rsid w:val="009A4C12"/>
    <w:rsid w:val="009A4EFD"/>
    <w:rsid w:val="009A4FA1"/>
    <w:rsid w:val="009A50B3"/>
    <w:rsid w:val="009A527E"/>
    <w:rsid w:val="009A5379"/>
    <w:rsid w:val="009A53DA"/>
    <w:rsid w:val="009A5520"/>
    <w:rsid w:val="009A559A"/>
    <w:rsid w:val="009A5608"/>
    <w:rsid w:val="009A5737"/>
    <w:rsid w:val="009A5801"/>
    <w:rsid w:val="009A5AB3"/>
    <w:rsid w:val="009A5AFB"/>
    <w:rsid w:val="009A5DBA"/>
    <w:rsid w:val="009A657E"/>
    <w:rsid w:val="009A65D5"/>
    <w:rsid w:val="009A65F4"/>
    <w:rsid w:val="009A6830"/>
    <w:rsid w:val="009A6AEF"/>
    <w:rsid w:val="009A6B3E"/>
    <w:rsid w:val="009A6D04"/>
    <w:rsid w:val="009A709C"/>
    <w:rsid w:val="009A724A"/>
    <w:rsid w:val="009A742C"/>
    <w:rsid w:val="009A7601"/>
    <w:rsid w:val="009A768C"/>
    <w:rsid w:val="009A7823"/>
    <w:rsid w:val="009A7A04"/>
    <w:rsid w:val="009A7AA0"/>
    <w:rsid w:val="009A7BA2"/>
    <w:rsid w:val="009A7C77"/>
    <w:rsid w:val="009A7D9F"/>
    <w:rsid w:val="009A7ED7"/>
    <w:rsid w:val="009A7F6E"/>
    <w:rsid w:val="009B00A6"/>
    <w:rsid w:val="009B04AF"/>
    <w:rsid w:val="009B04CD"/>
    <w:rsid w:val="009B08BB"/>
    <w:rsid w:val="009B08F4"/>
    <w:rsid w:val="009B0958"/>
    <w:rsid w:val="009B09E0"/>
    <w:rsid w:val="009B0AFB"/>
    <w:rsid w:val="009B0EAA"/>
    <w:rsid w:val="009B0ECC"/>
    <w:rsid w:val="009B1116"/>
    <w:rsid w:val="009B1258"/>
    <w:rsid w:val="009B127D"/>
    <w:rsid w:val="009B1297"/>
    <w:rsid w:val="009B12AE"/>
    <w:rsid w:val="009B152A"/>
    <w:rsid w:val="009B188F"/>
    <w:rsid w:val="009B1912"/>
    <w:rsid w:val="009B1AF1"/>
    <w:rsid w:val="009B1D4A"/>
    <w:rsid w:val="009B1F50"/>
    <w:rsid w:val="009B231D"/>
    <w:rsid w:val="009B237A"/>
    <w:rsid w:val="009B251D"/>
    <w:rsid w:val="009B2C80"/>
    <w:rsid w:val="009B2CCE"/>
    <w:rsid w:val="009B2FB8"/>
    <w:rsid w:val="009B3020"/>
    <w:rsid w:val="009B332F"/>
    <w:rsid w:val="009B378E"/>
    <w:rsid w:val="009B3C2A"/>
    <w:rsid w:val="009B3D06"/>
    <w:rsid w:val="009B3E22"/>
    <w:rsid w:val="009B4030"/>
    <w:rsid w:val="009B40B5"/>
    <w:rsid w:val="009B4905"/>
    <w:rsid w:val="009B498A"/>
    <w:rsid w:val="009B4B89"/>
    <w:rsid w:val="009B4B9A"/>
    <w:rsid w:val="009B4CAF"/>
    <w:rsid w:val="009B4D5B"/>
    <w:rsid w:val="009B4DFB"/>
    <w:rsid w:val="009B4F39"/>
    <w:rsid w:val="009B4FC1"/>
    <w:rsid w:val="009B5153"/>
    <w:rsid w:val="009B5565"/>
    <w:rsid w:val="009B579C"/>
    <w:rsid w:val="009B5B5B"/>
    <w:rsid w:val="009B5B7F"/>
    <w:rsid w:val="009B5DF8"/>
    <w:rsid w:val="009B5E06"/>
    <w:rsid w:val="009B5F12"/>
    <w:rsid w:val="009B5F6C"/>
    <w:rsid w:val="009B6314"/>
    <w:rsid w:val="009B63E1"/>
    <w:rsid w:val="009B6484"/>
    <w:rsid w:val="009B651B"/>
    <w:rsid w:val="009B687F"/>
    <w:rsid w:val="009B68A3"/>
    <w:rsid w:val="009B6A4B"/>
    <w:rsid w:val="009B6AEA"/>
    <w:rsid w:val="009B6BC3"/>
    <w:rsid w:val="009B6C58"/>
    <w:rsid w:val="009B6E9D"/>
    <w:rsid w:val="009B6F14"/>
    <w:rsid w:val="009B6FE5"/>
    <w:rsid w:val="009B705D"/>
    <w:rsid w:val="009B7259"/>
    <w:rsid w:val="009B755C"/>
    <w:rsid w:val="009B7689"/>
    <w:rsid w:val="009B769D"/>
    <w:rsid w:val="009B76EF"/>
    <w:rsid w:val="009B77EE"/>
    <w:rsid w:val="009B77F2"/>
    <w:rsid w:val="009B7BF1"/>
    <w:rsid w:val="009B7CFF"/>
    <w:rsid w:val="009B7D9D"/>
    <w:rsid w:val="009C0345"/>
    <w:rsid w:val="009C043A"/>
    <w:rsid w:val="009C04F0"/>
    <w:rsid w:val="009C069D"/>
    <w:rsid w:val="009C081A"/>
    <w:rsid w:val="009C0AB3"/>
    <w:rsid w:val="009C0F33"/>
    <w:rsid w:val="009C100D"/>
    <w:rsid w:val="009C1546"/>
    <w:rsid w:val="009C1702"/>
    <w:rsid w:val="009C178E"/>
    <w:rsid w:val="009C1897"/>
    <w:rsid w:val="009C1B69"/>
    <w:rsid w:val="009C1B79"/>
    <w:rsid w:val="009C1BD8"/>
    <w:rsid w:val="009C1C89"/>
    <w:rsid w:val="009C1DF5"/>
    <w:rsid w:val="009C2174"/>
    <w:rsid w:val="009C269F"/>
    <w:rsid w:val="009C28A6"/>
    <w:rsid w:val="009C28D0"/>
    <w:rsid w:val="009C293C"/>
    <w:rsid w:val="009C2C7F"/>
    <w:rsid w:val="009C2D86"/>
    <w:rsid w:val="009C2DD8"/>
    <w:rsid w:val="009C2FF3"/>
    <w:rsid w:val="009C3080"/>
    <w:rsid w:val="009C32AE"/>
    <w:rsid w:val="009C3707"/>
    <w:rsid w:val="009C37B4"/>
    <w:rsid w:val="009C38D6"/>
    <w:rsid w:val="009C39C2"/>
    <w:rsid w:val="009C3BFF"/>
    <w:rsid w:val="009C3CF0"/>
    <w:rsid w:val="009C3D6C"/>
    <w:rsid w:val="009C3EA2"/>
    <w:rsid w:val="009C3F69"/>
    <w:rsid w:val="009C4325"/>
    <w:rsid w:val="009C451F"/>
    <w:rsid w:val="009C46F7"/>
    <w:rsid w:val="009C486F"/>
    <w:rsid w:val="009C48AB"/>
    <w:rsid w:val="009C4BC7"/>
    <w:rsid w:val="009C4C31"/>
    <w:rsid w:val="009C4D3F"/>
    <w:rsid w:val="009C4DF3"/>
    <w:rsid w:val="009C54D0"/>
    <w:rsid w:val="009C54E0"/>
    <w:rsid w:val="009C5524"/>
    <w:rsid w:val="009C5608"/>
    <w:rsid w:val="009C5626"/>
    <w:rsid w:val="009C583D"/>
    <w:rsid w:val="009C5881"/>
    <w:rsid w:val="009C59B2"/>
    <w:rsid w:val="009C5DE7"/>
    <w:rsid w:val="009C5F00"/>
    <w:rsid w:val="009C62D4"/>
    <w:rsid w:val="009C643E"/>
    <w:rsid w:val="009C6662"/>
    <w:rsid w:val="009C67D1"/>
    <w:rsid w:val="009C6AA9"/>
    <w:rsid w:val="009C6B6B"/>
    <w:rsid w:val="009C6B81"/>
    <w:rsid w:val="009C70AE"/>
    <w:rsid w:val="009C7109"/>
    <w:rsid w:val="009C712E"/>
    <w:rsid w:val="009C7153"/>
    <w:rsid w:val="009C7210"/>
    <w:rsid w:val="009C73EF"/>
    <w:rsid w:val="009C75BC"/>
    <w:rsid w:val="009C7685"/>
    <w:rsid w:val="009C7AAD"/>
    <w:rsid w:val="009C7B70"/>
    <w:rsid w:val="009C7D71"/>
    <w:rsid w:val="009C7E7A"/>
    <w:rsid w:val="009C7EA3"/>
    <w:rsid w:val="009C7F1C"/>
    <w:rsid w:val="009D00C4"/>
    <w:rsid w:val="009D00F5"/>
    <w:rsid w:val="009D0582"/>
    <w:rsid w:val="009D0706"/>
    <w:rsid w:val="009D07C4"/>
    <w:rsid w:val="009D097E"/>
    <w:rsid w:val="009D0A61"/>
    <w:rsid w:val="009D0A88"/>
    <w:rsid w:val="009D0D13"/>
    <w:rsid w:val="009D0DB5"/>
    <w:rsid w:val="009D0F61"/>
    <w:rsid w:val="009D1046"/>
    <w:rsid w:val="009D11AE"/>
    <w:rsid w:val="009D1608"/>
    <w:rsid w:val="009D161A"/>
    <w:rsid w:val="009D1A12"/>
    <w:rsid w:val="009D20A8"/>
    <w:rsid w:val="009D27B5"/>
    <w:rsid w:val="009D2851"/>
    <w:rsid w:val="009D2884"/>
    <w:rsid w:val="009D28BF"/>
    <w:rsid w:val="009D2908"/>
    <w:rsid w:val="009D2988"/>
    <w:rsid w:val="009D2A26"/>
    <w:rsid w:val="009D2B3E"/>
    <w:rsid w:val="009D2F08"/>
    <w:rsid w:val="009D303A"/>
    <w:rsid w:val="009D317F"/>
    <w:rsid w:val="009D3350"/>
    <w:rsid w:val="009D3471"/>
    <w:rsid w:val="009D3682"/>
    <w:rsid w:val="009D36BC"/>
    <w:rsid w:val="009D371C"/>
    <w:rsid w:val="009D3790"/>
    <w:rsid w:val="009D37A5"/>
    <w:rsid w:val="009D3923"/>
    <w:rsid w:val="009D392D"/>
    <w:rsid w:val="009D3A3E"/>
    <w:rsid w:val="009D3B2D"/>
    <w:rsid w:val="009D3D10"/>
    <w:rsid w:val="009D3E97"/>
    <w:rsid w:val="009D3F6C"/>
    <w:rsid w:val="009D3F76"/>
    <w:rsid w:val="009D4071"/>
    <w:rsid w:val="009D40D3"/>
    <w:rsid w:val="009D4368"/>
    <w:rsid w:val="009D44BD"/>
    <w:rsid w:val="009D4686"/>
    <w:rsid w:val="009D46D3"/>
    <w:rsid w:val="009D488E"/>
    <w:rsid w:val="009D49D7"/>
    <w:rsid w:val="009D4BEB"/>
    <w:rsid w:val="009D4D2E"/>
    <w:rsid w:val="009D4ECE"/>
    <w:rsid w:val="009D4FD4"/>
    <w:rsid w:val="009D4FDB"/>
    <w:rsid w:val="009D505C"/>
    <w:rsid w:val="009D51A0"/>
    <w:rsid w:val="009D51DB"/>
    <w:rsid w:val="009D5462"/>
    <w:rsid w:val="009D5678"/>
    <w:rsid w:val="009D57E9"/>
    <w:rsid w:val="009D5813"/>
    <w:rsid w:val="009D599C"/>
    <w:rsid w:val="009D59A8"/>
    <w:rsid w:val="009D59A9"/>
    <w:rsid w:val="009D5BBE"/>
    <w:rsid w:val="009D5D0D"/>
    <w:rsid w:val="009D5D2D"/>
    <w:rsid w:val="009D6246"/>
    <w:rsid w:val="009D624C"/>
    <w:rsid w:val="009D65FC"/>
    <w:rsid w:val="009D6CC2"/>
    <w:rsid w:val="009D6E74"/>
    <w:rsid w:val="009D7067"/>
    <w:rsid w:val="009D7146"/>
    <w:rsid w:val="009D7222"/>
    <w:rsid w:val="009D781D"/>
    <w:rsid w:val="009D7D46"/>
    <w:rsid w:val="009D7E07"/>
    <w:rsid w:val="009D7FB8"/>
    <w:rsid w:val="009E02F6"/>
    <w:rsid w:val="009E032C"/>
    <w:rsid w:val="009E0377"/>
    <w:rsid w:val="009E042C"/>
    <w:rsid w:val="009E0566"/>
    <w:rsid w:val="009E05F7"/>
    <w:rsid w:val="009E0638"/>
    <w:rsid w:val="009E0A51"/>
    <w:rsid w:val="009E0BF7"/>
    <w:rsid w:val="009E0E20"/>
    <w:rsid w:val="009E1010"/>
    <w:rsid w:val="009E1162"/>
    <w:rsid w:val="009E1359"/>
    <w:rsid w:val="009E1420"/>
    <w:rsid w:val="009E150E"/>
    <w:rsid w:val="009E158A"/>
    <w:rsid w:val="009E15BB"/>
    <w:rsid w:val="009E1722"/>
    <w:rsid w:val="009E1C6C"/>
    <w:rsid w:val="009E1EFD"/>
    <w:rsid w:val="009E2268"/>
    <w:rsid w:val="009E2404"/>
    <w:rsid w:val="009E256A"/>
    <w:rsid w:val="009E2702"/>
    <w:rsid w:val="009E28ED"/>
    <w:rsid w:val="009E29AD"/>
    <w:rsid w:val="009E2B73"/>
    <w:rsid w:val="009E2BF0"/>
    <w:rsid w:val="009E2D1F"/>
    <w:rsid w:val="009E3007"/>
    <w:rsid w:val="009E304E"/>
    <w:rsid w:val="009E30E3"/>
    <w:rsid w:val="009E325C"/>
    <w:rsid w:val="009E32FE"/>
    <w:rsid w:val="009E33FD"/>
    <w:rsid w:val="009E36A3"/>
    <w:rsid w:val="009E37D3"/>
    <w:rsid w:val="009E38FF"/>
    <w:rsid w:val="009E3A26"/>
    <w:rsid w:val="009E3CD6"/>
    <w:rsid w:val="009E3DF8"/>
    <w:rsid w:val="009E3F18"/>
    <w:rsid w:val="009E3FD1"/>
    <w:rsid w:val="009E40BD"/>
    <w:rsid w:val="009E45E5"/>
    <w:rsid w:val="009E47C8"/>
    <w:rsid w:val="009E4820"/>
    <w:rsid w:val="009E4A39"/>
    <w:rsid w:val="009E4B0C"/>
    <w:rsid w:val="009E4C2C"/>
    <w:rsid w:val="009E4E67"/>
    <w:rsid w:val="009E4F03"/>
    <w:rsid w:val="009E4F15"/>
    <w:rsid w:val="009E5049"/>
    <w:rsid w:val="009E50EE"/>
    <w:rsid w:val="009E5390"/>
    <w:rsid w:val="009E5475"/>
    <w:rsid w:val="009E56AE"/>
    <w:rsid w:val="009E57EF"/>
    <w:rsid w:val="009E5A45"/>
    <w:rsid w:val="009E5BCE"/>
    <w:rsid w:val="009E5BDF"/>
    <w:rsid w:val="009E5D9B"/>
    <w:rsid w:val="009E5E23"/>
    <w:rsid w:val="009E629B"/>
    <w:rsid w:val="009E6480"/>
    <w:rsid w:val="009E6481"/>
    <w:rsid w:val="009E64CB"/>
    <w:rsid w:val="009E6645"/>
    <w:rsid w:val="009E6914"/>
    <w:rsid w:val="009E6D7F"/>
    <w:rsid w:val="009E6F3E"/>
    <w:rsid w:val="009E715C"/>
    <w:rsid w:val="009E71AE"/>
    <w:rsid w:val="009E735F"/>
    <w:rsid w:val="009E754E"/>
    <w:rsid w:val="009E772E"/>
    <w:rsid w:val="009E7EAF"/>
    <w:rsid w:val="009E7FEB"/>
    <w:rsid w:val="009F00C1"/>
    <w:rsid w:val="009F00C5"/>
    <w:rsid w:val="009F01FA"/>
    <w:rsid w:val="009F0200"/>
    <w:rsid w:val="009F032E"/>
    <w:rsid w:val="009F07A0"/>
    <w:rsid w:val="009F08B1"/>
    <w:rsid w:val="009F093A"/>
    <w:rsid w:val="009F09D5"/>
    <w:rsid w:val="009F0ABA"/>
    <w:rsid w:val="009F0B5F"/>
    <w:rsid w:val="009F0B73"/>
    <w:rsid w:val="009F0C5C"/>
    <w:rsid w:val="009F0D80"/>
    <w:rsid w:val="009F0E90"/>
    <w:rsid w:val="009F0F86"/>
    <w:rsid w:val="009F110F"/>
    <w:rsid w:val="009F13A7"/>
    <w:rsid w:val="009F1410"/>
    <w:rsid w:val="009F1578"/>
    <w:rsid w:val="009F191C"/>
    <w:rsid w:val="009F19EF"/>
    <w:rsid w:val="009F1B77"/>
    <w:rsid w:val="009F1CC3"/>
    <w:rsid w:val="009F1E31"/>
    <w:rsid w:val="009F203E"/>
    <w:rsid w:val="009F21A6"/>
    <w:rsid w:val="009F2282"/>
    <w:rsid w:val="009F2343"/>
    <w:rsid w:val="009F23E7"/>
    <w:rsid w:val="009F2691"/>
    <w:rsid w:val="009F2B6C"/>
    <w:rsid w:val="009F2BBC"/>
    <w:rsid w:val="009F2DE4"/>
    <w:rsid w:val="009F32AD"/>
    <w:rsid w:val="009F359D"/>
    <w:rsid w:val="009F39A9"/>
    <w:rsid w:val="009F3D5A"/>
    <w:rsid w:val="009F3D6F"/>
    <w:rsid w:val="009F3D85"/>
    <w:rsid w:val="009F3F83"/>
    <w:rsid w:val="009F42FC"/>
    <w:rsid w:val="009F4842"/>
    <w:rsid w:val="009F4AF0"/>
    <w:rsid w:val="009F4BE1"/>
    <w:rsid w:val="009F4C15"/>
    <w:rsid w:val="009F4D07"/>
    <w:rsid w:val="009F4D17"/>
    <w:rsid w:val="009F4D6A"/>
    <w:rsid w:val="009F4F13"/>
    <w:rsid w:val="009F5016"/>
    <w:rsid w:val="009F51A1"/>
    <w:rsid w:val="009F52E9"/>
    <w:rsid w:val="009F5491"/>
    <w:rsid w:val="009F5655"/>
    <w:rsid w:val="009F56D1"/>
    <w:rsid w:val="009F5B7E"/>
    <w:rsid w:val="009F5C76"/>
    <w:rsid w:val="009F5C93"/>
    <w:rsid w:val="009F5CF6"/>
    <w:rsid w:val="009F6157"/>
    <w:rsid w:val="009F61AA"/>
    <w:rsid w:val="009F65C0"/>
    <w:rsid w:val="009F66A1"/>
    <w:rsid w:val="009F678B"/>
    <w:rsid w:val="009F6844"/>
    <w:rsid w:val="009F6AA6"/>
    <w:rsid w:val="009F6BBB"/>
    <w:rsid w:val="009F6BD2"/>
    <w:rsid w:val="009F6E4A"/>
    <w:rsid w:val="009F6E51"/>
    <w:rsid w:val="009F6F07"/>
    <w:rsid w:val="009F6FAD"/>
    <w:rsid w:val="009F707F"/>
    <w:rsid w:val="009F72B9"/>
    <w:rsid w:val="009F73E0"/>
    <w:rsid w:val="009F7452"/>
    <w:rsid w:val="009F7519"/>
    <w:rsid w:val="009F7738"/>
    <w:rsid w:val="009F7747"/>
    <w:rsid w:val="009F784E"/>
    <w:rsid w:val="009F7AD6"/>
    <w:rsid w:val="009F7BD5"/>
    <w:rsid w:val="009F7CF2"/>
    <w:rsid w:val="009F7E0A"/>
    <w:rsid w:val="00A001E7"/>
    <w:rsid w:val="00A0031E"/>
    <w:rsid w:val="00A004AE"/>
    <w:rsid w:val="00A004C0"/>
    <w:rsid w:val="00A0053E"/>
    <w:rsid w:val="00A0064B"/>
    <w:rsid w:val="00A009A6"/>
    <w:rsid w:val="00A00AD7"/>
    <w:rsid w:val="00A00C6C"/>
    <w:rsid w:val="00A00E3B"/>
    <w:rsid w:val="00A0118D"/>
    <w:rsid w:val="00A011A6"/>
    <w:rsid w:val="00A012F0"/>
    <w:rsid w:val="00A0130A"/>
    <w:rsid w:val="00A0149C"/>
    <w:rsid w:val="00A01DEB"/>
    <w:rsid w:val="00A02065"/>
    <w:rsid w:val="00A020C5"/>
    <w:rsid w:val="00A02261"/>
    <w:rsid w:val="00A0233F"/>
    <w:rsid w:val="00A024CF"/>
    <w:rsid w:val="00A02743"/>
    <w:rsid w:val="00A02791"/>
    <w:rsid w:val="00A028E6"/>
    <w:rsid w:val="00A02937"/>
    <w:rsid w:val="00A02A39"/>
    <w:rsid w:val="00A02C19"/>
    <w:rsid w:val="00A02D12"/>
    <w:rsid w:val="00A02F6C"/>
    <w:rsid w:val="00A030A6"/>
    <w:rsid w:val="00A032ED"/>
    <w:rsid w:val="00A033D6"/>
    <w:rsid w:val="00A03412"/>
    <w:rsid w:val="00A03418"/>
    <w:rsid w:val="00A03641"/>
    <w:rsid w:val="00A03660"/>
    <w:rsid w:val="00A036AC"/>
    <w:rsid w:val="00A038E0"/>
    <w:rsid w:val="00A039FD"/>
    <w:rsid w:val="00A04522"/>
    <w:rsid w:val="00A04691"/>
    <w:rsid w:val="00A04710"/>
    <w:rsid w:val="00A0481C"/>
    <w:rsid w:val="00A0491A"/>
    <w:rsid w:val="00A04A1F"/>
    <w:rsid w:val="00A04CE0"/>
    <w:rsid w:val="00A04D84"/>
    <w:rsid w:val="00A05323"/>
    <w:rsid w:val="00A053A5"/>
    <w:rsid w:val="00A054D8"/>
    <w:rsid w:val="00A0557E"/>
    <w:rsid w:val="00A05833"/>
    <w:rsid w:val="00A05907"/>
    <w:rsid w:val="00A0590B"/>
    <w:rsid w:val="00A059A8"/>
    <w:rsid w:val="00A05A96"/>
    <w:rsid w:val="00A05C3E"/>
    <w:rsid w:val="00A05D84"/>
    <w:rsid w:val="00A05E0D"/>
    <w:rsid w:val="00A05F6F"/>
    <w:rsid w:val="00A06094"/>
    <w:rsid w:val="00A0609D"/>
    <w:rsid w:val="00A0614D"/>
    <w:rsid w:val="00A061A3"/>
    <w:rsid w:val="00A06307"/>
    <w:rsid w:val="00A06408"/>
    <w:rsid w:val="00A06597"/>
    <w:rsid w:val="00A0679D"/>
    <w:rsid w:val="00A068DF"/>
    <w:rsid w:val="00A069C6"/>
    <w:rsid w:val="00A06B51"/>
    <w:rsid w:val="00A06C7B"/>
    <w:rsid w:val="00A06D82"/>
    <w:rsid w:val="00A06FEA"/>
    <w:rsid w:val="00A07089"/>
    <w:rsid w:val="00A07193"/>
    <w:rsid w:val="00A076B5"/>
    <w:rsid w:val="00A07A36"/>
    <w:rsid w:val="00A07D43"/>
    <w:rsid w:val="00A07FA1"/>
    <w:rsid w:val="00A10165"/>
    <w:rsid w:val="00A101FD"/>
    <w:rsid w:val="00A102FE"/>
    <w:rsid w:val="00A10556"/>
    <w:rsid w:val="00A1078E"/>
    <w:rsid w:val="00A10AD8"/>
    <w:rsid w:val="00A111A4"/>
    <w:rsid w:val="00A111AE"/>
    <w:rsid w:val="00A112C2"/>
    <w:rsid w:val="00A113F1"/>
    <w:rsid w:val="00A11502"/>
    <w:rsid w:val="00A11737"/>
    <w:rsid w:val="00A118E8"/>
    <w:rsid w:val="00A11B01"/>
    <w:rsid w:val="00A11FDA"/>
    <w:rsid w:val="00A123C8"/>
    <w:rsid w:val="00A1241F"/>
    <w:rsid w:val="00A12914"/>
    <w:rsid w:val="00A12DBB"/>
    <w:rsid w:val="00A12E0B"/>
    <w:rsid w:val="00A12F0B"/>
    <w:rsid w:val="00A130DF"/>
    <w:rsid w:val="00A13140"/>
    <w:rsid w:val="00A13156"/>
    <w:rsid w:val="00A1322C"/>
    <w:rsid w:val="00A132F0"/>
    <w:rsid w:val="00A133A7"/>
    <w:rsid w:val="00A134EB"/>
    <w:rsid w:val="00A13531"/>
    <w:rsid w:val="00A13648"/>
    <w:rsid w:val="00A13651"/>
    <w:rsid w:val="00A137F7"/>
    <w:rsid w:val="00A1383A"/>
    <w:rsid w:val="00A13871"/>
    <w:rsid w:val="00A13990"/>
    <w:rsid w:val="00A13C4D"/>
    <w:rsid w:val="00A13DB3"/>
    <w:rsid w:val="00A13DE2"/>
    <w:rsid w:val="00A13E34"/>
    <w:rsid w:val="00A14042"/>
    <w:rsid w:val="00A14122"/>
    <w:rsid w:val="00A141B9"/>
    <w:rsid w:val="00A1460F"/>
    <w:rsid w:val="00A14A4D"/>
    <w:rsid w:val="00A14ABE"/>
    <w:rsid w:val="00A14C40"/>
    <w:rsid w:val="00A14E48"/>
    <w:rsid w:val="00A14FB8"/>
    <w:rsid w:val="00A14FD1"/>
    <w:rsid w:val="00A14FDF"/>
    <w:rsid w:val="00A15100"/>
    <w:rsid w:val="00A15217"/>
    <w:rsid w:val="00A1533C"/>
    <w:rsid w:val="00A1539B"/>
    <w:rsid w:val="00A153A7"/>
    <w:rsid w:val="00A154EA"/>
    <w:rsid w:val="00A15510"/>
    <w:rsid w:val="00A15538"/>
    <w:rsid w:val="00A1553F"/>
    <w:rsid w:val="00A15769"/>
    <w:rsid w:val="00A15B17"/>
    <w:rsid w:val="00A15BDB"/>
    <w:rsid w:val="00A15CA8"/>
    <w:rsid w:val="00A15F90"/>
    <w:rsid w:val="00A16196"/>
    <w:rsid w:val="00A16357"/>
    <w:rsid w:val="00A163EF"/>
    <w:rsid w:val="00A165F4"/>
    <w:rsid w:val="00A167FA"/>
    <w:rsid w:val="00A16AED"/>
    <w:rsid w:val="00A16B39"/>
    <w:rsid w:val="00A16C19"/>
    <w:rsid w:val="00A16D27"/>
    <w:rsid w:val="00A16F3D"/>
    <w:rsid w:val="00A17306"/>
    <w:rsid w:val="00A1745C"/>
    <w:rsid w:val="00A1749F"/>
    <w:rsid w:val="00A1756C"/>
    <w:rsid w:val="00A17638"/>
    <w:rsid w:val="00A178E8"/>
    <w:rsid w:val="00A17C00"/>
    <w:rsid w:val="00A17E54"/>
    <w:rsid w:val="00A17F6F"/>
    <w:rsid w:val="00A17FE2"/>
    <w:rsid w:val="00A20219"/>
    <w:rsid w:val="00A204D4"/>
    <w:rsid w:val="00A2055A"/>
    <w:rsid w:val="00A205D8"/>
    <w:rsid w:val="00A20629"/>
    <w:rsid w:val="00A206F0"/>
    <w:rsid w:val="00A20810"/>
    <w:rsid w:val="00A2085B"/>
    <w:rsid w:val="00A208C6"/>
    <w:rsid w:val="00A20919"/>
    <w:rsid w:val="00A20C6C"/>
    <w:rsid w:val="00A20C92"/>
    <w:rsid w:val="00A20F28"/>
    <w:rsid w:val="00A2112D"/>
    <w:rsid w:val="00A2137D"/>
    <w:rsid w:val="00A213A5"/>
    <w:rsid w:val="00A213C3"/>
    <w:rsid w:val="00A2166E"/>
    <w:rsid w:val="00A218F7"/>
    <w:rsid w:val="00A219F1"/>
    <w:rsid w:val="00A21C49"/>
    <w:rsid w:val="00A21D48"/>
    <w:rsid w:val="00A21D76"/>
    <w:rsid w:val="00A21F07"/>
    <w:rsid w:val="00A21F84"/>
    <w:rsid w:val="00A222B7"/>
    <w:rsid w:val="00A223CF"/>
    <w:rsid w:val="00A2272A"/>
    <w:rsid w:val="00A22737"/>
    <w:rsid w:val="00A2288E"/>
    <w:rsid w:val="00A22CF8"/>
    <w:rsid w:val="00A22D5C"/>
    <w:rsid w:val="00A22FF5"/>
    <w:rsid w:val="00A230B4"/>
    <w:rsid w:val="00A2317B"/>
    <w:rsid w:val="00A23540"/>
    <w:rsid w:val="00A2369E"/>
    <w:rsid w:val="00A236ED"/>
    <w:rsid w:val="00A23863"/>
    <w:rsid w:val="00A23AF1"/>
    <w:rsid w:val="00A23BFD"/>
    <w:rsid w:val="00A23E67"/>
    <w:rsid w:val="00A246D0"/>
    <w:rsid w:val="00A246EC"/>
    <w:rsid w:val="00A247FF"/>
    <w:rsid w:val="00A24913"/>
    <w:rsid w:val="00A2491B"/>
    <w:rsid w:val="00A24A4F"/>
    <w:rsid w:val="00A24A77"/>
    <w:rsid w:val="00A24D16"/>
    <w:rsid w:val="00A24FD7"/>
    <w:rsid w:val="00A252BA"/>
    <w:rsid w:val="00A252C7"/>
    <w:rsid w:val="00A252FE"/>
    <w:rsid w:val="00A253EB"/>
    <w:rsid w:val="00A25446"/>
    <w:rsid w:val="00A256F7"/>
    <w:rsid w:val="00A2570F"/>
    <w:rsid w:val="00A258C3"/>
    <w:rsid w:val="00A25A65"/>
    <w:rsid w:val="00A25B88"/>
    <w:rsid w:val="00A25BBC"/>
    <w:rsid w:val="00A2606F"/>
    <w:rsid w:val="00A260DB"/>
    <w:rsid w:val="00A260DC"/>
    <w:rsid w:val="00A2619F"/>
    <w:rsid w:val="00A26327"/>
    <w:rsid w:val="00A2663B"/>
    <w:rsid w:val="00A266B6"/>
    <w:rsid w:val="00A26754"/>
    <w:rsid w:val="00A2682E"/>
    <w:rsid w:val="00A269D1"/>
    <w:rsid w:val="00A26A60"/>
    <w:rsid w:val="00A26AA5"/>
    <w:rsid w:val="00A26CB3"/>
    <w:rsid w:val="00A26CCF"/>
    <w:rsid w:val="00A26E40"/>
    <w:rsid w:val="00A26FFC"/>
    <w:rsid w:val="00A27021"/>
    <w:rsid w:val="00A27210"/>
    <w:rsid w:val="00A27752"/>
    <w:rsid w:val="00A277A7"/>
    <w:rsid w:val="00A27E17"/>
    <w:rsid w:val="00A27EC3"/>
    <w:rsid w:val="00A27F8B"/>
    <w:rsid w:val="00A3021B"/>
    <w:rsid w:val="00A30364"/>
    <w:rsid w:val="00A303DE"/>
    <w:rsid w:val="00A3041F"/>
    <w:rsid w:val="00A304C3"/>
    <w:rsid w:val="00A30519"/>
    <w:rsid w:val="00A306DB"/>
    <w:rsid w:val="00A309F4"/>
    <w:rsid w:val="00A30A51"/>
    <w:rsid w:val="00A30C3B"/>
    <w:rsid w:val="00A30E47"/>
    <w:rsid w:val="00A30F2D"/>
    <w:rsid w:val="00A31341"/>
    <w:rsid w:val="00A31557"/>
    <w:rsid w:val="00A3170E"/>
    <w:rsid w:val="00A318E8"/>
    <w:rsid w:val="00A31A33"/>
    <w:rsid w:val="00A31B5A"/>
    <w:rsid w:val="00A31D06"/>
    <w:rsid w:val="00A31ECF"/>
    <w:rsid w:val="00A32472"/>
    <w:rsid w:val="00A32533"/>
    <w:rsid w:val="00A32615"/>
    <w:rsid w:val="00A327AF"/>
    <w:rsid w:val="00A328A7"/>
    <w:rsid w:val="00A32AA4"/>
    <w:rsid w:val="00A32AB3"/>
    <w:rsid w:val="00A32CF6"/>
    <w:rsid w:val="00A32F39"/>
    <w:rsid w:val="00A32F99"/>
    <w:rsid w:val="00A33040"/>
    <w:rsid w:val="00A33086"/>
    <w:rsid w:val="00A330C4"/>
    <w:rsid w:val="00A33193"/>
    <w:rsid w:val="00A33386"/>
    <w:rsid w:val="00A333C4"/>
    <w:rsid w:val="00A335C9"/>
    <w:rsid w:val="00A339A2"/>
    <w:rsid w:val="00A33A91"/>
    <w:rsid w:val="00A33BA3"/>
    <w:rsid w:val="00A33C72"/>
    <w:rsid w:val="00A33C97"/>
    <w:rsid w:val="00A33DEE"/>
    <w:rsid w:val="00A33E39"/>
    <w:rsid w:val="00A33E66"/>
    <w:rsid w:val="00A33EE8"/>
    <w:rsid w:val="00A342C2"/>
    <w:rsid w:val="00A347BD"/>
    <w:rsid w:val="00A34C01"/>
    <w:rsid w:val="00A34CCF"/>
    <w:rsid w:val="00A34F8D"/>
    <w:rsid w:val="00A356F9"/>
    <w:rsid w:val="00A35871"/>
    <w:rsid w:val="00A35A2F"/>
    <w:rsid w:val="00A35A4B"/>
    <w:rsid w:val="00A35B70"/>
    <w:rsid w:val="00A35D5F"/>
    <w:rsid w:val="00A35EC6"/>
    <w:rsid w:val="00A35F94"/>
    <w:rsid w:val="00A35FDB"/>
    <w:rsid w:val="00A36279"/>
    <w:rsid w:val="00A363B3"/>
    <w:rsid w:val="00A36777"/>
    <w:rsid w:val="00A3692F"/>
    <w:rsid w:val="00A36CF9"/>
    <w:rsid w:val="00A36E58"/>
    <w:rsid w:val="00A37092"/>
    <w:rsid w:val="00A370B9"/>
    <w:rsid w:val="00A3736A"/>
    <w:rsid w:val="00A37390"/>
    <w:rsid w:val="00A37542"/>
    <w:rsid w:val="00A3789D"/>
    <w:rsid w:val="00A37A88"/>
    <w:rsid w:val="00A37ADA"/>
    <w:rsid w:val="00A37E4A"/>
    <w:rsid w:val="00A37EEC"/>
    <w:rsid w:val="00A40196"/>
    <w:rsid w:val="00A40474"/>
    <w:rsid w:val="00A404DD"/>
    <w:rsid w:val="00A4067B"/>
    <w:rsid w:val="00A406F5"/>
    <w:rsid w:val="00A40B18"/>
    <w:rsid w:val="00A40C30"/>
    <w:rsid w:val="00A40D07"/>
    <w:rsid w:val="00A40D65"/>
    <w:rsid w:val="00A40E97"/>
    <w:rsid w:val="00A41026"/>
    <w:rsid w:val="00A4106D"/>
    <w:rsid w:val="00A412DB"/>
    <w:rsid w:val="00A412F1"/>
    <w:rsid w:val="00A41991"/>
    <w:rsid w:val="00A41A26"/>
    <w:rsid w:val="00A41C22"/>
    <w:rsid w:val="00A41CEA"/>
    <w:rsid w:val="00A4224E"/>
    <w:rsid w:val="00A4271C"/>
    <w:rsid w:val="00A4287B"/>
    <w:rsid w:val="00A429A8"/>
    <w:rsid w:val="00A42B99"/>
    <w:rsid w:val="00A42CE0"/>
    <w:rsid w:val="00A432B9"/>
    <w:rsid w:val="00A433EA"/>
    <w:rsid w:val="00A43534"/>
    <w:rsid w:val="00A435DE"/>
    <w:rsid w:val="00A43A24"/>
    <w:rsid w:val="00A43A58"/>
    <w:rsid w:val="00A43AF2"/>
    <w:rsid w:val="00A44157"/>
    <w:rsid w:val="00A4423F"/>
    <w:rsid w:val="00A4435D"/>
    <w:rsid w:val="00A44702"/>
    <w:rsid w:val="00A44C20"/>
    <w:rsid w:val="00A44CF5"/>
    <w:rsid w:val="00A44D00"/>
    <w:rsid w:val="00A44D40"/>
    <w:rsid w:val="00A44E50"/>
    <w:rsid w:val="00A45143"/>
    <w:rsid w:val="00A451B1"/>
    <w:rsid w:val="00A45403"/>
    <w:rsid w:val="00A45416"/>
    <w:rsid w:val="00A456EC"/>
    <w:rsid w:val="00A45946"/>
    <w:rsid w:val="00A45B86"/>
    <w:rsid w:val="00A45D01"/>
    <w:rsid w:val="00A45ED2"/>
    <w:rsid w:val="00A45EDC"/>
    <w:rsid w:val="00A45F8C"/>
    <w:rsid w:val="00A46017"/>
    <w:rsid w:val="00A4621D"/>
    <w:rsid w:val="00A46283"/>
    <w:rsid w:val="00A46A27"/>
    <w:rsid w:val="00A46B0F"/>
    <w:rsid w:val="00A46E27"/>
    <w:rsid w:val="00A46EDB"/>
    <w:rsid w:val="00A46F93"/>
    <w:rsid w:val="00A47363"/>
    <w:rsid w:val="00A47415"/>
    <w:rsid w:val="00A47682"/>
    <w:rsid w:val="00A47984"/>
    <w:rsid w:val="00A479C1"/>
    <w:rsid w:val="00A47B2D"/>
    <w:rsid w:val="00A47B89"/>
    <w:rsid w:val="00A47CBF"/>
    <w:rsid w:val="00A47EAB"/>
    <w:rsid w:val="00A503DD"/>
    <w:rsid w:val="00A50806"/>
    <w:rsid w:val="00A50BE6"/>
    <w:rsid w:val="00A50BF3"/>
    <w:rsid w:val="00A50C69"/>
    <w:rsid w:val="00A50CBD"/>
    <w:rsid w:val="00A50EE6"/>
    <w:rsid w:val="00A51333"/>
    <w:rsid w:val="00A513AD"/>
    <w:rsid w:val="00A5174B"/>
    <w:rsid w:val="00A51E36"/>
    <w:rsid w:val="00A51F7A"/>
    <w:rsid w:val="00A52159"/>
    <w:rsid w:val="00A52161"/>
    <w:rsid w:val="00A521A1"/>
    <w:rsid w:val="00A524B6"/>
    <w:rsid w:val="00A524FF"/>
    <w:rsid w:val="00A526E0"/>
    <w:rsid w:val="00A52776"/>
    <w:rsid w:val="00A529E9"/>
    <w:rsid w:val="00A52A17"/>
    <w:rsid w:val="00A52C13"/>
    <w:rsid w:val="00A52DB0"/>
    <w:rsid w:val="00A52E14"/>
    <w:rsid w:val="00A5310E"/>
    <w:rsid w:val="00A53390"/>
    <w:rsid w:val="00A53449"/>
    <w:rsid w:val="00A534D7"/>
    <w:rsid w:val="00A5388D"/>
    <w:rsid w:val="00A53977"/>
    <w:rsid w:val="00A53B82"/>
    <w:rsid w:val="00A53D3C"/>
    <w:rsid w:val="00A53DD1"/>
    <w:rsid w:val="00A53FBB"/>
    <w:rsid w:val="00A54235"/>
    <w:rsid w:val="00A54266"/>
    <w:rsid w:val="00A544DE"/>
    <w:rsid w:val="00A54741"/>
    <w:rsid w:val="00A54796"/>
    <w:rsid w:val="00A548F8"/>
    <w:rsid w:val="00A54C6B"/>
    <w:rsid w:val="00A54DD3"/>
    <w:rsid w:val="00A54E18"/>
    <w:rsid w:val="00A54EB7"/>
    <w:rsid w:val="00A54FD5"/>
    <w:rsid w:val="00A550DC"/>
    <w:rsid w:val="00A55122"/>
    <w:rsid w:val="00A5533F"/>
    <w:rsid w:val="00A55685"/>
    <w:rsid w:val="00A556C1"/>
    <w:rsid w:val="00A55734"/>
    <w:rsid w:val="00A5576C"/>
    <w:rsid w:val="00A55E2B"/>
    <w:rsid w:val="00A55E9F"/>
    <w:rsid w:val="00A56279"/>
    <w:rsid w:val="00A56438"/>
    <w:rsid w:val="00A56550"/>
    <w:rsid w:val="00A567EC"/>
    <w:rsid w:val="00A56C63"/>
    <w:rsid w:val="00A56E96"/>
    <w:rsid w:val="00A5704E"/>
    <w:rsid w:val="00A57055"/>
    <w:rsid w:val="00A57690"/>
    <w:rsid w:val="00A576F9"/>
    <w:rsid w:val="00A579DE"/>
    <w:rsid w:val="00A579E2"/>
    <w:rsid w:val="00A57A90"/>
    <w:rsid w:val="00A57B4B"/>
    <w:rsid w:val="00A57B4D"/>
    <w:rsid w:val="00A600D3"/>
    <w:rsid w:val="00A601BD"/>
    <w:rsid w:val="00A60448"/>
    <w:rsid w:val="00A60476"/>
    <w:rsid w:val="00A608B9"/>
    <w:rsid w:val="00A609FD"/>
    <w:rsid w:val="00A60A6D"/>
    <w:rsid w:val="00A60C0E"/>
    <w:rsid w:val="00A60FD0"/>
    <w:rsid w:val="00A61139"/>
    <w:rsid w:val="00A613D7"/>
    <w:rsid w:val="00A61707"/>
    <w:rsid w:val="00A61763"/>
    <w:rsid w:val="00A6187E"/>
    <w:rsid w:val="00A61B6D"/>
    <w:rsid w:val="00A61D78"/>
    <w:rsid w:val="00A62304"/>
    <w:rsid w:val="00A62408"/>
    <w:rsid w:val="00A62520"/>
    <w:rsid w:val="00A6293B"/>
    <w:rsid w:val="00A62ADA"/>
    <w:rsid w:val="00A62C4D"/>
    <w:rsid w:val="00A62FE0"/>
    <w:rsid w:val="00A63059"/>
    <w:rsid w:val="00A6305F"/>
    <w:rsid w:val="00A633D9"/>
    <w:rsid w:val="00A63938"/>
    <w:rsid w:val="00A63AAB"/>
    <w:rsid w:val="00A63B84"/>
    <w:rsid w:val="00A63CDE"/>
    <w:rsid w:val="00A63D19"/>
    <w:rsid w:val="00A63E6B"/>
    <w:rsid w:val="00A641C8"/>
    <w:rsid w:val="00A644E7"/>
    <w:rsid w:val="00A645DE"/>
    <w:rsid w:val="00A64993"/>
    <w:rsid w:val="00A64AD5"/>
    <w:rsid w:val="00A64CE4"/>
    <w:rsid w:val="00A64D60"/>
    <w:rsid w:val="00A64E16"/>
    <w:rsid w:val="00A651AA"/>
    <w:rsid w:val="00A654CF"/>
    <w:rsid w:val="00A655D1"/>
    <w:rsid w:val="00A6570F"/>
    <w:rsid w:val="00A65740"/>
    <w:rsid w:val="00A6577A"/>
    <w:rsid w:val="00A659F2"/>
    <w:rsid w:val="00A65B6E"/>
    <w:rsid w:val="00A65B7E"/>
    <w:rsid w:val="00A65DD3"/>
    <w:rsid w:val="00A65FAD"/>
    <w:rsid w:val="00A65FD2"/>
    <w:rsid w:val="00A6605A"/>
    <w:rsid w:val="00A663D2"/>
    <w:rsid w:val="00A665EA"/>
    <w:rsid w:val="00A66723"/>
    <w:rsid w:val="00A66C1A"/>
    <w:rsid w:val="00A66CB2"/>
    <w:rsid w:val="00A66E14"/>
    <w:rsid w:val="00A67116"/>
    <w:rsid w:val="00A67203"/>
    <w:rsid w:val="00A67240"/>
    <w:rsid w:val="00A673F8"/>
    <w:rsid w:val="00A67448"/>
    <w:rsid w:val="00A67533"/>
    <w:rsid w:val="00A6767A"/>
    <w:rsid w:val="00A67826"/>
    <w:rsid w:val="00A67857"/>
    <w:rsid w:val="00A67870"/>
    <w:rsid w:val="00A67877"/>
    <w:rsid w:val="00A67C71"/>
    <w:rsid w:val="00A67FCF"/>
    <w:rsid w:val="00A70079"/>
    <w:rsid w:val="00A70261"/>
    <w:rsid w:val="00A70277"/>
    <w:rsid w:val="00A702F4"/>
    <w:rsid w:val="00A70423"/>
    <w:rsid w:val="00A706E5"/>
    <w:rsid w:val="00A70A2E"/>
    <w:rsid w:val="00A70C2E"/>
    <w:rsid w:val="00A70EB6"/>
    <w:rsid w:val="00A710A6"/>
    <w:rsid w:val="00A7183C"/>
    <w:rsid w:val="00A71974"/>
    <w:rsid w:val="00A7197A"/>
    <w:rsid w:val="00A71ABC"/>
    <w:rsid w:val="00A71C01"/>
    <w:rsid w:val="00A71E63"/>
    <w:rsid w:val="00A71F7C"/>
    <w:rsid w:val="00A7210D"/>
    <w:rsid w:val="00A723FF"/>
    <w:rsid w:val="00A7280B"/>
    <w:rsid w:val="00A728A6"/>
    <w:rsid w:val="00A72F4C"/>
    <w:rsid w:val="00A730A7"/>
    <w:rsid w:val="00A730DD"/>
    <w:rsid w:val="00A73D8D"/>
    <w:rsid w:val="00A73E8C"/>
    <w:rsid w:val="00A74282"/>
    <w:rsid w:val="00A7428E"/>
    <w:rsid w:val="00A743D9"/>
    <w:rsid w:val="00A7443F"/>
    <w:rsid w:val="00A7447D"/>
    <w:rsid w:val="00A744B5"/>
    <w:rsid w:val="00A74537"/>
    <w:rsid w:val="00A7459A"/>
    <w:rsid w:val="00A74732"/>
    <w:rsid w:val="00A74A4B"/>
    <w:rsid w:val="00A74AD5"/>
    <w:rsid w:val="00A74B8F"/>
    <w:rsid w:val="00A74D47"/>
    <w:rsid w:val="00A74EBE"/>
    <w:rsid w:val="00A7528B"/>
    <w:rsid w:val="00A755E1"/>
    <w:rsid w:val="00A75723"/>
    <w:rsid w:val="00A7591E"/>
    <w:rsid w:val="00A75AA2"/>
    <w:rsid w:val="00A75C20"/>
    <w:rsid w:val="00A75CE9"/>
    <w:rsid w:val="00A75E4E"/>
    <w:rsid w:val="00A75EFC"/>
    <w:rsid w:val="00A76164"/>
    <w:rsid w:val="00A761DF"/>
    <w:rsid w:val="00A767DB"/>
    <w:rsid w:val="00A768A9"/>
    <w:rsid w:val="00A76DC2"/>
    <w:rsid w:val="00A76E7E"/>
    <w:rsid w:val="00A76F1E"/>
    <w:rsid w:val="00A772FD"/>
    <w:rsid w:val="00A773CE"/>
    <w:rsid w:val="00A77615"/>
    <w:rsid w:val="00A776FC"/>
    <w:rsid w:val="00A77894"/>
    <w:rsid w:val="00A778ED"/>
    <w:rsid w:val="00A77BC3"/>
    <w:rsid w:val="00A77D08"/>
    <w:rsid w:val="00A80319"/>
    <w:rsid w:val="00A804BF"/>
    <w:rsid w:val="00A806D2"/>
    <w:rsid w:val="00A8073D"/>
    <w:rsid w:val="00A80872"/>
    <w:rsid w:val="00A808FE"/>
    <w:rsid w:val="00A8092A"/>
    <w:rsid w:val="00A80B72"/>
    <w:rsid w:val="00A80C49"/>
    <w:rsid w:val="00A80CDD"/>
    <w:rsid w:val="00A811D6"/>
    <w:rsid w:val="00A8192E"/>
    <w:rsid w:val="00A81C88"/>
    <w:rsid w:val="00A81D8E"/>
    <w:rsid w:val="00A821C3"/>
    <w:rsid w:val="00A82708"/>
    <w:rsid w:val="00A829F7"/>
    <w:rsid w:val="00A82FA5"/>
    <w:rsid w:val="00A830FA"/>
    <w:rsid w:val="00A8327B"/>
    <w:rsid w:val="00A83414"/>
    <w:rsid w:val="00A83679"/>
    <w:rsid w:val="00A8394F"/>
    <w:rsid w:val="00A83B5A"/>
    <w:rsid w:val="00A840D4"/>
    <w:rsid w:val="00A84413"/>
    <w:rsid w:val="00A8490E"/>
    <w:rsid w:val="00A84B3D"/>
    <w:rsid w:val="00A84BD1"/>
    <w:rsid w:val="00A84DA6"/>
    <w:rsid w:val="00A84E97"/>
    <w:rsid w:val="00A84FA8"/>
    <w:rsid w:val="00A8503A"/>
    <w:rsid w:val="00A85168"/>
    <w:rsid w:val="00A85219"/>
    <w:rsid w:val="00A85275"/>
    <w:rsid w:val="00A852CF"/>
    <w:rsid w:val="00A8541E"/>
    <w:rsid w:val="00A85509"/>
    <w:rsid w:val="00A8575F"/>
    <w:rsid w:val="00A85CBA"/>
    <w:rsid w:val="00A85E0D"/>
    <w:rsid w:val="00A85F4E"/>
    <w:rsid w:val="00A86390"/>
    <w:rsid w:val="00A8639A"/>
    <w:rsid w:val="00A865AC"/>
    <w:rsid w:val="00A866DC"/>
    <w:rsid w:val="00A8696C"/>
    <w:rsid w:val="00A86A9C"/>
    <w:rsid w:val="00A86BB3"/>
    <w:rsid w:val="00A86D13"/>
    <w:rsid w:val="00A86D97"/>
    <w:rsid w:val="00A86DDE"/>
    <w:rsid w:val="00A86EF1"/>
    <w:rsid w:val="00A870C9"/>
    <w:rsid w:val="00A87144"/>
    <w:rsid w:val="00A87400"/>
    <w:rsid w:val="00A87619"/>
    <w:rsid w:val="00A87CA6"/>
    <w:rsid w:val="00A87CB3"/>
    <w:rsid w:val="00A87EC1"/>
    <w:rsid w:val="00A87F34"/>
    <w:rsid w:val="00A902D9"/>
    <w:rsid w:val="00A904B6"/>
    <w:rsid w:val="00A904DB"/>
    <w:rsid w:val="00A90525"/>
    <w:rsid w:val="00A90851"/>
    <w:rsid w:val="00A90BFB"/>
    <w:rsid w:val="00A90D28"/>
    <w:rsid w:val="00A90D6F"/>
    <w:rsid w:val="00A90E12"/>
    <w:rsid w:val="00A90F35"/>
    <w:rsid w:val="00A91049"/>
    <w:rsid w:val="00A9129A"/>
    <w:rsid w:val="00A912B7"/>
    <w:rsid w:val="00A913E5"/>
    <w:rsid w:val="00A91440"/>
    <w:rsid w:val="00A9188F"/>
    <w:rsid w:val="00A9189F"/>
    <w:rsid w:val="00A918BE"/>
    <w:rsid w:val="00A91961"/>
    <w:rsid w:val="00A91987"/>
    <w:rsid w:val="00A91AA4"/>
    <w:rsid w:val="00A91AA7"/>
    <w:rsid w:val="00A91AE6"/>
    <w:rsid w:val="00A91B29"/>
    <w:rsid w:val="00A91B5A"/>
    <w:rsid w:val="00A91C6E"/>
    <w:rsid w:val="00A91D6D"/>
    <w:rsid w:val="00A91DA2"/>
    <w:rsid w:val="00A91E9D"/>
    <w:rsid w:val="00A9217F"/>
    <w:rsid w:val="00A921F6"/>
    <w:rsid w:val="00A9229D"/>
    <w:rsid w:val="00A92614"/>
    <w:rsid w:val="00A926E2"/>
    <w:rsid w:val="00A92718"/>
    <w:rsid w:val="00A92B04"/>
    <w:rsid w:val="00A92BEA"/>
    <w:rsid w:val="00A92C35"/>
    <w:rsid w:val="00A92CA3"/>
    <w:rsid w:val="00A9313C"/>
    <w:rsid w:val="00A931B0"/>
    <w:rsid w:val="00A932C6"/>
    <w:rsid w:val="00A934D7"/>
    <w:rsid w:val="00A935ED"/>
    <w:rsid w:val="00A9386A"/>
    <w:rsid w:val="00A9422F"/>
    <w:rsid w:val="00A94297"/>
    <w:rsid w:val="00A94585"/>
    <w:rsid w:val="00A945B7"/>
    <w:rsid w:val="00A946E5"/>
    <w:rsid w:val="00A9471C"/>
    <w:rsid w:val="00A948C5"/>
    <w:rsid w:val="00A94C80"/>
    <w:rsid w:val="00A94CBC"/>
    <w:rsid w:val="00A94D84"/>
    <w:rsid w:val="00A94DDA"/>
    <w:rsid w:val="00A94DDC"/>
    <w:rsid w:val="00A94FA4"/>
    <w:rsid w:val="00A9510E"/>
    <w:rsid w:val="00A95481"/>
    <w:rsid w:val="00A955FD"/>
    <w:rsid w:val="00A957BB"/>
    <w:rsid w:val="00A95847"/>
    <w:rsid w:val="00A959E7"/>
    <w:rsid w:val="00A95A26"/>
    <w:rsid w:val="00A95AA8"/>
    <w:rsid w:val="00A95D06"/>
    <w:rsid w:val="00A95D1B"/>
    <w:rsid w:val="00A95F1D"/>
    <w:rsid w:val="00A9640D"/>
    <w:rsid w:val="00A96624"/>
    <w:rsid w:val="00A96853"/>
    <w:rsid w:val="00A968B4"/>
    <w:rsid w:val="00A9695B"/>
    <w:rsid w:val="00A96A8D"/>
    <w:rsid w:val="00A96B07"/>
    <w:rsid w:val="00A96F7D"/>
    <w:rsid w:val="00A96FBA"/>
    <w:rsid w:val="00A97827"/>
    <w:rsid w:val="00A978C6"/>
    <w:rsid w:val="00A979DD"/>
    <w:rsid w:val="00A97AC1"/>
    <w:rsid w:val="00A97AED"/>
    <w:rsid w:val="00A97CD7"/>
    <w:rsid w:val="00A97D71"/>
    <w:rsid w:val="00AA00D3"/>
    <w:rsid w:val="00AA036E"/>
    <w:rsid w:val="00AA0463"/>
    <w:rsid w:val="00AA050F"/>
    <w:rsid w:val="00AA0839"/>
    <w:rsid w:val="00AA0851"/>
    <w:rsid w:val="00AA0880"/>
    <w:rsid w:val="00AA0886"/>
    <w:rsid w:val="00AA0D3C"/>
    <w:rsid w:val="00AA0DE0"/>
    <w:rsid w:val="00AA0F3D"/>
    <w:rsid w:val="00AA0FB5"/>
    <w:rsid w:val="00AA1123"/>
    <w:rsid w:val="00AA134E"/>
    <w:rsid w:val="00AA1C9F"/>
    <w:rsid w:val="00AA1D80"/>
    <w:rsid w:val="00AA2166"/>
    <w:rsid w:val="00AA2292"/>
    <w:rsid w:val="00AA2441"/>
    <w:rsid w:val="00AA24DE"/>
    <w:rsid w:val="00AA2A04"/>
    <w:rsid w:val="00AA2A5B"/>
    <w:rsid w:val="00AA2C09"/>
    <w:rsid w:val="00AA2E93"/>
    <w:rsid w:val="00AA3162"/>
    <w:rsid w:val="00AA33F7"/>
    <w:rsid w:val="00AA3413"/>
    <w:rsid w:val="00AA3535"/>
    <w:rsid w:val="00AA3716"/>
    <w:rsid w:val="00AA3861"/>
    <w:rsid w:val="00AA3870"/>
    <w:rsid w:val="00AA38DC"/>
    <w:rsid w:val="00AA3953"/>
    <w:rsid w:val="00AA3B8B"/>
    <w:rsid w:val="00AA3CF1"/>
    <w:rsid w:val="00AA3D73"/>
    <w:rsid w:val="00AA40D3"/>
    <w:rsid w:val="00AA410F"/>
    <w:rsid w:val="00AA4174"/>
    <w:rsid w:val="00AA435A"/>
    <w:rsid w:val="00AA4409"/>
    <w:rsid w:val="00AA441A"/>
    <w:rsid w:val="00AA47BF"/>
    <w:rsid w:val="00AA4971"/>
    <w:rsid w:val="00AA49A0"/>
    <w:rsid w:val="00AA4AE4"/>
    <w:rsid w:val="00AA4E4E"/>
    <w:rsid w:val="00AA50EB"/>
    <w:rsid w:val="00AA5250"/>
    <w:rsid w:val="00AA5401"/>
    <w:rsid w:val="00AA54A1"/>
    <w:rsid w:val="00AA54DB"/>
    <w:rsid w:val="00AA59B4"/>
    <w:rsid w:val="00AA5AF2"/>
    <w:rsid w:val="00AA5B70"/>
    <w:rsid w:val="00AA5BC5"/>
    <w:rsid w:val="00AA5C9C"/>
    <w:rsid w:val="00AA5DC7"/>
    <w:rsid w:val="00AA5F1C"/>
    <w:rsid w:val="00AA5F6F"/>
    <w:rsid w:val="00AA6094"/>
    <w:rsid w:val="00AA6426"/>
    <w:rsid w:val="00AA6843"/>
    <w:rsid w:val="00AA689C"/>
    <w:rsid w:val="00AA68F9"/>
    <w:rsid w:val="00AA6DE8"/>
    <w:rsid w:val="00AA6EE6"/>
    <w:rsid w:val="00AA71BA"/>
    <w:rsid w:val="00AA75E2"/>
    <w:rsid w:val="00AA765D"/>
    <w:rsid w:val="00AA7665"/>
    <w:rsid w:val="00AA76AC"/>
    <w:rsid w:val="00AA7A73"/>
    <w:rsid w:val="00AA7BFB"/>
    <w:rsid w:val="00AA7E24"/>
    <w:rsid w:val="00AA7E87"/>
    <w:rsid w:val="00AB00DD"/>
    <w:rsid w:val="00AB01D8"/>
    <w:rsid w:val="00AB01E7"/>
    <w:rsid w:val="00AB022A"/>
    <w:rsid w:val="00AB049B"/>
    <w:rsid w:val="00AB0829"/>
    <w:rsid w:val="00AB0924"/>
    <w:rsid w:val="00AB09D8"/>
    <w:rsid w:val="00AB0BBE"/>
    <w:rsid w:val="00AB0BC1"/>
    <w:rsid w:val="00AB0F91"/>
    <w:rsid w:val="00AB12E8"/>
    <w:rsid w:val="00AB1361"/>
    <w:rsid w:val="00AB141D"/>
    <w:rsid w:val="00AB1494"/>
    <w:rsid w:val="00AB1584"/>
    <w:rsid w:val="00AB172D"/>
    <w:rsid w:val="00AB175C"/>
    <w:rsid w:val="00AB1A36"/>
    <w:rsid w:val="00AB1ADD"/>
    <w:rsid w:val="00AB1B75"/>
    <w:rsid w:val="00AB1E1D"/>
    <w:rsid w:val="00AB1E9C"/>
    <w:rsid w:val="00AB20F7"/>
    <w:rsid w:val="00AB2310"/>
    <w:rsid w:val="00AB258E"/>
    <w:rsid w:val="00AB295B"/>
    <w:rsid w:val="00AB2AB2"/>
    <w:rsid w:val="00AB2AED"/>
    <w:rsid w:val="00AB2EFD"/>
    <w:rsid w:val="00AB3302"/>
    <w:rsid w:val="00AB335E"/>
    <w:rsid w:val="00AB33CB"/>
    <w:rsid w:val="00AB352E"/>
    <w:rsid w:val="00AB3834"/>
    <w:rsid w:val="00AB3D4B"/>
    <w:rsid w:val="00AB3F66"/>
    <w:rsid w:val="00AB3FB1"/>
    <w:rsid w:val="00AB4347"/>
    <w:rsid w:val="00AB4355"/>
    <w:rsid w:val="00AB4667"/>
    <w:rsid w:val="00AB489B"/>
    <w:rsid w:val="00AB4DD2"/>
    <w:rsid w:val="00AB505D"/>
    <w:rsid w:val="00AB51E4"/>
    <w:rsid w:val="00AB5224"/>
    <w:rsid w:val="00AB539A"/>
    <w:rsid w:val="00AB5406"/>
    <w:rsid w:val="00AB54B8"/>
    <w:rsid w:val="00AB59A6"/>
    <w:rsid w:val="00AB5B8E"/>
    <w:rsid w:val="00AB5C4A"/>
    <w:rsid w:val="00AB5D9D"/>
    <w:rsid w:val="00AB5E91"/>
    <w:rsid w:val="00AB5F49"/>
    <w:rsid w:val="00AB5FF7"/>
    <w:rsid w:val="00AB6000"/>
    <w:rsid w:val="00AB647C"/>
    <w:rsid w:val="00AB66C7"/>
    <w:rsid w:val="00AB6745"/>
    <w:rsid w:val="00AB67D2"/>
    <w:rsid w:val="00AB6D7C"/>
    <w:rsid w:val="00AB711E"/>
    <w:rsid w:val="00AB7207"/>
    <w:rsid w:val="00AB727F"/>
    <w:rsid w:val="00AB72F4"/>
    <w:rsid w:val="00AB73C6"/>
    <w:rsid w:val="00AB759D"/>
    <w:rsid w:val="00AB76B5"/>
    <w:rsid w:val="00AB7855"/>
    <w:rsid w:val="00AB7902"/>
    <w:rsid w:val="00AB79E2"/>
    <w:rsid w:val="00AB7D48"/>
    <w:rsid w:val="00AB7D61"/>
    <w:rsid w:val="00AB7EE7"/>
    <w:rsid w:val="00AC0293"/>
    <w:rsid w:val="00AC0327"/>
    <w:rsid w:val="00AC0566"/>
    <w:rsid w:val="00AC0601"/>
    <w:rsid w:val="00AC0AB1"/>
    <w:rsid w:val="00AC0BB0"/>
    <w:rsid w:val="00AC0C4E"/>
    <w:rsid w:val="00AC0DD9"/>
    <w:rsid w:val="00AC0EC6"/>
    <w:rsid w:val="00AC0FFA"/>
    <w:rsid w:val="00AC1157"/>
    <w:rsid w:val="00AC1219"/>
    <w:rsid w:val="00AC12BF"/>
    <w:rsid w:val="00AC1662"/>
    <w:rsid w:val="00AC16FD"/>
    <w:rsid w:val="00AC18E2"/>
    <w:rsid w:val="00AC1A22"/>
    <w:rsid w:val="00AC1BC7"/>
    <w:rsid w:val="00AC1D00"/>
    <w:rsid w:val="00AC1EC4"/>
    <w:rsid w:val="00AC22AF"/>
    <w:rsid w:val="00AC2423"/>
    <w:rsid w:val="00AC2453"/>
    <w:rsid w:val="00AC2581"/>
    <w:rsid w:val="00AC25A9"/>
    <w:rsid w:val="00AC2686"/>
    <w:rsid w:val="00AC26F2"/>
    <w:rsid w:val="00AC2752"/>
    <w:rsid w:val="00AC2816"/>
    <w:rsid w:val="00AC2830"/>
    <w:rsid w:val="00AC2846"/>
    <w:rsid w:val="00AC28A0"/>
    <w:rsid w:val="00AC29FB"/>
    <w:rsid w:val="00AC2E1E"/>
    <w:rsid w:val="00AC2EA8"/>
    <w:rsid w:val="00AC2FE7"/>
    <w:rsid w:val="00AC318A"/>
    <w:rsid w:val="00AC3290"/>
    <w:rsid w:val="00AC32AD"/>
    <w:rsid w:val="00AC33DF"/>
    <w:rsid w:val="00AC33E5"/>
    <w:rsid w:val="00AC360F"/>
    <w:rsid w:val="00AC370F"/>
    <w:rsid w:val="00AC390F"/>
    <w:rsid w:val="00AC396E"/>
    <w:rsid w:val="00AC39EE"/>
    <w:rsid w:val="00AC3A3C"/>
    <w:rsid w:val="00AC3E8E"/>
    <w:rsid w:val="00AC4461"/>
    <w:rsid w:val="00AC44E0"/>
    <w:rsid w:val="00AC4641"/>
    <w:rsid w:val="00AC4655"/>
    <w:rsid w:val="00AC468B"/>
    <w:rsid w:val="00AC4747"/>
    <w:rsid w:val="00AC4908"/>
    <w:rsid w:val="00AC4B78"/>
    <w:rsid w:val="00AC4BF8"/>
    <w:rsid w:val="00AC4D52"/>
    <w:rsid w:val="00AC579F"/>
    <w:rsid w:val="00AC58F1"/>
    <w:rsid w:val="00AC5A2C"/>
    <w:rsid w:val="00AC5B69"/>
    <w:rsid w:val="00AC5C0C"/>
    <w:rsid w:val="00AC5DE6"/>
    <w:rsid w:val="00AC5E21"/>
    <w:rsid w:val="00AC615E"/>
    <w:rsid w:val="00AC6176"/>
    <w:rsid w:val="00AC622D"/>
    <w:rsid w:val="00AC6298"/>
    <w:rsid w:val="00AC6305"/>
    <w:rsid w:val="00AC63DA"/>
    <w:rsid w:val="00AC647A"/>
    <w:rsid w:val="00AC6625"/>
    <w:rsid w:val="00AC665D"/>
    <w:rsid w:val="00AC67DC"/>
    <w:rsid w:val="00AC693C"/>
    <w:rsid w:val="00AC6950"/>
    <w:rsid w:val="00AC6958"/>
    <w:rsid w:val="00AC69A3"/>
    <w:rsid w:val="00AC6C22"/>
    <w:rsid w:val="00AC7591"/>
    <w:rsid w:val="00AC7690"/>
    <w:rsid w:val="00AC780A"/>
    <w:rsid w:val="00AC7CAB"/>
    <w:rsid w:val="00AC7EC7"/>
    <w:rsid w:val="00AD0056"/>
    <w:rsid w:val="00AD008B"/>
    <w:rsid w:val="00AD00E8"/>
    <w:rsid w:val="00AD01AE"/>
    <w:rsid w:val="00AD01DC"/>
    <w:rsid w:val="00AD07C7"/>
    <w:rsid w:val="00AD0900"/>
    <w:rsid w:val="00AD0C71"/>
    <w:rsid w:val="00AD0CD8"/>
    <w:rsid w:val="00AD0E37"/>
    <w:rsid w:val="00AD100E"/>
    <w:rsid w:val="00AD118D"/>
    <w:rsid w:val="00AD1397"/>
    <w:rsid w:val="00AD14AE"/>
    <w:rsid w:val="00AD1585"/>
    <w:rsid w:val="00AD15D8"/>
    <w:rsid w:val="00AD18AA"/>
    <w:rsid w:val="00AD1B87"/>
    <w:rsid w:val="00AD1C17"/>
    <w:rsid w:val="00AD1D08"/>
    <w:rsid w:val="00AD1E26"/>
    <w:rsid w:val="00AD1EF5"/>
    <w:rsid w:val="00AD1F23"/>
    <w:rsid w:val="00AD2531"/>
    <w:rsid w:val="00AD2539"/>
    <w:rsid w:val="00AD2625"/>
    <w:rsid w:val="00AD275A"/>
    <w:rsid w:val="00AD2B2C"/>
    <w:rsid w:val="00AD2B5B"/>
    <w:rsid w:val="00AD2E9A"/>
    <w:rsid w:val="00AD2FCE"/>
    <w:rsid w:val="00AD304B"/>
    <w:rsid w:val="00AD3079"/>
    <w:rsid w:val="00AD309F"/>
    <w:rsid w:val="00AD3149"/>
    <w:rsid w:val="00AD31BD"/>
    <w:rsid w:val="00AD3339"/>
    <w:rsid w:val="00AD346C"/>
    <w:rsid w:val="00AD34B1"/>
    <w:rsid w:val="00AD34D3"/>
    <w:rsid w:val="00AD34F8"/>
    <w:rsid w:val="00AD3775"/>
    <w:rsid w:val="00AD3D04"/>
    <w:rsid w:val="00AD3D7A"/>
    <w:rsid w:val="00AD3FA7"/>
    <w:rsid w:val="00AD4022"/>
    <w:rsid w:val="00AD4442"/>
    <w:rsid w:val="00AD467C"/>
    <w:rsid w:val="00AD4866"/>
    <w:rsid w:val="00AD4A0F"/>
    <w:rsid w:val="00AD4A2B"/>
    <w:rsid w:val="00AD4B32"/>
    <w:rsid w:val="00AD4CA1"/>
    <w:rsid w:val="00AD4DA8"/>
    <w:rsid w:val="00AD562C"/>
    <w:rsid w:val="00AD58F3"/>
    <w:rsid w:val="00AD5BE0"/>
    <w:rsid w:val="00AD5D3D"/>
    <w:rsid w:val="00AD5DB5"/>
    <w:rsid w:val="00AD5F08"/>
    <w:rsid w:val="00AD5F91"/>
    <w:rsid w:val="00AD625C"/>
    <w:rsid w:val="00AD630F"/>
    <w:rsid w:val="00AD68E9"/>
    <w:rsid w:val="00AD700E"/>
    <w:rsid w:val="00AD7113"/>
    <w:rsid w:val="00AD718F"/>
    <w:rsid w:val="00AD71C4"/>
    <w:rsid w:val="00AD725E"/>
    <w:rsid w:val="00AD73ED"/>
    <w:rsid w:val="00AD760C"/>
    <w:rsid w:val="00AD76C8"/>
    <w:rsid w:val="00AE00A1"/>
    <w:rsid w:val="00AE0104"/>
    <w:rsid w:val="00AE0129"/>
    <w:rsid w:val="00AE01DA"/>
    <w:rsid w:val="00AE02B7"/>
    <w:rsid w:val="00AE02CB"/>
    <w:rsid w:val="00AE0452"/>
    <w:rsid w:val="00AE0586"/>
    <w:rsid w:val="00AE059A"/>
    <w:rsid w:val="00AE0A55"/>
    <w:rsid w:val="00AE0C35"/>
    <w:rsid w:val="00AE0CF1"/>
    <w:rsid w:val="00AE0CF8"/>
    <w:rsid w:val="00AE0D27"/>
    <w:rsid w:val="00AE0DA3"/>
    <w:rsid w:val="00AE124E"/>
    <w:rsid w:val="00AE1331"/>
    <w:rsid w:val="00AE13B8"/>
    <w:rsid w:val="00AE1413"/>
    <w:rsid w:val="00AE1542"/>
    <w:rsid w:val="00AE1637"/>
    <w:rsid w:val="00AE16FF"/>
    <w:rsid w:val="00AE183D"/>
    <w:rsid w:val="00AE18E8"/>
    <w:rsid w:val="00AE1BFA"/>
    <w:rsid w:val="00AE1F92"/>
    <w:rsid w:val="00AE213E"/>
    <w:rsid w:val="00AE22F8"/>
    <w:rsid w:val="00AE2458"/>
    <w:rsid w:val="00AE2595"/>
    <w:rsid w:val="00AE2633"/>
    <w:rsid w:val="00AE279B"/>
    <w:rsid w:val="00AE28CD"/>
    <w:rsid w:val="00AE28EC"/>
    <w:rsid w:val="00AE2917"/>
    <w:rsid w:val="00AE29A6"/>
    <w:rsid w:val="00AE29D5"/>
    <w:rsid w:val="00AE2C27"/>
    <w:rsid w:val="00AE2DEB"/>
    <w:rsid w:val="00AE2FA7"/>
    <w:rsid w:val="00AE3065"/>
    <w:rsid w:val="00AE30AD"/>
    <w:rsid w:val="00AE34F3"/>
    <w:rsid w:val="00AE3538"/>
    <w:rsid w:val="00AE355C"/>
    <w:rsid w:val="00AE3680"/>
    <w:rsid w:val="00AE36FC"/>
    <w:rsid w:val="00AE371E"/>
    <w:rsid w:val="00AE37D4"/>
    <w:rsid w:val="00AE3948"/>
    <w:rsid w:val="00AE3B26"/>
    <w:rsid w:val="00AE3D4D"/>
    <w:rsid w:val="00AE3E3F"/>
    <w:rsid w:val="00AE3FD7"/>
    <w:rsid w:val="00AE453C"/>
    <w:rsid w:val="00AE472B"/>
    <w:rsid w:val="00AE49FE"/>
    <w:rsid w:val="00AE4BE8"/>
    <w:rsid w:val="00AE4EDD"/>
    <w:rsid w:val="00AE50F3"/>
    <w:rsid w:val="00AE535F"/>
    <w:rsid w:val="00AE54EB"/>
    <w:rsid w:val="00AE55AD"/>
    <w:rsid w:val="00AE57A4"/>
    <w:rsid w:val="00AE5A85"/>
    <w:rsid w:val="00AE5AC2"/>
    <w:rsid w:val="00AE5B3C"/>
    <w:rsid w:val="00AE5B70"/>
    <w:rsid w:val="00AE5BCA"/>
    <w:rsid w:val="00AE5CBD"/>
    <w:rsid w:val="00AE5DC1"/>
    <w:rsid w:val="00AE5ED6"/>
    <w:rsid w:val="00AE6041"/>
    <w:rsid w:val="00AE62A7"/>
    <w:rsid w:val="00AE6531"/>
    <w:rsid w:val="00AE6576"/>
    <w:rsid w:val="00AE668B"/>
    <w:rsid w:val="00AE6755"/>
    <w:rsid w:val="00AE689A"/>
    <w:rsid w:val="00AE691E"/>
    <w:rsid w:val="00AE6B04"/>
    <w:rsid w:val="00AE6C55"/>
    <w:rsid w:val="00AE6D61"/>
    <w:rsid w:val="00AE6DAF"/>
    <w:rsid w:val="00AE6DDE"/>
    <w:rsid w:val="00AE6EDC"/>
    <w:rsid w:val="00AE739E"/>
    <w:rsid w:val="00AE7522"/>
    <w:rsid w:val="00AE752C"/>
    <w:rsid w:val="00AE787D"/>
    <w:rsid w:val="00AE7C71"/>
    <w:rsid w:val="00AE7ED6"/>
    <w:rsid w:val="00AF00D0"/>
    <w:rsid w:val="00AF00DE"/>
    <w:rsid w:val="00AF02CB"/>
    <w:rsid w:val="00AF06BD"/>
    <w:rsid w:val="00AF0760"/>
    <w:rsid w:val="00AF0876"/>
    <w:rsid w:val="00AF0A87"/>
    <w:rsid w:val="00AF0B95"/>
    <w:rsid w:val="00AF0E5B"/>
    <w:rsid w:val="00AF0EBC"/>
    <w:rsid w:val="00AF0F9B"/>
    <w:rsid w:val="00AF0FA9"/>
    <w:rsid w:val="00AF1067"/>
    <w:rsid w:val="00AF10A0"/>
    <w:rsid w:val="00AF11E7"/>
    <w:rsid w:val="00AF13AB"/>
    <w:rsid w:val="00AF13FC"/>
    <w:rsid w:val="00AF1566"/>
    <w:rsid w:val="00AF19AD"/>
    <w:rsid w:val="00AF1A62"/>
    <w:rsid w:val="00AF1D18"/>
    <w:rsid w:val="00AF1E4B"/>
    <w:rsid w:val="00AF1E8F"/>
    <w:rsid w:val="00AF223E"/>
    <w:rsid w:val="00AF2240"/>
    <w:rsid w:val="00AF230C"/>
    <w:rsid w:val="00AF2387"/>
    <w:rsid w:val="00AF24EA"/>
    <w:rsid w:val="00AF25E1"/>
    <w:rsid w:val="00AF2623"/>
    <w:rsid w:val="00AF2658"/>
    <w:rsid w:val="00AF2679"/>
    <w:rsid w:val="00AF2681"/>
    <w:rsid w:val="00AF28C5"/>
    <w:rsid w:val="00AF2A0C"/>
    <w:rsid w:val="00AF2A38"/>
    <w:rsid w:val="00AF2AE4"/>
    <w:rsid w:val="00AF2FDE"/>
    <w:rsid w:val="00AF30ED"/>
    <w:rsid w:val="00AF318A"/>
    <w:rsid w:val="00AF32A6"/>
    <w:rsid w:val="00AF3A5B"/>
    <w:rsid w:val="00AF3C80"/>
    <w:rsid w:val="00AF40B2"/>
    <w:rsid w:val="00AF41CE"/>
    <w:rsid w:val="00AF425E"/>
    <w:rsid w:val="00AF4742"/>
    <w:rsid w:val="00AF481C"/>
    <w:rsid w:val="00AF488F"/>
    <w:rsid w:val="00AF4AF4"/>
    <w:rsid w:val="00AF4B9E"/>
    <w:rsid w:val="00AF4D12"/>
    <w:rsid w:val="00AF4DFA"/>
    <w:rsid w:val="00AF4E3C"/>
    <w:rsid w:val="00AF4EC7"/>
    <w:rsid w:val="00AF520B"/>
    <w:rsid w:val="00AF54EB"/>
    <w:rsid w:val="00AF54EC"/>
    <w:rsid w:val="00AF5521"/>
    <w:rsid w:val="00AF56EA"/>
    <w:rsid w:val="00AF5854"/>
    <w:rsid w:val="00AF59CE"/>
    <w:rsid w:val="00AF5B09"/>
    <w:rsid w:val="00AF5D6B"/>
    <w:rsid w:val="00AF5D70"/>
    <w:rsid w:val="00AF5D99"/>
    <w:rsid w:val="00AF60E5"/>
    <w:rsid w:val="00AF645B"/>
    <w:rsid w:val="00AF64B0"/>
    <w:rsid w:val="00AF66F6"/>
    <w:rsid w:val="00AF67C8"/>
    <w:rsid w:val="00AF683C"/>
    <w:rsid w:val="00AF697A"/>
    <w:rsid w:val="00AF6AC1"/>
    <w:rsid w:val="00AF6AF3"/>
    <w:rsid w:val="00AF6BDF"/>
    <w:rsid w:val="00AF6C38"/>
    <w:rsid w:val="00AF6E91"/>
    <w:rsid w:val="00AF6F66"/>
    <w:rsid w:val="00AF7357"/>
    <w:rsid w:val="00AF78C6"/>
    <w:rsid w:val="00AF7AEC"/>
    <w:rsid w:val="00AF7C73"/>
    <w:rsid w:val="00AF7D39"/>
    <w:rsid w:val="00B0013A"/>
    <w:rsid w:val="00B0040A"/>
    <w:rsid w:val="00B0049C"/>
    <w:rsid w:val="00B007B6"/>
    <w:rsid w:val="00B00950"/>
    <w:rsid w:val="00B00ACA"/>
    <w:rsid w:val="00B00AEC"/>
    <w:rsid w:val="00B00CFB"/>
    <w:rsid w:val="00B00D69"/>
    <w:rsid w:val="00B00FC7"/>
    <w:rsid w:val="00B0136A"/>
    <w:rsid w:val="00B013F5"/>
    <w:rsid w:val="00B0172B"/>
    <w:rsid w:val="00B01843"/>
    <w:rsid w:val="00B01870"/>
    <w:rsid w:val="00B01896"/>
    <w:rsid w:val="00B0198C"/>
    <w:rsid w:val="00B019A2"/>
    <w:rsid w:val="00B019BB"/>
    <w:rsid w:val="00B01B0A"/>
    <w:rsid w:val="00B01B6F"/>
    <w:rsid w:val="00B01CC2"/>
    <w:rsid w:val="00B01CF4"/>
    <w:rsid w:val="00B01D00"/>
    <w:rsid w:val="00B01D5B"/>
    <w:rsid w:val="00B01EAE"/>
    <w:rsid w:val="00B01F47"/>
    <w:rsid w:val="00B020AC"/>
    <w:rsid w:val="00B0214E"/>
    <w:rsid w:val="00B022F7"/>
    <w:rsid w:val="00B02353"/>
    <w:rsid w:val="00B024F6"/>
    <w:rsid w:val="00B02533"/>
    <w:rsid w:val="00B0270D"/>
    <w:rsid w:val="00B02773"/>
    <w:rsid w:val="00B0291E"/>
    <w:rsid w:val="00B0299D"/>
    <w:rsid w:val="00B02A2D"/>
    <w:rsid w:val="00B02D7B"/>
    <w:rsid w:val="00B02E78"/>
    <w:rsid w:val="00B02E8F"/>
    <w:rsid w:val="00B03145"/>
    <w:rsid w:val="00B03267"/>
    <w:rsid w:val="00B034F0"/>
    <w:rsid w:val="00B036B7"/>
    <w:rsid w:val="00B037C8"/>
    <w:rsid w:val="00B038D0"/>
    <w:rsid w:val="00B03971"/>
    <w:rsid w:val="00B03A73"/>
    <w:rsid w:val="00B03B85"/>
    <w:rsid w:val="00B03BF0"/>
    <w:rsid w:val="00B03C26"/>
    <w:rsid w:val="00B03CD4"/>
    <w:rsid w:val="00B03CF5"/>
    <w:rsid w:val="00B03F0F"/>
    <w:rsid w:val="00B0408A"/>
    <w:rsid w:val="00B0429A"/>
    <w:rsid w:val="00B043E2"/>
    <w:rsid w:val="00B044A4"/>
    <w:rsid w:val="00B044D6"/>
    <w:rsid w:val="00B04552"/>
    <w:rsid w:val="00B045C1"/>
    <w:rsid w:val="00B045E4"/>
    <w:rsid w:val="00B0465D"/>
    <w:rsid w:val="00B04672"/>
    <w:rsid w:val="00B04811"/>
    <w:rsid w:val="00B048A2"/>
    <w:rsid w:val="00B04A56"/>
    <w:rsid w:val="00B053C6"/>
    <w:rsid w:val="00B0557F"/>
    <w:rsid w:val="00B056CE"/>
    <w:rsid w:val="00B057D7"/>
    <w:rsid w:val="00B05875"/>
    <w:rsid w:val="00B05B0F"/>
    <w:rsid w:val="00B05F52"/>
    <w:rsid w:val="00B06153"/>
    <w:rsid w:val="00B062C4"/>
    <w:rsid w:val="00B06334"/>
    <w:rsid w:val="00B06437"/>
    <w:rsid w:val="00B068D9"/>
    <w:rsid w:val="00B06A11"/>
    <w:rsid w:val="00B06D72"/>
    <w:rsid w:val="00B06EDD"/>
    <w:rsid w:val="00B06F02"/>
    <w:rsid w:val="00B071A2"/>
    <w:rsid w:val="00B071F2"/>
    <w:rsid w:val="00B072C6"/>
    <w:rsid w:val="00B07978"/>
    <w:rsid w:val="00B079D0"/>
    <w:rsid w:val="00B07B31"/>
    <w:rsid w:val="00B07B6E"/>
    <w:rsid w:val="00B07C14"/>
    <w:rsid w:val="00B07CE9"/>
    <w:rsid w:val="00B07D78"/>
    <w:rsid w:val="00B07E17"/>
    <w:rsid w:val="00B07E44"/>
    <w:rsid w:val="00B1014B"/>
    <w:rsid w:val="00B1024C"/>
    <w:rsid w:val="00B10416"/>
    <w:rsid w:val="00B10480"/>
    <w:rsid w:val="00B104E5"/>
    <w:rsid w:val="00B10547"/>
    <w:rsid w:val="00B10872"/>
    <w:rsid w:val="00B10B31"/>
    <w:rsid w:val="00B10D2B"/>
    <w:rsid w:val="00B110FE"/>
    <w:rsid w:val="00B1129A"/>
    <w:rsid w:val="00B112EE"/>
    <w:rsid w:val="00B115DF"/>
    <w:rsid w:val="00B117DA"/>
    <w:rsid w:val="00B11A70"/>
    <w:rsid w:val="00B11B7A"/>
    <w:rsid w:val="00B11B86"/>
    <w:rsid w:val="00B11DF0"/>
    <w:rsid w:val="00B11E19"/>
    <w:rsid w:val="00B11F0B"/>
    <w:rsid w:val="00B12086"/>
    <w:rsid w:val="00B12357"/>
    <w:rsid w:val="00B1242A"/>
    <w:rsid w:val="00B12472"/>
    <w:rsid w:val="00B12705"/>
    <w:rsid w:val="00B12C6D"/>
    <w:rsid w:val="00B12FD9"/>
    <w:rsid w:val="00B13124"/>
    <w:rsid w:val="00B1315E"/>
    <w:rsid w:val="00B131C3"/>
    <w:rsid w:val="00B1343B"/>
    <w:rsid w:val="00B13792"/>
    <w:rsid w:val="00B13B88"/>
    <w:rsid w:val="00B13B8A"/>
    <w:rsid w:val="00B13CEF"/>
    <w:rsid w:val="00B13F43"/>
    <w:rsid w:val="00B1405A"/>
    <w:rsid w:val="00B14130"/>
    <w:rsid w:val="00B1424D"/>
    <w:rsid w:val="00B143A0"/>
    <w:rsid w:val="00B144CB"/>
    <w:rsid w:val="00B148F4"/>
    <w:rsid w:val="00B149FC"/>
    <w:rsid w:val="00B14DEC"/>
    <w:rsid w:val="00B15294"/>
    <w:rsid w:val="00B15336"/>
    <w:rsid w:val="00B15709"/>
    <w:rsid w:val="00B16215"/>
    <w:rsid w:val="00B1627F"/>
    <w:rsid w:val="00B16312"/>
    <w:rsid w:val="00B163A8"/>
    <w:rsid w:val="00B16719"/>
    <w:rsid w:val="00B16A8B"/>
    <w:rsid w:val="00B16AC2"/>
    <w:rsid w:val="00B16B14"/>
    <w:rsid w:val="00B16B28"/>
    <w:rsid w:val="00B16C49"/>
    <w:rsid w:val="00B16E0A"/>
    <w:rsid w:val="00B16EB3"/>
    <w:rsid w:val="00B17113"/>
    <w:rsid w:val="00B171A7"/>
    <w:rsid w:val="00B171E5"/>
    <w:rsid w:val="00B17413"/>
    <w:rsid w:val="00B17679"/>
    <w:rsid w:val="00B17777"/>
    <w:rsid w:val="00B17B1A"/>
    <w:rsid w:val="00B17B4D"/>
    <w:rsid w:val="00B17BAD"/>
    <w:rsid w:val="00B17C59"/>
    <w:rsid w:val="00B17C9E"/>
    <w:rsid w:val="00B17ED2"/>
    <w:rsid w:val="00B17EDA"/>
    <w:rsid w:val="00B200BC"/>
    <w:rsid w:val="00B20135"/>
    <w:rsid w:val="00B2015E"/>
    <w:rsid w:val="00B20329"/>
    <w:rsid w:val="00B20925"/>
    <w:rsid w:val="00B209A1"/>
    <w:rsid w:val="00B209F9"/>
    <w:rsid w:val="00B20DA2"/>
    <w:rsid w:val="00B20E58"/>
    <w:rsid w:val="00B20FF5"/>
    <w:rsid w:val="00B211B5"/>
    <w:rsid w:val="00B2135E"/>
    <w:rsid w:val="00B21416"/>
    <w:rsid w:val="00B214A1"/>
    <w:rsid w:val="00B214E1"/>
    <w:rsid w:val="00B21705"/>
    <w:rsid w:val="00B21894"/>
    <w:rsid w:val="00B21DF6"/>
    <w:rsid w:val="00B21E50"/>
    <w:rsid w:val="00B22119"/>
    <w:rsid w:val="00B22646"/>
    <w:rsid w:val="00B22804"/>
    <w:rsid w:val="00B22992"/>
    <w:rsid w:val="00B22A31"/>
    <w:rsid w:val="00B22A5F"/>
    <w:rsid w:val="00B22A6A"/>
    <w:rsid w:val="00B22C16"/>
    <w:rsid w:val="00B22DBF"/>
    <w:rsid w:val="00B23376"/>
    <w:rsid w:val="00B23A78"/>
    <w:rsid w:val="00B23D35"/>
    <w:rsid w:val="00B23D71"/>
    <w:rsid w:val="00B23E8E"/>
    <w:rsid w:val="00B23EBE"/>
    <w:rsid w:val="00B2418B"/>
    <w:rsid w:val="00B24408"/>
    <w:rsid w:val="00B2440B"/>
    <w:rsid w:val="00B245C2"/>
    <w:rsid w:val="00B24B2C"/>
    <w:rsid w:val="00B24C6C"/>
    <w:rsid w:val="00B24DD3"/>
    <w:rsid w:val="00B2505B"/>
    <w:rsid w:val="00B250AF"/>
    <w:rsid w:val="00B252BB"/>
    <w:rsid w:val="00B25310"/>
    <w:rsid w:val="00B25435"/>
    <w:rsid w:val="00B2545B"/>
    <w:rsid w:val="00B25477"/>
    <w:rsid w:val="00B2558F"/>
    <w:rsid w:val="00B255F5"/>
    <w:rsid w:val="00B2573B"/>
    <w:rsid w:val="00B25952"/>
    <w:rsid w:val="00B25D15"/>
    <w:rsid w:val="00B25EEA"/>
    <w:rsid w:val="00B26412"/>
    <w:rsid w:val="00B26469"/>
    <w:rsid w:val="00B26530"/>
    <w:rsid w:val="00B2690C"/>
    <w:rsid w:val="00B26A99"/>
    <w:rsid w:val="00B26C5A"/>
    <w:rsid w:val="00B26F50"/>
    <w:rsid w:val="00B26FDB"/>
    <w:rsid w:val="00B27032"/>
    <w:rsid w:val="00B27399"/>
    <w:rsid w:val="00B2753E"/>
    <w:rsid w:val="00B277A5"/>
    <w:rsid w:val="00B278D9"/>
    <w:rsid w:val="00B27B79"/>
    <w:rsid w:val="00B27C48"/>
    <w:rsid w:val="00B27E8F"/>
    <w:rsid w:val="00B3004E"/>
    <w:rsid w:val="00B300F0"/>
    <w:rsid w:val="00B3016F"/>
    <w:rsid w:val="00B30172"/>
    <w:rsid w:val="00B304A8"/>
    <w:rsid w:val="00B304B1"/>
    <w:rsid w:val="00B30620"/>
    <w:rsid w:val="00B30BB8"/>
    <w:rsid w:val="00B30CA7"/>
    <w:rsid w:val="00B30ED7"/>
    <w:rsid w:val="00B30F76"/>
    <w:rsid w:val="00B3142F"/>
    <w:rsid w:val="00B3144C"/>
    <w:rsid w:val="00B3145C"/>
    <w:rsid w:val="00B31482"/>
    <w:rsid w:val="00B315D1"/>
    <w:rsid w:val="00B3174F"/>
    <w:rsid w:val="00B317A0"/>
    <w:rsid w:val="00B317AC"/>
    <w:rsid w:val="00B318AB"/>
    <w:rsid w:val="00B31915"/>
    <w:rsid w:val="00B319A3"/>
    <w:rsid w:val="00B31B03"/>
    <w:rsid w:val="00B31B29"/>
    <w:rsid w:val="00B31C42"/>
    <w:rsid w:val="00B31F93"/>
    <w:rsid w:val="00B32057"/>
    <w:rsid w:val="00B3213A"/>
    <w:rsid w:val="00B3216D"/>
    <w:rsid w:val="00B32465"/>
    <w:rsid w:val="00B32672"/>
    <w:rsid w:val="00B32890"/>
    <w:rsid w:val="00B32DB8"/>
    <w:rsid w:val="00B32F33"/>
    <w:rsid w:val="00B333BB"/>
    <w:rsid w:val="00B33492"/>
    <w:rsid w:val="00B336EB"/>
    <w:rsid w:val="00B33764"/>
    <w:rsid w:val="00B337A7"/>
    <w:rsid w:val="00B33A0A"/>
    <w:rsid w:val="00B33A0B"/>
    <w:rsid w:val="00B33A9A"/>
    <w:rsid w:val="00B33FB1"/>
    <w:rsid w:val="00B34117"/>
    <w:rsid w:val="00B3417E"/>
    <w:rsid w:val="00B341D0"/>
    <w:rsid w:val="00B34765"/>
    <w:rsid w:val="00B348DD"/>
    <w:rsid w:val="00B34CF0"/>
    <w:rsid w:val="00B34D4A"/>
    <w:rsid w:val="00B352CB"/>
    <w:rsid w:val="00B35763"/>
    <w:rsid w:val="00B35974"/>
    <w:rsid w:val="00B35A44"/>
    <w:rsid w:val="00B35B25"/>
    <w:rsid w:val="00B35C6F"/>
    <w:rsid w:val="00B360DD"/>
    <w:rsid w:val="00B3616E"/>
    <w:rsid w:val="00B364A8"/>
    <w:rsid w:val="00B36B25"/>
    <w:rsid w:val="00B36B99"/>
    <w:rsid w:val="00B36BC9"/>
    <w:rsid w:val="00B37015"/>
    <w:rsid w:val="00B37173"/>
    <w:rsid w:val="00B3729C"/>
    <w:rsid w:val="00B372D4"/>
    <w:rsid w:val="00B375F8"/>
    <w:rsid w:val="00B37890"/>
    <w:rsid w:val="00B378B1"/>
    <w:rsid w:val="00B37CA1"/>
    <w:rsid w:val="00B37D90"/>
    <w:rsid w:val="00B40041"/>
    <w:rsid w:val="00B401AA"/>
    <w:rsid w:val="00B40245"/>
    <w:rsid w:val="00B40383"/>
    <w:rsid w:val="00B403D7"/>
    <w:rsid w:val="00B40780"/>
    <w:rsid w:val="00B40B1F"/>
    <w:rsid w:val="00B40B35"/>
    <w:rsid w:val="00B40E7C"/>
    <w:rsid w:val="00B40E81"/>
    <w:rsid w:val="00B40FC4"/>
    <w:rsid w:val="00B4115D"/>
    <w:rsid w:val="00B411AD"/>
    <w:rsid w:val="00B41279"/>
    <w:rsid w:val="00B4127B"/>
    <w:rsid w:val="00B4141E"/>
    <w:rsid w:val="00B4165C"/>
    <w:rsid w:val="00B41891"/>
    <w:rsid w:val="00B418E1"/>
    <w:rsid w:val="00B419E4"/>
    <w:rsid w:val="00B41ACB"/>
    <w:rsid w:val="00B41B61"/>
    <w:rsid w:val="00B41D1E"/>
    <w:rsid w:val="00B41DB0"/>
    <w:rsid w:val="00B41E74"/>
    <w:rsid w:val="00B41F2B"/>
    <w:rsid w:val="00B42077"/>
    <w:rsid w:val="00B422AF"/>
    <w:rsid w:val="00B42499"/>
    <w:rsid w:val="00B42537"/>
    <w:rsid w:val="00B42629"/>
    <w:rsid w:val="00B4266D"/>
    <w:rsid w:val="00B428DB"/>
    <w:rsid w:val="00B42A98"/>
    <w:rsid w:val="00B42B5E"/>
    <w:rsid w:val="00B42F41"/>
    <w:rsid w:val="00B42F94"/>
    <w:rsid w:val="00B42FFE"/>
    <w:rsid w:val="00B430FF"/>
    <w:rsid w:val="00B43156"/>
    <w:rsid w:val="00B432BC"/>
    <w:rsid w:val="00B433A4"/>
    <w:rsid w:val="00B43932"/>
    <w:rsid w:val="00B43A41"/>
    <w:rsid w:val="00B43A4D"/>
    <w:rsid w:val="00B43BBC"/>
    <w:rsid w:val="00B43D97"/>
    <w:rsid w:val="00B43E56"/>
    <w:rsid w:val="00B43E9C"/>
    <w:rsid w:val="00B44177"/>
    <w:rsid w:val="00B44480"/>
    <w:rsid w:val="00B4451C"/>
    <w:rsid w:val="00B4481F"/>
    <w:rsid w:val="00B44A3A"/>
    <w:rsid w:val="00B44AC4"/>
    <w:rsid w:val="00B44C71"/>
    <w:rsid w:val="00B44DEB"/>
    <w:rsid w:val="00B44E2D"/>
    <w:rsid w:val="00B450CC"/>
    <w:rsid w:val="00B45235"/>
    <w:rsid w:val="00B454F7"/>
    <w:rsid w:val="00B4554F"/>
    <w:rsid w:val="00B45946"/>
    <w:rsid w:val="00B45977"/>
    <w:rsid w:val="00B45B7C"/>
    <w:rsid w:val="00B45BC3"/>
    <w:rsid w:val="00B45D3F"/>
    <w:rsid w:val="00B45E11"/>
    <w:rsid w:val="00B45FAA"/>
    <w:rsid w:val="00B45FB0"/>
    <w:rsid w:val="00B46371"/>
    <w:rsid w:val="00B4657C"/>
    <w:rsid w:val="00B469D4"/>
    <w:rsid w:val="00B46BBC"/>
    <w:rsid w:val="00B46C0F"/>
    <w:rsid w:val="00B46C98"/>
    <w:rsid w:val="00B46D90"/>
    <w:rsid w:val="00B46E25"/>
    <w:rsid w:val="00B46F95"/>
    <w:rsid w:val="00B46FC9"/>
    <w:rsid w:val="00B470CC"/>
    <w:rsid w:val="00B470F5"/>
    <w:rsid w:val="00B4738E"/>
    <w:rsid w:val="00B47689"/>
    <w:rsid w:val="00B47835"/>
    <w:rsid w:val="00B4797F"/>
    <w:rsid w:val="00B479FD"/>
    <w:rsid w:val="00B47BE5"/>
    <w:rsid w:val="00B47C09"/>
    <w:rsid w:val="00B47E19"/>
    <w:rsid w:val="00B47EFF"/>
    <w:rsid w:val="00B47F22"/>
    <w:rsid w:val="00B50087"/>
    <w:rsid w:val="00B500DE"/>
    <w:rsid w:val="00B503F4"/>
    <w:rsid w:val="00B50473"/>
    <w:rsid w:val="00B5051A"/>
    <w:rsid w:val="00B5052B"/>
    <w:rsid w:val="00B50628"/>
    <w:rsid w:val="00B50697"/>
    <w:rsid w:val="00B5078D"/>
    <w:rsid w:val="00B507D5"/>
    <w:rsid w:val="00B507FA"/>
    <w:rsid w:val="00B50856"/>
    <w:rsid w:val="00B50C90"/>
    <w:rsid w:val="00B50F23"/>
    <w:rsid w:val="00B5126E"/>
    <w:rsid w:val="00B51448"/>
    <w:rsid w:val="00B51547"/>
    <w:rsid w:val="00B5160A"/>
    <w:rsid w:val="00B51936"/>
    <w:rsid w:val="00B51BE7"/>
    <w:rsid w:val="00B51C6C"/>
    <w:rsid w:val="00B522DF"/>
    <w:rsid w:val="00B5236D"/>
    <w:rsid w:val="00B52477"/>
    <w:rsid w:val="00B5292E"/>
    <w:rsid w:val="00B52A8D"/>
    <w:rsid w:val="00B52D7D"/>
    <w:rsid w:val="00B52EAA"/>
    <w:rsid w:val="00B53224"/>
    <w:rsid w:val="00B53264"/>
    <w:rsid w:val="00B532E4"/>
    <w:rsid w:val="00B53359"/>
    <w:rsid w:val="00B533E3"/>
    <w:rsid w:val="00B534DD"/>
    <w:rsid w:val="00B53545"/>
    <w:rsid w:val="00B53573"/>
    <w:rsid w:val="00B5361F"/>
    <w:rsid w:val="00B53712"/>
    <w:rsid w:val="00B538F6"/>
    <w:rsid w:val="00B539E0"/>
    <w:rsid w:val="00B53A52"/>
    <w:rsid w:val="00B53A6C"/>
    <w:rsid w:val="00B54051"/>
    <w:rsid w:val="00B540C7"/>
    <w:rsid w:val="00B54187"/>
    <w:rsid w:val="00B5431C"/>
    <w:rsid w:val="00B543A0"/>
    <w:rsid w:val="00B54504"/>
    <w:rsid w:val="00B54708"/>
    <w:rsid w:val="00B54B99"/>
    <w:rsid w:val="00B54DBE"/>
    <w:rsid w:val="00B552CE"/>
    <w:rsid w:val="00B5534E"/>
    <w:rsid w:val="00B55434"/>
    <w:rsid w:val="00B5551C"/>
    <w:rsid w:val="00B55642"/>
    <w:rsid w:val="00B556DE"/>
    <w:rsid w:val="00B558A7"/>
    <w:rsid w:val="00B55BA5"/>
    <w:rsid w:val="00B55CD0"/>
    <w:rsid w:val="00B55E6E"/>
    <w:rsid w:val="00B55FCA"/>
    <w:rsid w:val="00B562D4"/>
    <w:rsid w:val="00B563FA"/>
    <w:rsid w:val="00B56451"/>
    <w:rsid w:val="00B56917"/>
    <w:rsid w:val="00B56AFE"/>
    <w:rsid w:val="00B56F6B"/>
    <w:rsid w:val="00B57065"/>
    <w:rsid w:val="00B5716B"/>
    <w:rsid w:val="00B5746F"/>
    <w:rsid w:val="00B5771A"/>
    <w:rsid w:val="00B5777D"/>
    <w:rsid w:val="00B579AE"/>
    <w:rsid w:val="00B579DC"/>
    <w:rsid w:val="00B57D00"/>
    <w:rsid w:val="00B57DBF"/>
    <w:rsid w:val="00B57E92"/>
    <w:rsid w:val="00B600F0"/>
    <w:rsid w:val="00B60368"/>
    <w:rsid w:val="00B60480"/>
    <w:rsid w:val="00B604E3"/>
    <w:rsid w:val="00B605E9"/>
    <w:rsid w:val="00B606BD"/>
    <w:rsid w:val="00B606CD"/>
    <w:rsid w:val="00B607A2"/>
    <w:rsid w:val="00B60882"/>
    <w:rsid w:val="00B6089E"/>
    <w:rsid w:val="00B60CC1"/>
    <w:rsid w:val="00B60D4F"/>
    <w:rsid w:val="00B61258"/>
    <w:rsid w:val="00B615EB"/>
    <w:rsid w:val="00B6180E"/>
    <w:rsid w:val="00B6183E"/>
    <w:rsid w:val="00B61932"/>
    <w:rsid w:val="00B61B20"/>
    <w:rsid w:val="00B61B98"/>
    <w:rsid w:val="00B61D75"/>
    <w:rsid w:val="00B61DF5"/>
    <w:rsid w:val="00B6212B"/>
    <w:rsid w:val="00B62718"/>
    <w:rsid w:val="00B62B58"/>
    <w:rsid w:val="00B62BBB"/>
    <w:rsid w:val="00B62D51"/>
    <w:rsid w:val="00B62DB6"/>
    <w:rsid w:val="00B63484"/>
    <w:rsid w:val="00B63680"/>
    <w:rsid w:val="00B637EA"/>
    <w:rsid w:val="00B6386D"/>
    <w:rsid w:val="00B63A4E"/>
    <w:rsid w:val="00B63A73"/>
    <w:rsid w:val="00B63D48"/>
    <w:rsid w:val="00B63E9A"/>
    <w:rsid w:val="00B63F14"/>
    <w:rsid w:val="00B640C8"/>
    <w:rsid w:val="00B64126"/>
    <w:rsid w:val="00B64636"/>
    <w:rsid w:val="00B64857"/>
    <w:rsid w:val="00B64C90"/>
    <w:rsid w:val="00B65458"/>
    <w:rsid w:val="00B65705"/>
    <w:rsid w:val="00B65761"/>
    <w:rsid w:val="00B657C6"/>
    <w:rsid w:val="00B65909"/>
    <w:rsid w:val="00B65B56"/>
    <w:rsid w:val="00B65CD6"/>
    <w:rsid w:val="00B65D01"/>
    <w:rsid w:val="00B6611D"/>
    <w:rsid w:val="00B66681"/>
    <w:rsid w:val="00B66706"/>
    <w:rsid w:val="00B66A11"/>
    <w:rsid w:val="00B66C08"/>
    <w:rsid w:val="00B66C97"/>
    <w:rsid w:val="00B66E82"/>
    <w:rsid w:val="00B67096"/>
    <w:rsid w:val="00B67126"/>
    <w:rsid w:val="00B67131"/>
    <w:rsid w:val="00B6718B"/>
    <w:rsid w:val="00B6750C"/>
    <w:rsid w:val="00B67A84"/>
    <w:rsid w:val="00B67CDB"/>
    <w:rsid w:val="00B67D44"/>
    <w:rsid w:val="00B67DA2"/>
    <w:rsid w:val="00B67DAE"/>
    <w:rsid w:val="00B67DE7"/>
    <w:rsid w:val="00B67E2F"/>
    <w:rsid w:val="00B70119"/>
    <w:rsid w:val="00B706C2"/>
    <w:rsid w:val="00B70E5C"/>
    <w:rsid w:val="00B71002"/>
    <w:rsid w:val="00B711B7"/>
    <w:rsid w:val="00B7124E"/>
    <w:rsid w:val="00B71346"/>
    <w:rsid w:val="00B7175A"/>
    <w:rsid w:val="00B71767"/>
    <w:rsid w:val="00B717B4"/>
    <w:rsid w:val="00B718D0"/>
    <w:rsid w:val="00B7191D"/>
    <w:rsid w:val="00B71989"/>
    <w:rsid w:val="00B71A41"/>
    <w:rsid w:val="00B71AAB"/>
    <w:rsid w:val="00B71E0D"/>
    <w:rsid w:val="00B71EC9"/>
    <w:rsid w:val="00B7205E"/>
    <w:rsid w:val="00B7209D"/>
    <w:rsid w:val="00B721F0"/>
    <w:rsid w:val="00B72618"/>
    <w:rsid w:val="00B72B02"/>
    <w:rsid w:val="00B72CB8"/>
    <w:rsid w:val="00B72DAC"/>
    <w:rsid w:val="00B72DD8"/>
    <w:rsid w:val="00B72F44"/>
    <w:rsid w:val="00B7303F"/>
    <w:rsid w:val="00B730DA"/>
    <w:rsid w:val="00B73205"/>
    <w:rsid w:val="00B736B1"/>
    <w:rsid w:val="00B73A3D"/>
    <w:rsid w:val="00B73DBC"/>
    <w:rsid w:val="00B74020"/>
    <w:rsid w:val="00B74974"/>
    <w:rsid w:val="00B74A6B"/>
    <w:rsid w:val="00B74C2F"/>
    <w:rsid w:val="00B75152"/>
    <w:rsid w:val="00B75211"/>
    <w:rsid w:val="00B754CC"/>
    <w:rsid w:val="00B7557D"/>
    <w:rsid w:val="00B755A6"/>
    <w:rsid w:val="00B756B8"/>
    <w:rsid w:val="00B7589C"/>
    <w:rsid w:val="00B759F9"/>
    <w:rsid w:val="00B75AEB"/>
    <w:rsid w:val="00B75CB6"/>
    <w:rsid w:val="00B75E19"/>
    <w:rsid w:val="00B75F13"/>
    <w:rsid w:val="00B75F4C"/>
    <w:rsid w:val="00B75FB4"/>
    <w:rsid w:val="00B761C2"/>
    <w:rsid w:val="00B7630D"/>
    <w:rsid w:val="00B7679A"/>
    <w:rsid w:val="00B767C7"/>
    <w:rsid w:val="00B769AE"/>
    <w:rsid w:val="00B769CD"/>
    <w:rsid w:val="00B76A4B"/>
    <w:rsid w:val="00B76A59"/>
    <w:rsid w:val="00B76A78"/>
    <w:rsid w:val="00B76ACE"/>
    <w:rsid w:val="00B76C6C"/>
    <w:rsid w:val="00B76CC7"/>
    <w:rsid w:val="00B76D12"/>
    <w:rsid w:val="00B76F08"/>
    <w:rsid w:val="00B76F90"/>
    <w:rsid w:val="00B770C2"/>
    <w:rsid w:val="00B771FD"/>
    <w:rsid w:val="00B77572"/>
    <w:rsid w:val="00B7787A"/>
    <w:rsid w:val="00B778DD"/>
    <w:rsid w:val="00B779C8"/>
    <w:rsid w:val="00B77CCE"/>
    <w:rsid w:val="00B80077"/>
    <w:rsid w:val="00B800FD"/>
    <w:rsid w:val="00B80143"/>
    <w:rsid w:val="00B802F5"/>
    <w:rsid w:val="00B805E8"/>
    <w:rsid w:val="00B80965"/>
    <w:rsid w:val="00B80A83"/>
    <w:rsid w:val="00B80D2A"/>
    <w:rsid w:val="00B80DA7"/>
    <w:rsid w:val="00B81270"/>
    <w:rsid w:val="00B81715"/>
    <w:rsid w:val="00B8179D"/>
    <w:rsid w:val="00B817CE"/>
    <w:rsid w:val="00B8192E"/>
    <w:rsid w:val="00B81A18"/>
    <w:rsid w:val="00B81A3E"/>
    <w:rsid w:val="00B81D5A"/>
    <w:rsid w:val="00B81EF7"/>
    <w:rsid w:val="00B81F18"/>
    <w:rsid w:val="00B81F42"/>
    <w:rsid w:val="00B82118"/>
    <w:rsid w:val="00B82182"/>
    <w:rsid w:val="00B825BE"/>
    <w:rsid w:val="00B82A56"/>
    <w:rsid w:val="00B82CFB"/>
    <w:rsid w:val="00B82D38"/>
    <w:rsid w:val="00B82E87"/>
    <w:rsid w:val="00B82F64"/>
    <w:rsid w:val="00B830A3"/>
    <w:rsid w:val="00B830CD"/>
    <w:rsid w:val="00B8317B"/>
    <w:rsid w:val="00B833F7"/>
    <w:rsid w:val="00B8358C"/>
    <w:rsid w:val="00B83682"/>
    <w:rsid w:val="00B836CF"/>
    <w:rsid w:val="00B83C18"/>
    <w:rsid w:val="00B83E26"/>
    <w:rsid w:val="00B84171"/>
    <w:rsid w:val="00B84231"/>
    <w:rsid w:val="00B843A2"/>
    <w:rsid w:val="00B84440"/>
    <w:rsid w:val="00B84462"/>
    <w:rsid w:val="00B844B8"/>
    <w:rsid w:val="00B844BB"/>
    <w:rsid w:val="00B84501"/>
    <w:rsid w:val="00B848AC"/>
    <w:rsid w:val="00B849CE"/>
    <w:rsid w:val="00B84A17"/>
    <w:rsid w:val="00B84BA0"/>
    <w:rsid w:val="00B84C79"/>
    <w:rsid w:val="00B84C98"/>
    <w:rsid w:val="00B84DCC"/>
    <w:rsid w:val="00B84EAB"/>
    <w:rsid w:val="00B852E1"/>
    <w:rsid w:val="00B85390"/>
    <w:rsid w:val="00B8546A"/>
    <w:rsid w:val="00B8553D"/>
    <w:rsid w:val="00B855D7"/>
    <w:rsid w:val="00B858B9"/>
    <w:rsid w:val="00B85A02"/>
    <w:rsid w:val="00B85A49"/>
    <w:rsid w:val="00B85A68"/>
    <w:rsid w:val="00B85C96"/>
    <w:rsid w:val="00B8620B"/>
    <w:rsid w:val="00B8626A"/>
    <w:rsid w:val="00B863FD"/>
    <w:rsid w:val="00B86688"/>
    <w:rsid w:val="00B869C4"/>
    <w:rsid w:val="00B86C24"/>
    <w:rsid w:val="00B87306"/>
    <w:rsid w:val="00B87321"/>
    <w:rsid w:val="00B87652"/>
    <w:rsid w:val="00B87835"/>
    <w:rsid w:val="00B8785C"/>
    <w:rsid w:val="00B87A5C"/>
    <w:rsid w:val="00B87AEA"/>
    <w:rsid w:val="00B87B6D"/>
    <w:rsid w:val="00B87C33"/>
    <w:rsid w:val="00B87C6C"/>
    <w:rsid w:val="00B87D7D"/>
    <w:rsid w:val="00B87FFE"/>
    <w:rsid w:val="00B9010F"/>
    <w:rsid w:val="00B902B9"/>
    <w:rsid w:val="00B9048B"/>
    <w:rsid w:val="00B905A1"/>
    <w:rsid w:val="00B90A38"/>
    <w:rsid w:val="00B90A5A"/>
    <w:rsid w:val="00B90C05"/>
    <w:rsid w:val="00B90D2D"/>
    <w:rsid w:val="00B90FA7"/>
    <w:rsid w:val="00B90FDB"/>
    <w:rsid w:val="00B910C6"/>
    <w:rsid w:val="00B910F0"/>
    <w:rsid w:val="00B9153D"/>
    <w:rsid w:val="00B91698"/>
    <w:rsid w:val="00B91946"/>
    <w:rsid w:val="00B91E68"/>
    <w:rsid w:val="00B91F6E"/>
    <w:rsid w:val="00B91FD7"/>
    <w:rsid w:val="00B92185"/>
    <w:rsid w:val="00B922B6"/>
    <w:rsid w:val="00B92364"/>
    <w:rsid w:val="00B923C8"/>
    <w:rsid w:val="00B924FA"/>
    <w:rsid w:val="00B92689"/>
    <w:rsid w:val="00B927EB"/>
    <w:rsid w:val="00B9288D"/>
    <w:rsid w:val="00B929D8"/>
    <w:rsid w:val="00B92A0C"/>
    <w:rsid w:val="00B92A89"/>
    <w:rsid w:val="00B92B17"/>
    <w:rsid w:val="00B92D3B"/>
    <w:rsid w:val="00B92DF0"/>
    <w:rsid w:val="00B92E38"/>
    <w:rsid w:val="00B93040"/>
    <w:rsid w:val="00B930DB"/>
    <w:rsid w:val="00B9314C"/>
    <w:rsid w:val="00B93417"/>
    <w:rsid w:val="00B9366A"/>
    <w:rsid w:val="00B93797"/>
    <w:rsid w:val="00B9379E"/>
    <w:rsid w:val="00B93C60"/>
    <w:rsid w:val="00B93C93"/>
    <w:rsid w:val="00B943D0"/>
    <w:rsid w:val="00B947ED"/>
    <w:rsid w:val="00B94A6F"/>
    <w:rsid w:val="00B94D0F"/>
    <w:rsid w:val="00B94D9A"/>
    <w:rsid w:val="00B94E02"/>
    <w:rsid w:val="00B94E60"/>
    <w:rsid w:val="00B95150"/>
    <w:rsid w:val="00B95202"/>
    <w:rsid w:val="00B95246"/>
    <w:rsid w:val="00B95661"/>
    <w:rsid w:val="00B95AFA"/>
    <w:rsid w:val="00B95E33"/>
    <w:rsid w:val="00B96082"/>
    <w:rsid w:val="00B960FF"/>
    <w:rsid w:val="00B96171"/>
    <w:rsid w:val="00B96179"/>
    <w:rsid w:val="00B961F7"/>
    <w:rsid w:val="00B96340"/>
    <w:rsid w:val="00B963CF"/>
    <w:rsid w:val="00B96696"/>
    <w:rsid w:val="00B96867"/>
    <w:rsid w:val="00B969E2"/>
    <w:rsid w:val="00B96A51"/>
    <w:rsid w:val="00B9712D"/>
    <w:rsid w:val="00B9718D"/>
    <w:rsid w:val="00B97295"/>
    <w:rsid w:val="00B973D1"/>
    <w:rsid w:val="00B974AA"/>
    <w:rsid w:val="00B974C4"/>
    <w:rsid w:val="00B9755F"/>
    <w:rsid w:val="00B97921"/>
    <w:rsid w:val="00B97B7B"/>
    <w:rsid w:val="00B97CED"/>
    <w:rsid w:val="00B97CEE"/>
    <w:rsid w:val="00B97E5A"/>
    <w:rsid w:val="00BA0589"/>
    <w:rsid w:val="00BA097B"/>
    <w:rsid w:val="00BA0A18"/>
    <w:rsid w:val="00BA0A2A"/>
    <w:rsid w:val="00BA0BC4"/>
    <w:rsid w:val="00BA0FE5"/>
    <w:rsid w:val="00BA10F8"/>
    <w:rsid w:val="00BA11A2"/>
    <w:rsid w:val="00BA11AD"/>
    <w:rsid w:val="00BA1219"/>
    <w:rsid w:val="00BA1325"/>
    <w:rsid w:val="00BA133F"/>
    <w:rsid w:val="00BA13A4"/>
    <w:rsid w:val="00BA16EC"/>
    <w:rsid w:val="00BA171F"/>
    <w:rsid w:val="00BA1A47"/>
    <w:rsid w:val="00BA1E86"/>
    <w:rsid w:val="00BA1E8D"/>
    <w:rsid w:val="00BA1F26"/>
    <w:rsid w:val="00BA211F"/>
    <w:rsid w:val="00BA21DE"/>
    <w:rsid w:val="00BA22BB"/>
    <w:rsid w:val="00BA2480"/>
    <w:rsid w:val="00BA2683"/>
    <w:rsid w:val="00BA2686"/>
    <w:rsid w:val="00BA269F"/>
    <w:rsid w:val="00BA27F8"/>
    <w:rsid w:val="00BA287B"/>
    <w:rsid w:val="00BA2934"/>
    <w:rsid w:val="00BA2954"/>
    <w:rsid w:val="00BA2978"/>
    <w:rsid w:val="00BA2A76"/>
    <w:rsid w:val="00BA2DB2"/>
    <w:rsid w:val="00BA2DE4"/>
    <w:rsid w:val="00BA3261"/>
    <w:rsid w:val="00BA32B1"/>
    <w:rsid w:val="00BA33D9"/>
    <w:rsid w:val="00BA3537"/>
    <w:rsid w:val="00BA36D1"/>
    <w:rsid w:val="00BA376F"/>
    <w:rsid w:val="00BA388C"/>
    <w:rsid w:val="00BA38D2"/>
    <w:rsid w:val="00BA3A29"/>
    <w:rsid w:val="00BA3AD7"/>
    <w:rsid w:val="00BA3F66"/>
    <w:rsid w:val="00BA403A"/>
    <w:rsid w:val="00BA42A0"/>
    <w:rsid w:val="00BA42A1"/>
    <w:rsid w:val="00BA44EB"/>
    <w:rsid w:val="00BA46D3"/>
    <w:rsid w:val="00BA4BB3"/>
    <w:rsid w:val="00BA4E30"/>
    <w:rsid w:val="00BA4F0D"/>
    <w:rsid w:val="00BA5040"/>
    <w:rsid w:val="00BA50A5"/>
    <w:rsid w:val="00BA50BA"/>
    <w:rsid w:val="00BA53DA"/>
    <w:rsid w:val="00BA53FD"/>
    <w:rsid w:val="00BA5422"/>
    <w:rsid w:val="00BA5A99"/>
    <w:rsid w:val="00BA5B51"/>
    <w:rsid w:val="00BA5BBE"/>
    <w:rsid w:val="00BA5C33"/>
    <w:rsid w:val="00BA5DED"/>
    <w:rsid w:val="00BA5EA5"/>
    <w:rsid w:val="00BA5F95"/>
    <w:rsid w:val="00BA613D"/>
    <w:rsid w:val="00BA61D3"/>
    <w:rsid w:val="00BA61E8"/>
    <w:rsid w:val="00BA6246"/>
    <w:rsid w:val="00BA64C7"/>
    <w:rsid w:val="00BA6664"/>
    <w:rsid w:val="00BA6834"/>
    <w:rsid w:val="00BA685C"/>
    <w:rsid w:val="00BA6AF1"/>
    <w:rsid w:val="00BA6AF4"/>
    <w:rsid w:val="00BA6C3F"/>
    <w:rsid w:val="00BA6DB7"/>
    <w:rsid w:val="00BA724D"/>
    <w:rsid w:val="00BA7274"/>
    <w:rsid w:val="00BA728A"/>
    <w:rsid w:val="00BA7395"/>
    <w:rsid w:val="00BA747D"/>
    <w:rsid w:val="00BA74F2"/>
    <w:rsid w:val="00BA76EA"/>
    <w:rsid w:val="00BA7795"/>
    <w:rsid w:val="00BA787E"/>
    <w:rsid w:val="00BA7970"/>
    <w:rsid w:val="00BA79A1"/>
    <w:rsid w:val="00BA7BE6"/>
    <w:rsid w:val="00BA7C7F"/>
    <w:rsid w:val="00BA7FAE"/>
    <w:rsid w:val="00BB02DA"/>
    <w:rsid w:val="00BB0340"/>
    <w:rsid w:val="00BB03F7"/>
    <w:rsid w:val="00BB0852"/>
    <w:rsid w:val="00BB0950"/>
    <w:rsid w:val="00BB09D7"/>
    <w:rsid w:val="00BB10B5"/>
    <w:rsid w:val="00BB139F"/>
    <w:rsid w:val="00BB13E3"/>
    <w:rsid w:val="00BB14B8"/>
    <w:rsid w:val="00BB15B0"/>
    <w:rsid w:val="00BB19E2"/>
    <w:rsid w:val="00BB1A8C"/>
    <w:rsid w:val="00BB1EA7"/>
    <w:rsid w:val="00BB1EDB"/>
    <w:rsid w:val="00BB2022"/>
    <w:rsid w:val="00BB20B3"/>
    <w:rsid w:val="00BB224D"/>
    <w:rsid w:val="00BB232D"/>
    <w:rsid w:val="00BB2411"/>
    <w:rsid w:val="00BB2476"/>
    <w:rsid w:val="00BB26E4"/>
    <w:rsid w:val="00BB28CC"/>
    <w:rsid w:val="00BB2957"/>
    <w:rsid w:val="00BB2980"/>
    <w:rsid w:val="00BB2ECF"/>
    <w:rsid w:val="00BB2F70"/>
    <w:rsid w:val="00BB3005"/>
    <w:rsid w:val="00BB302B"/>
    <w:rsid w:val="00BB3532"/>
    <w:rsid w:val="00BB3565"/>
    <w:rsid w:val="00BB377D"/>
    <w:rsid w:val="00BB3AED"/>
    <w:rsid w:val="00BB3BFD"/>
    <w:rsid w:val="00BB3C91"/>
    <w:rsid w:val="00BB3D66"/>
    <w:rsid w:val="00BB3DD6"/>
    <w:rsid w:val="00BB3F34"/>
    <w:rsid w:val="00BB419F"/>
    <w:rsid w:val="00BB4385"/>
    <w:rsid w:val="00BB4565"/>
    <w:rsid w:val="00BB45EB"/>
    <w:rsid w:val="00BB4679"/>
    <w:rsid w:val="00BB4684"/>
    <w:rsid w:val="00BB4A92"/>
    <w:rsid w:val="00BB503B"/>
    <w:rsid w:val="00BB51D2"/>
    <w:rsid w:val="00BB532D"/>
    <w:rsid w:val="00BB5411"/>
    <w:rsid w:val="00BB5870"/>
    <w:rsid w:val="00BB59DD"/>
    <w:rsid w:val="00BB5AFC"/>
    <w:rsid w:val="00BB5B1B"/>
    <w:rsid w:val="00BB5B41"/>
    <w:rsid w:val="00BB5B85"/>
    <w:rsid w:val="00BB5CC4"/>
    <w:rsid w:val="00BB5DA6"/>
    <w:rsid w:val="00BB5E57"/>
    <w:rsid w:val="00BB6039"/>
    <w:rsid w:val="00BB62EA"/>
    <w:rsid w:val="00BB6444"/>
    <w:rsid w:val="00BB653E"/>
    <w:rsid w:val="00BB66AA"/>
    <w:rsid w:val="00BB6C9F"/>
    <w:rsid w:val="00BB6F7A"/>
    <w:rsid w:val="00BB6FBF"/>
    <w:rsid w:val="00BB713E"/>
    <w:rsid w:val="00BB7587"/>
    <w:rsid w:val="00BB7698"/>
    <w:rsid w:val="00BB7904"/>
    <w:rsid w:val="00BB7D13"/>
    <w:rsid w:val="00BB7F6D"/>
    <w:rsid w:val="00BC00AF"/>
    <w:rsid w:val="00BC02B2"/>
    <w:rsid w:val="00BC0411"/>
    <w:rsid w:val="00BC07E4"/>
    <w:rsid w:val="00BC0960"/>
    <w:rsid w:val="00BC09CA"/>
    <w:rsid w:val="00BC0A12"/>
    <w:rsid w:val="00BC0ACB"/>
    <w:rsid w:val="00BC0C84"/>
    <w:rsid w:val="00BC0DA2"/>
    <w:rsid w:val="00BC0DE3"/>
    <w:rsid w:val="00BC0E71"/>
    <w:rsid w:val="00BC0E76"/>
    <w:rsid w:val="00BC1002"/>
    <w:rsid w:val="00BC105A"/>
    <w:rsid w:val="00BC106A"/>
    <w:rsid w:val="00BC1140"/>
    <w:rsid w:val="00BC115A"/>
    <w:rsid w:val="00BC11B8"/>
    <w:rsid w:val="00BC12AA"/>
    <w:rsid w:val="00BC17C3"/>
    <w:rsid w:val="00BC1894"/>
    <w:rsid w:val="00BC1CE0"/>
    <w:rsid w:val="00BC1D8A"/>
    <w:rsid w:val="00BC1FC5"/>
    <w:rsid w:val="00BC1FD5"/>
    <w:rsid w:val="00BC20F2"/>
    <w:rsid w:val="00BC23EF"/>
    <w:rsid w:val="00BC255C"/>
    <w:rsid w:val="00BC25F2"/>
    <w:rsid w:val="00BC294C"/>
    <w:rsid w:val="00BC2968"/>
    <w:rsid w:val="00BC2B29"/>
    <w:rsid w:val="00BC2B58"/>
    <w:rsid w:val="00BC2C2F"/>
    <w:rsid w:val="00BC305C"/>
    <w:rsid w:val="00BC31C0"/>
    <w:rsid w:val="00BC32CA"/>
    <w:rsid w:val="00BC3385"/>
    <w:rsid w:val="00BC33F9"/>
    <w:rsid w:val="00BC34A7"/>
    <w:rsid w:val="00BC3510"/>
    <w:rsid w:val="00BC35F0"/>
    <w:rsid w:val="00BC3730"/>
    <w:rsid w:val="00BC374D"/>
    <w:rsid w:val="00BC38E9"/>
    <w:rsid w:val="00BC39A0"/>
    <w:rsid w:val="00BC3A0E"/>
    <w:rsid w:val="00BC3A66"/>
    <w:rsid w:val="00BC3D50"/>
    <w:rsid w:val="00BC3EF9"/>
    <w:rsid w:val="00BC413C"/>
    <w:rsid w:val="00BC448C"/>
    <w:rsid w:val="00BC462E"/>
    <w:rsid w:val="00BC4883"/>
    <w:rsid w:val="00BC489B"/>
    <w:rsid w:val="00BC4BB8"/>
    <w:rsid w:val="00BC4C9D"/>
    <w:rsid w:val="00BC4DBE"/>
    <w:rsid w:val="00BC4E6E"/>
    <w:rsid w:val="00BC4F5F"/>
    <w:rsid w:val="00BC50DA"/>
    <w:rsid w:val="00BC53AF"/>
    <w:rsid w:val="00BC5487"/>
    <w:rsid w:val="00BC5522"/>
    <w:rsid w:val="00BC5608"/>
    <w:rsid w:val="00BC567C"/>
    <w:rsid w:val="00BC596C"/>
    <w:rsid w:val="00BC5C86"/>
    <w:rsid w:val="00BC5F32"/>
    <w:rsid w:val="00BC6585"/>
    <w:rsid w:val="00BC65AD"/>
    <w:rsid w:val="00BC670B"/>
    <w:rsid w:val="00BC6828"/>
    <w:rsid w:val="00BC6A29"/>
    <w:rsid w:val="00BC6A34"/>
    <w:rsid w:val="00BC6A5E"/>
    <w:rsid w:val="00BC6DBC"/>
    <w:rsid w:val="00BC6EC4"/>
    <w:rsid w:val="00BC6FC8"/>
    <w:rsid w:val="00BC7218"/>
    <w:rsid w:val="00BC76C2"/>
    <w:rsid w:val="00BC772B"/>
    <w:rsid w:val="00BC77A8"/>
    <w:rsid w:val="00BC781B"/>
    <w:rsid w:val="00BC7A99"/>
    <w:rsid w:val="00BC7B87"/>
    <w:rsid w:val="00BC7B97"/>
    <w:rsid w:val="00BC7E67"/>
    <w:rsid w:val="00BC7F74"/>
    <w:rsid w:val="00BD0041"/>
    <w:rsid w:val="00BD00AC"/>
    <w:rsid w:val="00BD00FD"/>
    <w:rsid w:val="00BD010E"/>
    <w:rsid w:val="00BD0125"/>
    <w:rsid w:val="00BD03D6"/>
    <w:rsid w:val="00BD09E3"/>
    <w:rsid w:val="00BD0CB9"/>
    <w:rsid w:val="00BD1350"/>
    <w:rsid w:val="00BD1567"/>
    <w:rsid w:val="00BD1596"/>
    <w:rsid w:val="00BD1836"/>
    <w:rsid w:val="00BD192E"/>
    <w:rsid w:val="00BD1AC2"/>
    <w:rsid w:val="00BD1FFD"/>
    <w:rsid w:val="00BD21DD"/>
    <w:rsid w:val="00BD229D"/>
    <w:rsid w:val="00BD22D3"/>
    <w:rsid w:val="00BD2453"/>
    <w:rsid w:val="00BD2836"/>
    <w:rsid w:val="00BD2AC0"/>
    <w:rsid w:val="00BD2AF8"/>
    <w:rsid w:val="00BD2CF4"/>
    <w:rsid w:val="00BD2F8C"/>
    <w:rsid w:val="00BD308F"/>
    <w:rsid w:val="00BD321D"/>
    <w:rsid w:val="00BD3416"/>
    <w:rsid w:val="00BD35F4"/>
    <w:rsid w:val="00BD397A"/>
    <w:rsid w:val="00BD39DE"/>
    <w:rsid w:val="00BD3B81"/>
    <w:rsid w:val="00BD3C1D"/>
    <w:rsid w:val="00BD3C48"/>
    <w:rsid w:val="00BD3E7A"/>
    <w:rsid w:val="00BD4054"/>
    <w:rsid w:val="00BD40AC"/>
    <w:rsid w:val="00BD42BA"/>
    <w:rsid w:val="00BD4366"/>
    <w:rsid w:val="00BD4367"/>
    <w:rsid w:val="00BD44DD"/>
    <w:rsid w:val="00BD4531"/>
    <w:rsid w:val="00BD46A3"/>
    <w:rsid w:val="00BD46BA"/>
    <w:rsid w:val="00BD4B35"/>
    <w:rsid w:val="00BD4DBD"/>
    <w:rsid w:val="00BD4E99"/>
    <w:rsid w:val="00BD4ECB"/>
    <w:rsid w:val="00BD52F9"/>
    <w:rsid w:val="00BD552B"/>
    <w:rsid w:val="00BD5540"/>
    <w:rsid w:val="00BD58F3"/>
    <w:rsid w:val="00BD59D3"/>
    <w:rsid w:val="00BD5A88"/>
    <w:rsid w:val="00BD5BCA"/>
    <w:rsid w:val="00BD5D03"/>
    <w:rsid w:val="00BD5D5C"/>
    <w:rsid w:val="00BD60ED"/>
    <w:rsid w:val="00BD625B"/>
    <w:rsid w:val="00BD6704"/>
    <w:rsid w:val="00BD69B6"/>
    <w:rsid w:val="00BD6B71"/>
    <w:rsid w:val="00BD6C6B"/>
    <w:rsid w:val="00BD6C8B"/>
    <w:rsid w:val="00BD6D4F"/>
    <w:rsid w:val="00BD6E43"/>
    <w:rsid w:val="00BD6EE7"/>
    <w:rsid w:val="00BD71D9"/>
    <w:rsid w:val="00BD72D0"/>
    <w:rsid w:val="00BD7435"/>
    <w:rsid w:val="00BD75F3"/>
    <w:rsid w:val="00BD7647"/>
    <w:rsid w:val="00BD7961"/>
    <w:rsid w:val="00BD79D1"/>
    <w:rsid w:val="00BD7B2F"/>
    <w:rsid w:val="00BD7E25"/>
    <w:rsid w:val="00BE01AD"/>
    <w:rsid w:val="00BE03BD"/>
    <w:rsid w:val="00BE0655"/>
    <w:rsid w:val="00BE06A0"/>
    <w:rsid w:val="00BE0821"/>
    <w:rsid w:val="00BE0B10"/>
    <w:rsid w:val="00BE0DD3"/>
    <w:rsid w:val="00BE0F18"/>
    <w:rsid w:val="00BE108B"/>
    <w:rsid w:val="00BE125C"/>
    <w:rsid w:val="00BE15BF"/>
    <w:rsid w:val="00BE187B"/>
    <w:rsid w:val="00BE1ECD"/>
    <w:rsid w:val="00BE1F3C"/>
    <w:rsid w:val="00BE2011"/>
    <w:rsid w:val="00BE2188"/>
    <w:rsid w:val="00BE2228"/>
    <w:rsid w:val="00BE2258"/>
    <w:rsid w:val="00BE22D9"/>
    <w:rsid w:val="00BE2303"/>
    <w:rsid w:val="00BE2316"/>
    <w:rsid w:val="00BE2AFA"/>
    <w:rsid w:val="00BE2BB4"/>
    <w:rsid w:val="00BE2BF4"/>
    <w:rsid w:val="00BE2FF0"/>
    <w:rsid w:val="00BE306B"/>
    <w:rsid w:val="00BE31CE"/>
    <w:rsid w:val="00BE31E6"/>
    <w:rsid w:val="00BE337C"/>
    <w:rsid w:val="00BE37C2"/>
    <w:rsid w:val="00BE3C57"/>
    <w:rsid w:val="00BE3CCC"/>
    <w:rsid w:val="00BE3EEC"/>
    <w:rsid w:val="00BE3F09"/>
    <w:rsid w:val="00BE455D"/>
    <w:rsid w:val="00BE4705"/>
    <w:rsid w:val="00BE4A67"/>
    <w:rsid w:val="00BE4BD3"/>
    <w:rsid w:val="00BE4EEE"/>
    <w:rsid w:val="00BE4F0D"/>
    <w:rsid w:val="00BE4F2A"/>
    <w:rsid w:val="00BE4F3C"/>
    <w:rsid w:val="00BE4F80"/>
    <w:rsid w:val="00BE509E"/>
    <w:rsid w:val="00BE50A3"/>
    <w:rsid w:val="00BE51AC"/>
    <w:rsid w:val="00BE554C"/>
    <w:rsid w:val="00BE5700"/>
    <w:rsid w:val="00BE5810"/>
    <w:rsid w:val="00BE5AAB"/>
    <w:rsid w:val="00BE5E3E"/>
    <w:rsid w:val="00BE6187"/>
    <w:rsid w:val="00BE6249"/>
    <w:rsid w:val="00BE6317"/>
    <w:rsid w:val="00BE63C1"/>
    <w:rsid w:val="00BE656D"/>
    <w:rsid w:val="00BE6879"/>
    <w:rsid w:val="00BE6A81"/>
    <w:rsid w:val="00BE6B32"/>
    <w:rsid w:val="00BE6F12"/>
    <w:rsid w:val="00BE6F4D"/>
    <w:rsid w:val="00BE6F74"/>
    <w:rsid w:val="00BE6F89"/>
    <w:rsid w:val="00BE733C"/>
    <w:rsid w:val="00BE73A9"/>
    <w:rsid w:val="00BE7829"/>
    <w:rsid w:val="00BE7899"/>
    <w:rsid w:val="00BE79D8"/>
    <w:rsid w:val="00BE7A46"/>
    <w:rsid w:val="00BE7A67"/>
    <w:rsid w:val="00BE7B7F"/>
    <w:rsid w:val="00BE7C7C"/>
    <w:rsid w:val="00BE7D5E"/>
    <w:rsid w:val="00BE7FD6"/>
    <w:rsid w:val="00BF01B5"/>
    <w:rsid w:val="00BF03C4"/>
    <w:rsid w:val="00BF04EA"/>
    <w:rsid w:val="00BF0802"/>
    <w:rsid w:val="00BF09C5"/>
    <w:rsid w:val="00BF0B34"/>
    <w:rsid w:val="00BF0BC0"/>
    <w:rsid w:val="00BF106E"/>
    <w:rsid w:val="00BF1300"/>
    <w:rsid w:val="00BF1358"/>
    <w:rsid w:val="00BF1770"/>
    <w:rsid w:val="00BF1DEA"/>
    <w:rsid w:val="00BF1ED0"/>
    <w:rsid w:val="00BF1EDB"/>
    <w:rsid w:val="00BF1F7E"/>
    <w:rsid w:val="00BF20B1"/>
    <w:rsid w:val="00BF21DE"/>
    <w:rsid w:val="00BF21FA"/>
    <w:rsid w:val="00BF221B"/>
    <w:rsid w:val="00BF2538"/>
    <w:rsid w:val="00BF264A"/>
    <w:rsid w:val="00BF29EE"/>
    <w:rsid w:val="00BF2B16"/>
    <w:rsid w:val="00BF2CEC"/>
    <w:rsid w:val="00BF2F20"/>
    <w:rsid w:val="00BF36F4"/>
    <w:rsid w:val="00BF37CB"/>
    <w:rsid w:val="00BF3869"/>
    <w:rsid w:val="00BF3A29"/>
    <w:rsid w:val="00BF3DFD"/>
    <w:rsid w:val="00BF4111"/>
    <w:rsid w:val="00BF4302"/>
    <w:rsid w:val="00BF43BE"/>
    <w:rsid w:val="00BF4571"/>
    <w:rsid w:val="00BF4796"/>
    <w:rsid w:val="00BF4940"/>
    <w:rsid w:val="00BF49AE"/>
    <w:rsid w:val="00BF4B95"/>
    <w:rsid w:val="00BF4BA2"/>
    <w:rsid w:val="00BF4DDD"/>
    <w:rsid w:val="00BF4EEA"/>
    <w:rsid w:val="00BF51EC"/>
    <w:rsid w:val="00BF54AE"/>
    <w:rsid w:val="00BF5504"/>
    <w:rsid w:val="00BF5605"/>
    <w:rsid w:val="00BF5681"/>
    <w:rsid w:val="00BF5700"/>
    <w:rsid w:val="00BF5A35"/>
    <w:rsid w:val="00BF5B90"/>
    <w:rsid w:val="00BF5F8A"/>
    <w:rsid w:val="00BF5F9C"/>
    <w:rsid w:val="00BF60A6"/>
    <w:rsid w:val="00BF60F4"/>
    <w:rsid w:val="00BF621D"/>
    <w:rsid w:val="00BF6452"/>
    <w:rsid w:val="00BF64D9"/>
    <w:rsid w:val="00BF65B5"/>
    <w:rsid w:val="00BF6693"/>
    <w:rsid w:val="00BF6725"/>
    <w:rsid w:val="00BF67E6"/>
    <w:rsid w:val="00BF699A"/>
    <w:rsid w:val="00BF6B22"/>
    <w:rsid w:val="00BF6BAD"/>
    <w:rsid w:val="00BF6D02"/>
    <w:rsid w:val="00BF6D4B"/>
    <w:rsid w:val="00BF6D73"/>
    <w:rsid w:val="00BF7154"/>
    <w:rsid w:val="00BF72AB"/>
    <w:rsid w:val="00BF761D"/>
    <w:rsid w:val="00BF79F0"/>
    <w:rsid w:val="00BF7AC6"/>
    <w:rsid w:val="00BF7B5D"/>
    <w:rsid w:val="00BF7EB3"/>
    <w:rsid w:val="00BF7F3A"/>
    <w:rsid w:val="00C000C5"/>
    <w:rsid w:val="00C00241"/>
    <w:rsid w:val="00C00477"/>
    <w:rsid w:val="00C00548"/>
    <w:rsid w:val="00C005A3"/>
    <w:rsid w:val="00C006B8"/>
    <w:rsid w:val="00C006F9"/>
    <w:rsid w:val="00C0098A"/>
    <w:rsid w:val="00C00B8D"/>
    <w:rsid w:val="00C00C26"/>
    <w:rsid w:val="00C00E59"/>
    <w:rsid w:val="00C00ED3"/>
    <w:rsid w:val="00C00F5B"/>
    <w:rsid w:val="00C012E0"/>
    <w:rsid w:val="00C012EF"/>
    <w:rsid w:val="00C01458"/>
    <w:rsid w:val="00C01763"/>
    <w:rsid w:val="00C017AB"/>
    <w:rsid w:val="00C01AC8"/>
    <w:rsid w:val="00C01BD6"/>
    <w:rsid w:val="00C01C87"/>
    <w:rsid w:val="00C01E78"/>
    <w:rsid w:val="00C01F94"/>
    <w:rsid w:val="00C0238D"/>
    <w:rsid w:val="00C02441"/>
    <w:rsid w:val="00C026A8"/>
    <w:rsid w:val="00C026EE"/>
    <w:rsid w:val="00C02743"/>
    <w:rsid w:val="00C029A4"/>
    <w:rsid w:val="00C02A4E"/>
    <w:rsid w:val="00C02BF5"/>
    <w:rsid w:val="00C02F6D"/>
    <w:rsid w:val="00C0306E"/>
    <w:rsid w:val="00C031A9"/>
    <w:rsid w:val="00C03383"/>
    <w:rsid w:val="00C034DD"/>
    <w:rsid w:val="00C035D7"/>
    <w:rsid w:val="00C037BF"/>
    <w:rsid w:val="00C037C6"/>
    <w:rsid w:val="00C037F6"/>
    <w:rsid w:val="00C038CC"/>
    <w:rsid w:val="00C039C2"/>
    <w:rsid w:val="00C03B3B"/>
    <w:rsid w:val="00C03BC2"/>
    <w:rsid w:val="00C03D1F"/>
    <w:rsid w:val="00C03F05"/>
    <w:rsid w:val="00C03F0B"/>
    <w:rsid w:val="00C04280"/>
    <w:rsid w:val="00C0432B"/>
    <w:rsid w:val="00C04424"/>
    <w:rsid w:val="00C04544"/>
    <w:rsid w:val="00C0469D"/>
    <w:rsid w:val="00C046B3"/>
    <w:rsid w:val="00C04722"/>
    <w:rsid w:val="00C0472C"/>
    <w:rsid w:val="00C04A58"/>
    <w:rsid w:val="00C04CCC"/>
    <w:rsid w:val="00C04CD8"/>
    <w:rsid w:val="00C04D57"/>
    <w:rsid w:val="00C04FF9"/>
    <w:rsid w:val="00C050E1"/>
    <w:rsid w:val="00C0519F"/>
    <w:rsid w:val="00C051DA"/>
    <w:rsid w:val="00C051F9"/>
    <w:rsid w:val="00C0546A"/>
    <w:rsid w:val="00C054CA"/>
    <w:rsid w:val="00C057C4"/>
    <w:rsid w:val="00C0582A"/>
    <w:rsid w:val="00C05890"/>
    <w:rsid w:val="00C05982"/>
    <w:rsid w:val="00C05B01"/>
    <w:rsid w:val="00C05B26"/>
    <w:rsid w:val="00C05DB5"/>
    <w:rsid w:val="00C05F7A"/>
    <w:rsid w:val="00C0636A"/>
    <w:rsid w:val="00C06461"/>
    <w:rsid w:val="00C065E3"/>
    <w:rsid w:val="00C06714"/>
    <w:rsid w:val="00C067F5"/>
    <w:rsid w:val="00C068B3"/>
    <w:rsid w:val="00C06E6A"/>
    <w:rsid w:val="00C06EC6"/>
    <w:rsid w:val="00C07064"/>
    <w:rsid w:val="00C075B6"/>
    <w:rsid w:val="00C076AD"/>
    <w:rsid w:val="00C07796"/>
    <w:rsid w:val="00C07898"/>
    <w:rsid w:val="00C07D09"/>
    <w:rsid w:val="00C07DA8"/>
    <w:rsid w:val="00C07DF5"/>
    <w:rsid w:val="00C07FF7"/>
    <w:rsid w:val="00C1002F"/>
    <w:rsid w:val="00C10046"/>
    <w:rsid w:val="00C1011D"/>
    <w:rsid w:val="00C101C0"/>
    <w:rsid w:val="00C1030E"/>
    <w:rsid w:val="00C1035B"/>
    <w:rsid w:val="00C103F0"/>
    <w:rsid w:val="00C1042C"/>
    <w:rsid w:val="00C1043B"/>
    <w:rsid w:val="00C10570"/>
    <w:rsid w:val="00C106F6"/>
    <w:rsid w:val="00C107C8"/>
    <w:rsid w:val="00C10AB3"/>
    <w:rsid w:val="00C10C82"/>
    <w:rsid w:val="00C10E69"/>
    <w:rsid w:val="00C11047"/>
    <w:rsid w:val="00C11566"/>
    <w:rsid w:val="00C11567"/>
    <w:rsid w:val="00C1175D"/>
    <w:rsid w:val="00C1190A"/>
    <w:rsid w:val="00C1195F"/>
    <w:rsid w:val="00C11DF9"/>
    <w:rsid w:val="00C11F39"/>
    <w:rsid w:val="00C12213"/>
    <w:rsid w:val="00C1229C"/>
    <w:rsid w:val="00C12605"/>
    <w:rsid w:val="00C126BB"/>
    <w:rsid w:val="00C127B4"/>
    <w:rsid w:val="00C12812"/>
    <w:rsid w:val="00C12843"/>
    <w:rsid w:val="00C12D3D"/>
    <w:rsid w:val="00C12E0F"/>
    <w:rsid w:val="00C13172"/>
    <w:rsid w:val="00C13623"/>
    <w:rsid w:val="00C1365A"/>
    <w:rsid w:val="00C13A14"/>
    <w:rsid w:val="00C13A64"/>
    <w:rsid w:val="00C13C5D"/>
    <w:rsid w:val="00C13F47"/>
    <w:rsid w:val="00C13F83"/>
    <w:rsid w:val="00C14000"/>
    <w:rsid w:val="00C14945"/>
    <w:rsid w:val="00C14981"/>
    <w:rsid w:val="00C14BAB"/>
    <w:rsid w:val="00C14F9D"/>
    <w:rsid w:val="00C14FDE"/>
    <w:rsid w:val="00C15118"/>
    <w:rsid w:val="00C151D7"/>
    <w:rsid w:val="00C15288"/>
    <w:rsid w:val="00C152E5"/>
    <w:rsid w:val="00C15444"/>
    <w:rsid w:val="00C15613"/>
    <w:rsid w:val="00C15640"/>
    <w:rsid w:val="00C1571E"/>
    <w:rsid w:val="00C1574D"/>
    <w:rsid w:val="00C159E6"/>
    <w:rsid w:val="00C15BE0"/>
    <w:rsid w:val="00C15C29"/>
    <w:rsid w:val="00C162FD"/>
    <w:rsid w:val="00C1636F"/>
    <w:rsid w:val="00C16397"/>
    <w:rsid w:val="00C16502"/>
    <w:rsid w:val="00C165AE"/>
    <w:rsid w:val="00C16AD7"/>
    <w:rsid w:val="00C16C4A"/>
    <w:rsid w:val="00C16E38"/>
    <w:rsid w:val="00C170BA"/>
    <w:rsid w:val="00C172A3"/>
    <w:rsid w:val="00C17479"/>
    <w:rsid w:val="00C17546"/>
    <w:rsid w:val="00C175C9"/>
    <w:rsid w:val="00C17903"/>
    <w:rsid w:val="00C17979"/>
    <w:rsid w:val="00C17F87"/>
    <w:rsid w:val="00C17F88"/>
    <w:rsid w:val="00C17FE6"/>
    <w:rsid w:val="00C20011"/>
    <w:rsid w:val="00C20226"/>
    <w:rsid w:val="00C20227"/>
    <w:rsid w:val="00C202C6"/>
    <w:rsid w:val="00C20492"/>
    <w:rsid w:val="00C204CB"/>
    <w:rsid w:val="00C20615"/>
    <w:rsid w:val="00C2082A"/>
    <w:rsid w:val="00C209B4"/>
    <w:rsid w:val="00C20C61"/>
    <w:rsid w:val="00C20DD3"/>
    <w:rsid w:val="00C210CB"/>
    <w:rsid w:val="00C2114C"/>
    <w:rsid w:val="00C2115A"/>
    <w:rsid w:val="00C218CA"/>
    <w:rsid w:val="00C219F9"/>
    <w:rsid w:val="00C21BD0"/>
    <w:rsid w:val="00C21F24"/>
    <w:rsid w:val="00C22144"/>
    <w:rsid w:val="00C22670"/>
    <w:rsid w:val="00C22727"/>
    <w:rsid w:val="00C22850"/>
    <w:rsid w:val="00C22A5A"/>
    <w:rsid w:val="00C22AB5"/>
    <w:rsid w:val="00C22DDC"/>
    <w:rsid w:val="00C22DFE"/>
    <w:rsid w:val="00C22E3D"/>
    <w:rsid w:val="00C22EB9"/>
    <w:rsid w:val="00C22F3F"/>
    <w:rsid w:val="00C22FAA"/>
    <w:rsid w:val="00C23170"/>
    <w:rsid w:val="00C23222"/>
    <w:rsid w:val="00C23277"/>
    <w:rsid w:val="00C232C2"/>
    <w:rsid w:val="00C2344D"/>
    <w:rsid w:val="00C23480"/>
    <w:rsid w:val="00C235EB"/>
    <w:rsid w:val="00C2374F"/>
    <w:rsid w:val="00C23B42"/>
    <w:rsid w:val="00C23D90"/>
    <w:rsid w:val="00C23DFD"/>
    <w:rsid w:val="00C23FF2"/>
    <w:rsid w:val="00C2424C"/>
    <w:rsid w:val="00C24296"/>
    <w:rsid w:val="00C24730"/>
    <w:rsid w:val="00C24C0A"/>
    <w:rsid w:val="00C2502A"/>
    <w:rsid w:val="00C256D5"/>
    <w:rsid w:val="00C25818"/>
    <w:rsid w:val="00C2587E"/>
    <w:rsid w:val="00C25B35"/>
    <w:rsid w:val="00C25BD5"/>
    <w:rsid w:val="00C2605D"/>
    <w:rsid w:val="00C260F0"/>
    <w:rsid w:val="00C2610D"/>
    <w:rsid w:val="00C2612A"/>
    <w:rsid w:val="00C26136"/>
    <w:rsid w:val="00C26385"/>
    <w:rsid w:val="00C26445"/>
    <w:rsid w:val="00C267FB"/>
    <w:rsid w:val="00C26AE7"/>
    <w:rsid w:val="00C26CCB"/>
    <w:rsid w:val="00C26D15"/>
    <w:rsid w:val="00C2719D"/>
    <w:rsid w:val="00C27581"/>
    <w:rsid w:val="00C27790"/>
    <w:rsid w:val="00C2797D"/>
    <w:rsid w:val="00C27A26"/>
    <w:rsid w:val="00C27BF3"/>
    <w:rsid w:val="00C27D5C"/>
    <w:rsid w:val="00C27EA8"/>
    <w:rsid w:val="00C30003"/>
    <w:rsid w:val="00C3023F"/>
    <w:rsid w:val="00C3025C"/>
    <w:rsid w:val="00C3033F"/>
    <w:rsid w:val="00C303F7"/>
    <w:rsid w:val="00C3041E"/>
    <w:rsid w:val="00C30423"/>
    <w:rsid w:val="00C30618"/>
    <w:rsid w:val="00C30868"/>
    <w:rsid w:val="00C308B5"/>
    <w:rsid w:val="00C30B58"/>
    <w:rsid w:val="00C30BD7"/>
    <w:rsid w:val="00C31217"/>
    <w:rsid w:val="00C31242"/>
    <w:rsid w:val="00C31505"/>
    <w:rsid w:val="00C31541"/>
    <w:rsid w:val="00C3155A"/>
    <w:rsid w:val="00C31654"/>
    <w:rsid w:val="00C31671"/>
    <w:rsid w:val="00C31AF4"/>
    <w:rsid w:val="00C31B38"/>
    <w:rsid w:val="00C31CBA"/>
    <w:rsid w:val="00C31E75"/>
    <w:rsid w:val="00C31E86"/>
    <w:rsid w:val="00C31FAA"/>
    <w:rsid w:val="00C31FAC"/>
    <w:rsid w:val="00C32283"/>
    <w:rsid w:val="00C32426"/>
    <w:rsid w:val="00C3257D"/>
    <w:rsid w:val="00C32627"/>
    <w:rsid w:val="00C3278E"/>
    <w:rsid w:val="00C32EA3"/>
    <w:rsid w:val="00C32FE8"/>
    <w:rsid w:val="00C33312"/>
    <w:rsid w:val="00C333AF"/>
    <w:rsid w:val="00C3346F"/>
    <w:rsid w:val="00C334F4"/>
    <w:rsid w:val="00C33835"/>
    <w:rsid w:val="00C33874"/>
    <w:rsid w:val="00C33969"/>
    <w:rsid w:val="00C33AA3"/>
    <w:rsid w:val="00C33ABC"/>
    <w:rsid w:val="00C33C5D"/>
    <w:rsid w:val="00C33D44"/>
    <w:rsid w:val="00C33E6F"/>
    <w:rsid w:val="00C34065"/>
    <w:rsid w:val="00C3409F"/>
    <w:rsid w:val="00C34353"/>
    <w:rsid w:val="00C3472E"/>
    <w:rsid w:val="00C347FD"/>
    <w:rsid w:val="00C3482B"/>
    <w:rsid w:val="00C34835"/>
    <w:rsid w:val="00C34A2E"/>
    <w:rsid w:val="00C34B21"/>
    <w:rsid w:val="00C34B86"/>
    <w:rsid w:val="00C34BE8"/>
    <w:rsid w:val="00C34E7C"/>
    <w:rsid w:val="00C34FA5"/>
    <w:rsid w:val="00C350DB"/>
    <w:rsid w:val="00C35119"/>
    <w:rsid w:val="00C352EE"/>
    <w:rsid w:val="00C3558D"/>
    <w:rsid w:val="00C3574E"/>
    <w:rsid w:val="00C357DA"/>
    <w:rsid w:val="00C359B3"/>
    <w:rsid w:val="00C35F66"/>
    <w:rsid w:val="00C35FF1"/>
    <w:rsid w:val="00C36054"/>
    <w:rsid w:val="00C361D6"/>
    <w:rsid w:val="00C36434"/>
    <w:rsid w:val="00C36D3D"/>
    <w:rsid w:val="00C3706A"/>
    <w:rsid w:val="00C37324"/>
    <w:rsid w:val="00C37415"/>
    <w:rsid w:val="00C37AEA"/>
    <w:rsid w:val="00C37B6E"/>
    <w:rsid w:val="00C37CE0"/>
    <w:rsid w:val="00C40134"/>
    <w:rsid w:val="00C4024E"/>
    <w:rsid w:val="00C40375"/>
    <w:rsid w:val="00C4056A"/>
    <w:rsid w:val="00C406F2"/>
    <w:rsid w:val="00C40767"/>
    <w:rsid w:val="00C40853"/>
    <w:rsid w:val="00C40BDD"/>
    <w:rsid w:val="00C40BF1"/>
    <w:rsid w:val="00C40BF4"/>
    <w:rsid w:val="00C40D55"/>
    <w:rsid w:val="00C40D5C"/>
    <w:rsid w:val="00C40E6D"/>
    <w:rsid w:val="00C4106C"/>
    <w:rsid w:val="00C410B8"/>
    <w:rsid w:val="00C411A2"/>
    <w:rsid w:val="00C4146B"/>
    <w:rsid w:val="00C41608"/>
    <w:rsid w:val="00C417C4"/>
    <w:rsid w:val="00C4196E"/>
    <w:rsid w:val="00C41A6E"/>
    <w:rsid w:val="00C41F15"/>
    <w:rsid w:val="00C41F54"/>
    <w:rsid w:val="00C421ED"/>
    <w:rsid w:val="00C42229"/>
    <w:rsid w:val="00C42390"/>
    <w:rsid w:val="00C423AF"/>
    <w:rsid w:val="00C4258D"/>
    <w:rsid w:val="00C425C5"/>
    <w:rsid w:val="00C4272B"/>
    <w:rsid w:val="00C4285B"/>
    <w:rsid w:val="00C42984"/>
    <w:rsid w:val="00C42CF4"/>
    <w:rsid w:val="00C42D79"/>
    <w:rsid w:val="00C42DAB"/>
    <w:rsid w:val="00C42DD4"/>
    <w:rsid w:val="00C42F0A"/>
    <w:rsid w:val="00C42FE3"/>
    <w:rsid w:val="00C43054"/>
    <w:rsid w:val="00C435FC"/>
    <w:rsid w:val="00C4391A"/>
    <w:rsid w:val="00C43E5E"/>
    <w:rsid w:val="00C44040"/>
    <w:rsid w:val="00C440C2"/>
    <w:rsid w:val="00C44313"/>
    <w:rsid w:val="00C44348"/>
    <w:rsid w:val="00C4439B"/>
    <w:rsid w:val="00C44472"/>
    <w:rsid w:val="00C450E8"/>
    <w:rsid w:val="00C45266"/>
    <w:rsid w:val="00C452E4"/>
    <w:rsid w:val="00C45852"/>
    <w:rsid w:val="00C45A5C"/>
    <w:rsid w:val="00C45D1A"/>
    <w:rsid w:val="00C45D84"/>
    <w:rsid w:val="00C45E29"/>
    <w:rsid w:val="00C46224"/>
    <w:rsid w:val="00C46629"/>
    <w:rsid w:val="00C466EA"/>
    <w:rsid w:val="00C46904"/>
    <w:rsid w:val="00C46BE0"/>
    <w:rsid w:val="00C46E73"/>
    <w:rsid w:val="00C46FB8"/>
    <w:rsid w:val="00C47101"/>
    <w:rsid w:val="00C475D7"/>
    <w:rsid w:val="00C47607"/>
    <w:rsid w:val="00C476D9"/>
    <w:rsid w:val="00C477FD"/>
    <w:rsid w:val="00C478B7"/>
    <w:rsid w:val="00C47A3B"/>
    <w:rsid w:val="00C47AEF"/>
    <w:rsid w:val="00C47D59"/>
    <w:rsid w:val="00C47DFD"/>
    <w:rsid w:val="00C47E78"/>
    <w:rsid w:val="00C5067E"/>
    <w:rsid w:val="00C50AFB"/>
    <w:rsid w:val="00C51059"/>
    <w:rsid w:val="00C513BA"/>
    <w:rsid w:val="00C514E8"/>
    <w:rsid w:val="00C5161A"/>
    <w:rsid w:val="00C5161E"/>
    <w:rsid w:val="00C516E5"/>
    <w:rsid w:val="00C519D8"/>
    <w:rsid w:val="00C51D74"/>
    <w:rsid w:val="00C5224F"/>
    <w:rsid w:val="00C52777"/>
    <w:rsid w:val="00C52E63"/>
    <w:rsid w:val="00C530D4"/>
    <w:rsid w:val="00C532E5"/>
    <w:rsid w:val="00C53311"/>
    <w:rsid w:val="00C53371"/>
    <w:rsid w:val="00C533CD"/>
    <w:rsid w:val="00C537D8"/>
    <w:rsid w:val="00C538AE"/>
    <w:rsid w:val="00C53BBC"/>
    <w:rsid w:val="00C53E77"/>
    <w:rsid w:val="00C54014"/>
    <w:rsid w:val="00C54084"/>
    <w:rsid w:val="00C540D0"/>
    <w:rsid w:val="00C542E4"/>
    <w:rsid w:val="00C5440F"/>
    <w:rsid w:val="00C546B8"/>
    <w:rsid w:val="00C547D1"/>
    <w:rsid w:val="00C54B4A"/>
    <w:rsid w:val="00C54CDE"/>
    <w:rsid w:val="00C54F27"/>
    <w:rsid w:val="00C54F44"/>
    <w:rsid w:val="00C5501C"/>
    <w:rsid w:val="00C5505C"/>
    <w:rsid w:val="00C554A1"/>
    <w:rsid w:val="00C554CB"/>
    <w:rsid w:val="00C55545"/>
    <w:rsid w:val="00C555FE"/>
    <w:rsid w:val="00C55870"/>
    <w:rsid w:val="00C558C7"/>
    <w:rsid w:val="00C55E97"/>
    <w:rsid w:val="00C5601E"/>
    <w:rsid w:val="00C56374"/>
    <w:rsid w:val="00C56552"/>
    <w:rsid w:val="00C5655B"/>
    <w:rsid w:val="00C565FA"/>
    <w:rsid w:val="00C56B85"/>
    <w:rsid w:val="00C56F35"/>
    <w:rsid w:val="00C56FA0"/>
    <w:rsid w:val="00C571E7"/>
    <w:rsid w:val="00C57483"/>
    <w:rsid w:val="00C576CE"/>
    <w:rsid w:val="00C577EB"/>
    <w:rsid w:val="00C57812"/>
    <w:rsid w:val="00C578CF"/>
    <w:rsid w:val="00C57B1A"/>
    <w:rsid w:val="00C57B63"/>
    <w:rsid w:val="00C57DD7"/>
    <w:rsid w:val="00C57EC5"/>
    <w:rsid w:val="00C60321"/>
    <w:rsid w:val="00C605D6"/>
    <w:rsid w:val="00C606D7"/>
    <w:rsid w:val="00C60CC2"/>
    <w:rsid w:val="00C60D6A"/>
    <w:rsid w:val="00C60F9F"/>
    <w:rsid w:val="00C6116E"/>
    <w:rsid w:val="00C611CF"/>
    <w:rsid w:val="00C6153A"/>
    <w:rsid w:val="00C618E6"/>
    <w:rsid w:val="00C61AA4"/>
    <w:rsid w:val="00C61E11"/>
    <w:rsid w:val="00C61E31"/>
    <w:rsid w:val="00C61EBD"/>
    <w:rsid w:val="00C61EE5"/>
    <w:rsid w:val="00C61EFC"/>
    <w:rsid w:val="00C62159"/>
    <w:rsid w:val="00C6239A"/>
    <w:rsid w:val="00C623B7"/>
    <w:rsid w:val="00C6278D"/>
    <w:rsid w:val="00C62996"/>
    <w:rsid w:val="00C62AE5"/>
    <w:rsid w:val="00C62D26"/>
    <w:rsid w:val="00C62F29"/>
    <w:rsid w:val="00C62F77"/>
    <w:rsid w:val="00C63221"/>
    <w:rsid w:val="00C6327F"/>
    <w:rsid w:val="00C632D5"/>
    <w:rsid w:val="00C632ED"/>
    <w:rsid w:val="00C63404"/>
    <w:rsid w:val="00C634E0"/>
    <w:rsid w:val="00C636F7"/>
    <w:rsid w:val="00C63853"/>
    <w:rsid w:val="00C63B32"/>
    <w:rsid w:val="00C63C90"/>
    <w:rsid w:val="00C63CA3"/>
    <w:rsid w:val="00C63EA3"/>
    <w:rsid w:val="00C63F8B"/>
    <w:rsid w:val="00C6412A"/>
    <w:rsid w:val="00C641A2"/>
    <w:rsid w:val="00C641BB"/>
    <w:rsid w:val="00C64295"/>
    <w:rsid w:val="00C64428"/>
    <w:rsid w:val="00C645EF"/>
    <w:rsid w:val="00C64854"/>
    <w:rsid w:val="00C648DA"/>
    <w:rsid w:val="00C64967"/>
    <w:rsid w:val="00C64B48"/>
    <w:rsid w:val="00C64CE7"/>
    <w:rsid w:val="00C64EE2"/>
    <w:rsid w:val="00C64EF1"/>
    <w:rsid w:val="00C65257"/>
    <w:rsid w:val="00C653BB"/>
    <w:rsid w:val="00C65591"/>
    <w:rsid w:val="00C65596"/>
    <w:rsid w:val="00C65796"/>
    <w:rsid w:val="00C657AD"/>
    <w:rsid w:val="00C657C8"/>
    <w:rsid w:val="00C65881"/>
    <w:rsid w:val="00C65926"/>
    <w:rsid w:val="00C65960"/>
    <w:rsid w:val="00C6645F"/>
    <w:rsid w:val="00C6663C"/>
    <w:rsid w:val="00C66774"/>
    <w:rsid w:val="00C66BEA"/>
    <w:rsid w:val="00C66E72"/>
    <w:rsid w:val="00C6701F"/>
    <w:rsid w:val="00C671B8"/>
    <w:rsid w:val="00C67209"/>
    <w:rsid w:val="00C672BE"/>
    <w:rsid w:val="00C6732E"/>
    <w:rsid w:val="00C6774A"/>
    <w:rsid w:val="00C67879"/>
    <w:rsid w:val="00C67BCC"/>
    <w:rsid w:val="00C67E55"/>
    <w:rsid w:val="00C700E1"/>
    <w:rsid w:val="00C7040D"/>
    <w:rsid w:val="00C704C1"/>
    <w:rsid w:val="00C70C03"/>
    <w:rsid w:val="00C70C6D"/>
    <w:rsid w:val="00C70D13"/>
    <w:rsid w:val="00C70E35"/>
    <w:rsid w:val="00C7107E"/>
    <w:rsid w:val="00C710AF"/>
    <w:rsid w:val="00C7128D"/>
    <w:rsid w:val="00C71905"/>
    <w:rsid w:val="00C71C03"/>
    <w:rsid w:val="00C71C60"/>
    <w:rsid w:val="00C721FF"/>
    <w:rsid w:val="00C724BF"/>
    <w:rsid w:val="00C724C4"/>
    <w:rsid w:val="00C72580"/>
    <w:rsid w:val="00C7267E"/>
    <w:rsid w:val="00C72927"/>
    <w:rsid w:val="00C72AC8"/>
    <w:rsid w:val="00C72EC5"/>
    <w:rsid w:val="00C72F04"/>
    <w:rsid w:val="00C73301"/>
    <w:rsid w:val="00C734F8"/>
    <w:rsid w:val="00C735F1"/>
    <w:rsid w:val="00C73702"/>
    <w:rsid w:val="00C73756"/>
    <w:rsid w:val="00C73B2B"/>
    <w:rsid w:val="00C73B97"/>
    <w:rsid w:val="00C73E40"/>
    <w:rsid w:val="00C73EDC"/>
    <w:rsid w:val="00C73FB2"/>
    <w:rsid w:val="00C74095"/>
    <w:rsid w:val="00C740AC"/>
    <w:rsid w:val="00C740B3"/>
    <w:rsid w:val="00C740BE"/>
    <w:rsid w:val="00C741AB"/>
    <w:rsid w:val="00C741DF"/>
    <w:rsid w:val="00C7426D"/>
    <w:rsid w:val="00C74311"/>
    <w:rsid w:val="00C7446C"/>
    <w:rsid w:val="00C74544"/>
    <w:rsid w:val="00C74645"/>
    <w:rsid w:val="00C74673"/>
    <w:rsid w:val="00C74766"/>
    <w:rsid w:val="00C748D6"/>
    <w:rsid w:val="00C74A51"/>
    <w:rsid w:val="00C74D4D"/>
    <w:rsid w:val="00C74F39"/>
    <w:rsid w:val="00C75040"/>
    <w:rsid w:val="00C75084"/>
    <w:rsid w:val="00C75634"/>
    <w:rsid w:val="00C7577A"/>
    <w:rsid w:val="00C75871"/>
    <w:rsid w:val="00C75889"/>
    <w:rsid w:val="00C75980"/>
    <w:rsid w:val="00C760F9"/>
    <w:rsid w:val="00C76161"/>
    <w:rsid w:val="00C76267"/>
    <w:rsid w:val="00C7649B"/>
    <w:rsid w:val="00C765C3"/>
    <w:rsid w:val="00C765E1"/>
    <w:rsid w:val="00C7691D"/>
    <w:rsid w:val="00C76B23"/>
    <w:rsid w:val="00C76CED"/>
    <w:rsid w:val="00C77038"/>
    <w:rsid w:val="00C7744E"/>
    <w:rsid w:val="00C7757A"/>
    <w:rsid w:val="00C777B7"/>
    <w:rsid w:val="00C77B77"/>
    <w:rsid w:val="00C77D83"/>
    <w:rsid w:val="00C77EE0"/>
    <w:rsid w:val="00C80291"/>
    <w:rsid w:val="00C802E3"/>
    <w:rsid w:val="00C80404"/>
    <w:rsid w:val="00C80580"/>
    <w:rsid w:val="00C80B0A"/>
    <w:rsid w:val="00C80B90"/>
    <w:rsid w:val="00C80BBF"/>
    <w:rsid w:val="00C80D49"/>
    <w:rsid w:val="00C80E4C"/>
    <w:rsid w:val="00C810D6"/>
    <w:rsid w:val="00C810E5"/>
    <w:rsid w:val="00C8111F"/>
    <w:rsid w:val="00C81462"/>
    <w:rsid w:val="00C81495"/>
    <w:rsid w:val="00C8163C"/>
    <w:rsid w:val="00C818BC"/>
    <w:rsid w:val="00C818BD"/>
    <w:rsid w:val="00C81C5C"/>
    <w:rsid w:val="00C81D57"/>
    <w:rsid w:val="00C81FE0"/>
    <w:rsid w:val="00C82062"/>
    <w:rsid w:val="00C820D1"/>
    <w:rsid w:val="00C8271C"/>
    <w:rsid w:val="00C828E5"/>
    <w:rsid w:val="00C82BD3"/>
    <w:rsid w:val="00C82C2F"/>
    <w:rsid w:val="00C82DAF"/>
    <w:rsid w:val="00C82F78"/>
    <w:rsid w:val="00C833D3"/>
    <w:rsid w:val="00C83844"/>
    <w:rsid w:val="00C8391B"/>
    <w:rsid w:val="00C83ADB"/>
    <w:rsid w:val="00C83CC3"/>
    <w:rsid w:val="00C83CE8"/>
    <w:rsid w:val="00C83D0B"/>
    <w:rsid w:val="00C83E02"/>
    <w:rsid w:val="00C83F16"/>
    <w:rsid w:val="00C8413D"/>
    <w:rsid w:val="00C8444D"/>
    <w:rsid w:val="00C846AA"/>
    <w:rsid w:val="00C8472C"/>
    <w:rsid w:val="00C847B7"/>
    <w:rsid w:val="00C84817"/>
    <w:rsid w:val="00C84A39"/>
    <w:rsid w:val="00C85082"/>
    <w:rsid w:val="00C85230"/>
    <w:rsid w:val="00C8537D"/>
    <w:rsid w:val="00C855E2"/>
    <w:rsid w:val="00C85613"/>
    <w:rsid w:val="00C8564C"/>
    <w:rsid w:val="00C85C5C"/>
    <w:rsid w:val="00C85E10"/>
    <w:rsid w:val="00C85E24"/>
    <w:rsid w:val="00C85EEF"/>
    <w:rsid w:val="00C85F6B"/>
    <w:rsid w:val="00C85FA6"/>
    <w:rsid w:val="00C860BC"/>
    <w:rsid w:val="00C861B4"/>
    <w:rsid w:val="00C8620F"/>
    <w:rsid w:val="00C8650A"/>
    <w:rsid w:val="00C8669F"/>
    <w:rsid w:val="00C86758"/>
    <w:rsid w:val="00C86777"/>
    <w:rsid w:val="00C869B2"/>
    <w:rsid w:val="00C86C82"/>
    <w:rsid w:val="00C86FE4"/>
    <w:rsid w:val="00C87030"/>
    <w:rsid w:val="00C871AF"/>
    <w:rsid w:val="00C872A9"/>
    <w:rsid w:val="00C872BC"/>
    <w:rsid w:val="00C872FB"/>
    <w:rsid w:val="00C873D8"/>
    <w:rsid w:val="00C87464"/>
    <w:rsid w:val="00C87612"/>
    <w:rsid w:val="00C87843"/>
    <w:rsid w:val="00C87873"/>
    <w:rsid w:val="00C87A94"/>
    <w:rsid w:val="00C87BD1"/>
    <w:rsid w:val="00C87E16"/>
    <w:rsid w:val="00C87E39"/>
    <w:rsid w:val="00C87EE5"/>
    <w:rsid w:val="00C87FE6"/>
    <w:rsid w:val="00C9018D"/>
    <w:rsid w:val="00C90192"/>
    <w:rsid w:val="00C902B3"/>
    <w:rsid w:val="00C90444"/>
    <w:rsid w:val="00C9061B"/>
    <w:rsid w:val="00C907E9"/>
    <w:rsid w:val="00C9096C"/>
    <w:rsid w:val="00C909D4"/>
    <w:rsid w:val="00C90A3D"/>
    <w:rsid w:val="00C90AA3"/>
    <w:rsid w:val="00C90BFA"/>
    <w:rsid w:val="00C90CB0"/>
    <w:rsid w:val="00C90D35"/>
    <w:rsid w:val="00C90E7E"/>
    <w:rsid w:val="00C910ED"/>
    <w:rsid w:val="00C913D6"/>
    <w:rsid w:val="00C914E9"/>
    <w:rsid w:val="00C915E1"/>
    <w:rsid w:val="00C9164B"/>
    <w:rsid w:val="00C91683"/>
    <w:rsid w:val="00C9173B"/>
    <w:rsid w:val="00C9181A"/>
    <w:rsid w:val="00C9199B"/>
    <w:rsid w:val="00C91A15"/>
    <w:rsid w:val="00C91CEC"/>
    <w:rsid w:val="00C91DE8"/>
    <w:rsid w:val="00C91E0B"/>
    <w:rsid w:val="00C91FF1"/>
    <w:rsid w:val="00C920AB"/>
    <w:rsid w:val="00C9229A"/>
    <w:rsid w:val="00C92756"/>
    <w:rsid w:val="00C927B4"/>
    <w:rsid w:val="00C928B4"/>
    <w:rsid w:val="00C92938"/>
    <w:rsid w:val="00C92AD8"/>
    <w:rsid w:val="00C92B5A"/>
    <w:rsid w:val="00C92E1E"/>
    <w:rsid w:val="00C92F50"/>
    <w:rsid w:val="00C92FAD"/>
    <w:rsid w:val="00C93510"/>
    <w:rsid w:val="00C9375E"/>
    <w:rsid w:val="00C93767"/>
    <w:rsid w:val="00C93768"/>
    <w:rsid w:val="00C9391A"/>
    <w:rsid w:val="00C939DD"/>
    <w:rsid w:val="00C93A60"/>
    <w:rsid w:val="00C93C3F"/>
    <w:rsid w:val="00C93D33"/>
    <w:rsid w:val="00C93D48"/>
    <w:rsid w:val="00C93DC5"/>
    <w:rsid w:val="00C93F14"/>
    <w:rsid w:val="00C9410D"/>
    <w:rsid w:val="00C944DC"/>
    <w:rsid w:val="00C94636"/>
    <w:rsid w:val="00C9497E"/>
    <w:rsid w:val="00C94D67"/>
    <w:rsid w:val="00C94DA2"/>
    <w:rsid w:val="00C94DB8"/>
    <w:rsid w:val="00C94ED1"/>
    <w:rsid w:val="00C9501A"/>
    <w:rsid w:val="00C95097"/>
    <w:rsid w:val="00C950F3"/>
    <w:rsid w:val="00C95163"/>
    <w:rsid w:val="00C951A0"/>
    <w:rsid w:val="00C953C0"/>
    <w:rsid w:val="00C953C2"/>
    <w:rsid w:val="00C9548E"/>
    <w:rsid w:val="00C955BF"/>
    <w:rsid w:val="00C9565B"/>
    <w:rsid w:val="00C95678"/>
    <w:rsid w:val="00C957B2"/>
    <w:rsid w:val="00C95BCA"/>
    <w:rsid w:val="00C95D62"/>
    <w:rsid w:val="00C95DB9"/>
    <w:rsid w:val="00C95ECE"/>
    <w:rsid w:val="00C962BB"/>
    <w:rsid w:val="00C96359"/>
    <w:rsid w:val="00C96AA0"/>
    <w:rsid w:val="00C96E0C"/>
    <w:rsid w:val="00C96E5D"/>
    <w:rsid w:val="00C96F38"/>
    <w:rsid w:val="00C96F94"/>
    <w:rsid w:val="00C97037"/>
    <w:rsid w:val="00C97126"/>
    <w:rsid w:val="00C97145"/>
    <w:rsid w:val="00C97268"/>
    <w:rsid w:val="00C9731F"/>
    <w:rsid w:val="00C974E3"/>
    <w:rsid w:val="00C9767D"/>
    <w:rsid w:val="00C97812"/>
    <w:rsid w:val="00C978B5"/>
    <w:rsid w:val="00C97B92"/>
    <w:rsid w:val="00C97BC3"/>
    <w:rsid w:val="00C97BFF"/>
    <w:rsid w:val="00C97D73"/>
    <w:rsid w:val="00C97FBC"/>
    <w:rsid w:val="00CA017C"/>
    <w:rsid w:val="00CA01FB"/>
    <w:rsid w:val="00CA042A"/>
    <w:rsid w:val="00CA069B"/>
    <w:rsid w:val="00CA06BE"/>
    <w:rsid w:val="00CA0713"/>
    <w:rsid w:val="00CA0768"/>
    <w:rsid w:val="00CA0B27"/>
    <w:rsid w:val="00CA0DC3"/>
    <w:rsid w:val="00CA1009"/>
    <w:rsid w:val="00CA13BB"/>
    <w:rsid w:val="00CA13F1"/>
    <w:rsid w:val="00CA14E9"/>
    <w:rsid w:val="00CA1611"/>
    <w:rsid w:val="00CA163F"/>
    <w:rsid w:val="00CA17E1"/>
    <w:rsid w:val="00CA188C"/>
    <w:rsid w:val="00CA1A71"/>
    <w:rsid w:val="00CA1C4D"/>
    <w:rsid w:val="00CA1F17"/>
    <w:rsid w:val="00CA208E"/>
    <w:rsid w:val="00CA223C"/>
    <w:rsid w:val="00CA2441"/>
    <w:rsid w:val="00CA2554"/>
    <w:rsid w:val="00CA26D2"/>
    <w:rsid w:val="00CA2709"/>
    <w:rsid w:val="00CA2F70"/>
    <w:rsid w:val="00CA3052"/>
    <w:rsid w:val="00CA322B"/>
    <w:rsid w:val="00CA367D"/>
    <w:rsid w:val="00CA368F"/>
    <w:rsid w:val="00CA3782"/>
    <w:rsid w:val="00CA3A03"/>
    <w:rsid w:val="00CA3BD0"/>
    <w:rsid w:val="00CA3CCD"/>
    <w:rsid w:val="00CA3DEF"/>
    <w:rsid w:val="00CA40D5"/>
    <w:rsid w:val="00CA430E"/>
    <w:rsid w:val="00CA4321"/>
    <w:rsid w:val="00CA450D"/>
    <w:rsid w:val="00CA48A1"/>
    <w:rsid w:val="00CA49E2"/>
    <w:rsid w:val="00CA49E7"/>
    <w:rsid w:val="00CA4A06"/>
    <w:rsid w:val="00CA4B42"/>
    <w:rsid w:val="00CA4BC0"/>
    <w:rsid w:val="00CA4DA1"/>
    <w:rsid w:val="00CA4ED7"/>
    <w:rsid w:val="00CA4F48"/>
    <w:rsid w:val="00CA4FAF"/>
    <w:rsid w:val="00CA521C"/>
    <w:rsid w:val="00CA540A"/>
    <w:rsid w:val="00CA545E"/>
    <w:rsid w:val="00CA54E1"/>
    <w:rsid w:val="00CA54E3"/>
    <w:rsid w:val="00CA56BD"/>
    <w:rsid w:val="00CA5B0D"/>
    <w:rsid w:val="00CA5DCE"/>
    <w:rsid w:val="00CA5E82"/>
    <w:rsid w:val="00CA5F5A"/>
    <w:rsid w:val="00CA5F7B"/>
    <w:rsid w:val="00CA6278"/>
    <w:rsid w:val="00CA62CD"/>
    <w:rsid w:val="00CA6693"/>
    <w:rsid w:val="00CA6A49"/>
    <w:rsid w:val="00CA6C57"/>
    <w:rsid w:val="00CA6C90"/>
    <w:rsid w:val="00CA7050"/>
    <w:rsid w:val="00CA7322"/>
    <w:rsid w:val="00CA7929"/>
    <w:rsid w:val="00CA7952"/>
    <w:rsid w:val="00CA7A36"/>
    <w:rsid w:val="00CA7C8F"/>
    <w:rsid w:val="00CA7DD5"/>
    <w:rsid w:val="00CA7DF4"/>
    <w:rsid w:val="00CB015B"/>
    <w:rsid w:val="00CB03C1"/>
    <w:rsid w:val="00CB042D"/>
    <w:rsid w:val="00CB087A"/>
    <w:rsid w:val="00CB09F0"/>
    <w:rsid w:val="00CB0A61"/>
    <w:rsid w:val="00CB0C37"/>
    <w:rsid w:val="00CB0E8F"/>
    <w:rsid w:val="00CB0F20"/>
    <w:rsid w:val="00CB0FBB"/>
    <w:rsid w:val="00CB116F"/>
    <w:rsid w:val="00CB1914"/>
    <w:rsid w:val="00CB1CBD"/>
    <w:rsid w:val="00CB1CDD"/>
    <w:rsid w:val="00CB1CFC"/>
    <w:rsid w:val="00CB205C"/>
    <w:rsid w:val="00CB2089"/>
    <w:rsid w:val="00CB2160"/>
    <w:rsid w:val="00CB227A"/>
    <w:rsid w:val="00CB23FD"/>
    <w:rsid w:val="00CB245A"/>
    <w:rsid w:val="00CB2633"/>
    <w:rsid w:val="00CB28B2"/>
    <w:rsid w:val="00CB29EE"/>
    <w:rsid w:val="00CB29FB"/>
    <w:rsid w:val="00CB2A9A"/>
    <w:rsid w:val="00CB2D66"/>
    <w:rsid w:val="00CB314E"/>
    <w:rsid w:val="00CB33C9"/>
    <w:rsid w:val="00CB345D"/>
    <w:rsid w:val="00CB35E3"/>
    <w:rsid w:val="00CB3BCD"/>
    <w:rsid w:val="00CB3CE4"/>
    <w:rsid w:val="00CB41F0"/>
    <w:rsid w:val="00CB42A1"/>
    <w:rsid w:val="00CB4325"/>
    <w:rsid w:val="00CB433C"/>
    <w:rsid w:val="00CB434E"/>
    <w:rsid w:val="00CB442D"/>
    <w:rsid w:val="00CB463C"/>
    <w:rsid w:val="00CB4692"/>
    <w:rsid w:val="00CB47A1"/>
    <w:rsid w:val="00CB489C"/>
    <w:rsid w:val="00CB497F"/>
    <w:rsid w:val="00CB4CE2"/>
    <w:rsid w:val="00CB4D70"/>
    <w:rsid w:val="00CB4E1E"/>
    <w:rsid w:val="00CB5598"/>
    <w:rsid w:val="00CB5793"/>
    <w:rsid w:val="00CB5A50"/>
    <w:rsid w:val="00CB5A90"/>
    <w:rsid w:val="00CB5C3B"/>
    <w:rsid w:val="00CB5CFD"/>
    <w:rsid w:val="00CB5DB5"/>
    <w:rsid w:val="00CB5EF0"/>
    <w:rsid w:val="00CB5FD3"/>
    <w:rsid w:val="00CB6028"/>
    <w:rsid w:val="00CB60E3"/>
    <w:rsid w:val="00CB657B"/>
    <w:rsid w:val="00CB6586"/>
    <w:rsid w:val="00CB6627"/>
    <w:rsid w:val="00CB67AE"/>
    <w:rsid w:val="00CB681C"/>
    <w:rsid w:val="00CB6A27"/>
    <w:rsid w:val="00CB6B31"/>
    <w:rsid w:val="00CB6CBB"/>
    <w:rsid w:val="00CB6DBD"/>
    <w:rsid w:val="00CB6F28"/>
    <w:rsid w:val="00CB70D4"/>
    <w:rsid w:val="00CB7139"/>
    <w:rsid w:val="00CB71E9"/>
    <w:rsid w:val="00CB722D"/>
    <w:rsid w:val="00CB7281"/>
    <w:rsid w:val="00CB74BB"/>
    <w:rsid w:val="00CB74FA"/>
    <w:rsid w:val="00CB7570"/>
    <w:rsid w:val="00CB7599"/>
    <w:rsid w:val="00CB7630"/>
    <w:rsid w:val="00CB7764"/>
    <w:rsid w:val="00CB79C0"/>
    <w:rsid w:val="00CB7AFB"/>
    <w:rsid w:val="00CB7EB9"/>
    <w:rsid w:val="00CC008A"/>
    <w:rsid w:val="00CC00D1"/>
    <w:rsid w:val="00CC038F"/>
    <w:rsid w:val="00CC0413"/>
    <w:rsid w:val="00CC059A"/>
    <w:rsid w:val="00CC05D8"/>
    <w:rsid w:val="00CC070C"/>
    <w:rsid w:val="00CC07FA"/>
    <w:rsid w:val="00CC091E"/>
    <w:rsid w:val="00CC0A6A"/>
    <w:rsid w:val="00CC0D10"/>
    <w:rsid w:val="00CC1378"/>
    <w:rsid w:val="00CC145E"/>
    <w:rsid w:val="00CC1512"/>
    <w:rsid w:val="00CC15D8"/>
    <w:rsid w:val="00CC15F0"/>
    <w:rsid w:val="00CC18B5"/>
    <w:rsid w:val="00CC1E40"/>
    <w:rsid w:val="00CC1F17"/>
    <w:rsid w:val="00CC1F4D"/>
    <w:rsid w:val="00CC2756"/>
    <w:rsid w:val="00CC2875"/>
    <w:rsid w:val="00CC2966"/>
    <w:rsid w:val="00CC2CA3"/>
    <w:rsid w:val="00CC2F13"/>
    <w:rsid w:val="00CC2F1E"/>
    <w:rsid w:val="00CC3043"/>
    <w:rsid w:val="00CC30DA"/>
    <w:rsid w:val="00CC311B"/>
    <w:rsid w:val="00CC3249"/>
    <w:rsid w:val="00CC328F"/>
    <w:rsid w:val="00CC335F"/>
    <w:rsid w:val="00CC3523"/>
    <w:rsid w:val="00CC363E"/>
    <w:rsid w:val="00CC3757"/>
    <w:rsid w:val="00CC3900"/>
    <w:rsid w:val="00CC3A46"/>
    <w:rsid w:val="00CC3CB0"/>
    <w:rsid w:val="00CC4198"/>
    <w:rsid w:val="00CC4255"/>
    <w:rsid w:val="00CC43F2"/>
    <w:rsid w:val="00CC4562"/>
    <w:rsid w:val="00CC45FD"/>
    <w:rsid w:val="00CC4647"/>
    <w:rsid w:val="00CC4954"/>
    <w:rsid w:val="00CC4D3E"/>
    <w:rsid w:val="00CC5065"/>
    <w:rsid w:val="00CC51B0"/>
    <w:rsid w:val="00CC5254"/>
    <w:rsid w:val="00CC5399"/>
    <w:rsid w:val="00CC553A"/>
    <w:rsid w:val="00CC55B5"/>
    <w:rsid w:val="00CC55F8"/>
    <w:rsid w:val="00CC5602"/>
    <w:rsid w:val="00CC5BD0"/>
    <w:rsid w:val="00CC5C96"/>
    <w:rsid w:val="00CC5E54"/>
    <w:rsid w:val="00CC5E71"/>
    <w:rsid w:val="00CC5F0B"/>
    <w:rsid w:val="00CC6118"/>
    <w:rsid w:val="00CC62FC"/>
    <w:rsid w:val="00CC64A8"/>
    <w:rsid w:val="00CC672B"/>
    <w:rsid w:val="00CC6741"/>
    <w:rsid w:val="00CC674E"/>
    <w:rsid w:val="00CC6828"/>
    <w:rsid w:val="00CC6A2F"/>
    <w:rsid w:val="00CC6BC9"/>
    <w:rsid w:val="00CC6C3B"/>
    <w:rsid w:val="00CC6F52"/>
    <w:rsid w:val="00CC73DA"/>
    <w:rsid w:val="00CC7A7D"/>
    <w:rsid w:val="00CC7AED"/>
    <w:rsid w:val="00CC7FDE"/>
    <w:rsid w:val="00CD0027"/>
    <w:rsid w:val="00CD005F"/>
    <w:rsid w:val="00CD0259"/>
    <w:rsid w:val="00CD02B1"/>
    <w:rsid w:val="00CD02F0"/>
    <w:rsid w:val="00CD05E2"/>
    <w:rsid w:val="00CD05F9"/>
    <w:rsid w:val="00CD06E5"/>
    <w:rsid w:val="00CD0AB6"/>
    <w:rsid w:val="00CD102D"/>
    <w:rsid w:val="00CD1067"/>
    <w:rsid w:val="00CD123A"/>
    <w:rsid w:val="00CD1396"/>
    <w:rsid w:val="00CD14AE"/>
    <w:rsid w:val="00CD1754"/>
    <w:rsid w:val="00CD188D"/>
    <w:rsid w:val="00CD18BE"/>
    <w:rsid w:val="00CD1E5A"/>
    <w:rsid w:val="00CD2056"/>
    <w:rsid w:val="00CD228C"/>
    <w:rsid w:val="00CD2327"/>
    <w:rsid w:val="00CD23FD"/>
    <w:rsid w:val="00CD277E"/>
    <w:rsid w:val="00CD28FC"/>
    <w:rsid w:val="00CD290E"/>
    <w:rsid w:val="00CD2994"/>
    <w:rsid w:val="00CD2CDA"/>
    <w:rsid w:val="00CD2F2F"/>
    <w:rsid w:val="00CD2F3C"/>
    <w:rsid w:val="00CD3069"/>
    <w:rsid w:val="00CD340F"/>
    <w:rsid w:val="00CD38B6"/>
    <w:rsid w:val="00CD39DC"/>
    <w:rsid w:val="00CD3A7A"/>
    <w:rsid w:val="00CD3AE6"/>
    <w:rsid w:val="00CD3C30"/>
    <w:rsid w:val="00CD3D8E"/>
    <w:rsid w:val="00CD3F57"/>
    <w:rsid w:val="00CD4027"/>
    <w:rsid w:val="00CD4075"/>
    <w:rsid w:val="00CD45FB"/>
    <w:rsid w:val="00CD4751"/>
    <w:rsid w:val="00CD4A6E"/>
    <w:rsid w:val="00CD4E60"/>
    <w:rsid w:val="00CD531F"/>
    <w:rsid w:val="00CD5523"/>
    <w:rsid w:val="00CD555C"/>
    <w:rsid w:val="00CD57A4"/>
    <w:rsid w:val="00CD594A"/>
    <w:rsid w:val="00CD5D5E"/>
    <w:rsid w:val="00CD5E31"/>
    <w:rsid w:val="00CD5EDE"/>
    <w:rsid w:val="00CD5EFD"/>
    <w:rsid w:val="00CD5FF9"/>
    <w:rsid w:val="00CD6002"/>
    <w:rsid w:val="00CD63E0"/>
    <w:rsid w:val="00CD6A2F"/>
    <w:rsid w:val="00CD6A8F"/>
    <w:rsid w:val="00CD6ACB"/>
    <w:rsid w:val="00CD6D70"/>
    <w:rsid w:val="00CD6E94"/>
    <w:rsid w:val="00CD73F3"/>
    <w:rsid w:val="00CD7404"/>
    <w:rsid w:val="00CD7457"/>
    <w:rsid w:val="00CD768B"/>
    <w:rsid w:val="00CD772F"/>
    <w:rsid w:val="00CD7774"/>
    <w:rsid w:val="00CD7862"/>
    <w:rsid w:val="00CD7BC8"/>
    <w:rsid w:val="00CD7BE7"/>
    <w:rsid w:val="00CD7ECA"/>
    <w:rsid w:val="00CD7FCA"/>
    <w:rsid w:val="00CE01F9"/>
    <w:rsid w:val="00CE0217"/>
    <w:rsid w:val="00CE0501"/>
    <w:rsid w:val="00CE0533"/>
    <w:rsid w:val="00CE062F"/>
    <w:rsid w:val="00CE063E"/>
    <w:rsid w:val="00CE08B3"/>
    <w:rsid w:val="00CE0A30"/>
    <w:rsid w:val="00CE0A70"/>
    <w:rsid w:val="00CE0AC9"/>
    <w:rsid w:val="00CE0E70"/>
    <w:rsid w:val="00CE112F"/>
    <w:rsid w:val="00CE1187"/>
    <w:rsid w:val="00CE127F"/>
    <w:rsid w:val="00CE12E5"/>
    <w:rsid w:val="00CE12F4"/>
    <w:rsid w:val="00CE13A4"/>
    <w:rsid w:val="00CE174B"/>
    <w:rsid w:val="00CE1949"/>
    <w:rsid w:val="00CE1B57"/>
    <w:rsid w:val="00CE1C59"/>
    <w:rsid w:val="00CE1DFF"/>
    <w:rsid w:val="00CE1F3B"/>
    <w:rsid w:val="00CE21D4"/>
    <w:rsid w:val="00CE22D9"/>
    <w:rsid w:val="00CE239F"/>
    <w:rsid w:val="00CE28D1"/>
    <w:rsid w:val="00CE295B"/>
    <w:rsid w:val="00CE2B0C"/>
    <w:rsid w:val="00CE2B7D"/>
    <w:rsid w:val="00CE2D13"/>
    <w:rsid w:val="00CE2E4B"/>
    <w:rsid w:val="00CE2E84"/>
    <w:rsid w:val="00CE2E91"/>
    <w:rsid w:val="00CE2F44"/>
    <w:rsid w:val="00CE3003"/>
    <w:rsid w:val="00CE33A6"/>
    <w:rsid w:val="00CE363E"/>
    <w:rsid w:val="00CE376E"/>
    <w:rsid w:val="00CE3D5C"/>
    <w:rsid w:val="00CE3EFE"/>
    <w:rsid w:val="00CE3F51"/>
    <w:rsid w:val="00CE4474"/>
    <w:rsid w:val="00CE44D1"/>
    <w:rsid w:val="00CE46CC"/>
    <w:rsid w:val="00CE47F0"/>
    <w:rsid w:val="00CE4CFB"/>
    <w:rsid w:val="00CE4F5F"/>
    <w:rsid w:val="00CE4FDF"/>
    <w:rsid w:val="00CE5075"/>
    <w:rsid w:val="00CE5176"/>
    <w:rsid w:val="00CE51BF"/>
    <w:rsid w:val="00CE5267"/>
    <w:rsid w:val="00CE54EF"/>
    <w:rsid w:val="00CE55B1"/>
    <w:rsid w:val="00CE55F6"/>
    <w:rsid w:val="00CE5A91"/>
    <w:rsid w:val="00CE5AAF"/>
    <w:rsid w:val="00CE5EA4"/>
    <w:rsid w:val="00CE5EEC"/>
    <w:rsid w:val="00CE6226"/>
    <w:rsid w:val="00CE62B2"/>
    <w:rsid w:val="00CE641E"/>
    <w:rsid w:val="00CE6705"/>
    <w:rsid w:val="00CE6928"/>
    <w:rsid w:val="00CE6929"/>
    <w:rsid w:val="00CE6948"/>
    <w:rsid w:val="00CE6A4C"/>
    <w:rsid w:val="00CE6B66"/>
    <w:rsid w:val="00CE6CB8"/>
    <w:rsid w:val="00CE6E1D"/>
    <w:rsid w:val="00CE6E9B"/>
    <w:rsid w:val="00CE6FA0"/>
    <w:rsid w:val="00CE75E5"/>
    <w:rsid w:val="00CE75FE"/>
    <w:rsid w:val="00CE76DF"/>
    <w:rsid w:val="00CE78E7"/>
    <w:rsid w:val="00CE796B"/>
    <w:rsid w:val="00CE7A65"/>
    <w:rsid w:val="00CE7DB5"/>
    <w:rsid w:val="00CF0277"/>
    <w:rsid w:val="00CF0500"/>
    <w:rsid w:val="00CF050D"/>
    <w:rsid w:val="00CF053C"/>
    <w:rsid w:val="00CF0A43"/>
    <w:rsid w:val="00CF0CD5"/>
    <w:rsid w:val="00CF0E4D"/>
    <w:rsid w:val="00CF0F27"/>
    <w:rsid w:val="00CF1077"/>
    <w:rsid w:val="00CF174F"/>
    <w:rsid w:val="00CF1F12"/>
    <w:rsid w:val="00CF1F4C"/>
    <w:rsid w:val="00CF20ED"/>
    <w:rsid w:val="00CF213C"/>
    <w:rsid w:val="00CF232C"/>
    <w:rsid w:val="00CF2659"/>
    <w:rsid w:val="00CF2755"/>
    <w:rsid w:val="00CF2928"/>
    <w:rsid w:val="00CF2B61"/>
    <w:rsid w:val="00CF2D09"/>
    <w:rsid w:val="00CF2D4C"/>
    <w:rsid w:val="00CF2F91"/>
    <w:rsid w:val="00CF306A"/>
    <w:rsid w:val="00CF3532"/>
    <w:rsid w:val="00CF37E1"/>
    <w:rsid w:val="00CF39E2"/>
    <w:rsid w:val="00CF3A25"/>
    <w:rsid w:val="00CF3AD5"/>
    <w:rsid w:val="00CF3CA1"/>
    <w:rsid w:val="00CF3D24"/>
    <w:rsid w:val="00CF3E6F"/>
    <w:rsid w:val="00CF4176"/>
    <w:rsid w:val="00CF4469"/>
    <w:rsid w:val="00CF44B9"/>
    <w:rsid w:val="00CF460D"/>
    <w:rsid w:val="00CF46B8"/>
    <w:rsid w:val="00CF46E2"/>
    <w:rsid w:val="00CF4C61"/>
    <w:rsid w:val="00CF4E4E"/>
    <w:rsid w:val="00CF5354"/>
    <w:rsid w:val="00CF54AE"/>
    <w:rsid w:val="00CF5546"/>
    <w:rsid w:val="00CF5584"/>
    <w:rsid w:val="00CF560C"/>
    <w:rsid w:val="00CF5769"/>
    <w:rsid w:val="00CF57DE"/>
    <w:rsid w:val="00CF6226"/>
    <w:rsid w:val="00CF62AA"/>
    <w:rsid w:val="00CF63CE"/>
    <w:rsid w:val="00CF63F2"/>
    <w:rsid w:val="00CF6473"/>
    <w:rsid w:val="00CF65A1"/>
    <w:rsid w:val="00CF6687"/>
    <w:rsid w:val="00CF685B"/>
    <w:rsid w:val="00CF6A49"/>
    <w:rsid w:val="00CF6B35"/>
    <w:rsid w:val="00CF6C0A"/>
    <w:rsid w:val="00CF6C4A"/>
    <w:rsid w:val="00CF6D29"/>
    <w:rsid w:val="00CF6E87"/>
    <w:rsid w:val="00CF7338"/>
    <w:rsid w:val="00CF7385"/>
    <w:rsid w:val="00CF7417"/>
    <w:rsid w:val="00CF74E5"/>
    <w:rsid w:val="00CF7514"/>
    <w:rsid w:val="00CF7930"/>
    <w:rsid w:val="00CF7989"/>
    <w:rsid w:val="00CF7E57"/>
    <w:rsid w:val="00CF7F33"/>
    <w:rsid w:val="00D00167"/>
    <w:rsid w:val="00D00182"/>
    <w:rsid w:val="00D00582"/>
    <w:rsid w:val="00D00669"/>
    <w:rsid w:val="00D00955"/>
    <w:rsid w:val="00D009B0"/>
    <w:rsid w:val="00D009BB"/>
    <w:rsid w:val="00D00A64"/>
    <w:rsid w:val="00D00BC6"/>
    <w:rsid w:val="00D00E4E"/>
    <w:rsid w:val="00D00E9B"/>
    <w:rsid w:val="00D01017"/>
    <w:rsid w:val="00D01263"/>
    <w:rsid w:val="00D013EA"/>
    <w:rsid w:val="00D0144F"/>
    <w:rsid w:val="00D015B9"/>
    <w:rsid w:val="00D01637"/>
    <w:rsid w:val="00D017B6"/>
    <w:rsid w:val="00D01C0D"/>
    <w:rsid w:val="00D01C3D"/>
    <w:rsid w:val="00D01CDE"/>
    <w:rsid w:val="00D02058"/>
    <w:rsid w:val="00D02195"/>
    <w:rsid w:val="00D024E9"/>
    <w:rsid w:val="00D025B4"/>
    <w:rsid w:val="00D025FD"/>
    <w:rsid w:val="00D0269A"/>
    <w:rsid w:val="00D0276A"/>
    <w:rsid w:val="00D02899"/>
    <w:rsid w:val="00D02959"/>
    <w:rsid w:val="00D02EFE"/>
    <w:rsid w:val="00D0312F"/>
    <w:rsid w:val="00D0323C"/>
    <w:rsid w:val="00D032CC"/>
    <w:rsid w:val="00D0330D"/>
    <w:rsid w:val="00D036AC"/>
    <w:rsid w:val="00D036CE"/>
    <w:rsid w:val="00D03A04"/>
    <w:rsid w:val="00D03ADB"/>
    <w:rsid w:val="00D03C0D"/>
    <w:rsid w:val="00D03CF4"/>
    <w:rsid w:val="00D04219"/>
    <w:rsid w:val="00D04352"/>
    <w:rsid w:val="00D0437C"/>
    <w:rsid w:val="00D043A1"/>
    <w:rsid w:val="00D045DA"/>
    <w:rsid w:val="00D0485C"/>
    <w:rsid w:val="00D048FB"/>
    <w:rsid w:val="00D04CF9"/>
    <w:rsid w:val="00D05308"/>
    <w:rsid w:val="00D054BC"/>
    <w:rsid w:val="00D054D0"/>
    <w:rsid w:val="00D058C8"/>
    <w:rsid w:val="00D059A8"/>
    <w:rsid w:val="00D05A23"/>
    <w:rsid w:val="00D05A85"/>
    <w:rsid w:val="00D05B51"/>
    <w:rsid w:val="00D05E45"/>
    <w:rsid w:val="00D05E85"/>
    <w:rsid w:val="00D060BC"/>
    <w:rsid w:val="00D0614C"/>
    <w:rsid w:val="00D06193"/>
    <w:rsid w:val="00D0630F"/>
    <w:rsid w:val="00D06311"/>
    <w:rsid w:val="00D0651E"/>
    <w:rsid w:val="00D065CC"/>
    <w:rsid w:val="00D068F3"/>
    <w:rsid w:val="00D0692F"/>
    <w:rsid w:val="00D06D1C"/>
    <w:rsid w:val="00D06E74"/>
    <w:rsid w:val="00D06EFA"/>
    <w:rsid w:val="00D0719A"/>
    <w:rsid w:val="00D071E1"/>
    <w:rsid w:val="00D0724B"/>
    <w:rsid w:val="00D072CA"/>
    <w:rsid w:val="00D07337"/>
    <w:rsid w:val="00D07451"/>
    <w:rsid w:val="00D07556"/>
    <w:rsid w:val="00D077FD"/>
    <w:rsid w:val="00D0782E"/>
    <w:rsid w:val="00D07A77"/>
    <w:rsid w:val="00D07C19"/>
    <w:rsid w:val="00D1009A"/>
    <w:rsid w:val="00D10241"/>
    <w:rsid w:val="00D10543"/>
    <w:rsid w:val="00D1063D"/>
    <w:rsid w:val="00D10789"/>
    <w:rsid w:val="00D107FA"/>
    <w:rsid w:val="00D108FC"/>
    <w:rsid w:val="00D10926"/>
    <w:rsid w:val="00D10A16"/>
    <w:rsid w:val="00D10A2F"/>
    <w:rsid w:val="00D10C5E"/>
    <w:rsid w:val="00D10E92"/>
    <w:rsid w:val="00D10EBB"/>
    <w:rsid w:val="00D10EBD"/>
    <w:rsid w:val="00D11089"/>
    <w:rsid w:val="00D1149D"/>
    <w:rsid w:val="00D11621"/>
    <w:rsid w:val="00D11633"/>
    <w:rsid w:val="00D11691"/>
    <w:rsid w:val="00D116A1"/>
    <w:rsid w:val="00D11B93"/>
    <w:rsid w:val="00D11DBC"/>
    <w:rsid w:val="00D11E0B"/>
    <w:rsid w:val="00D11E5C"/>
    <w:rsid w:val="00D11ECB"/>
    <w:rsid w:val="00D11F95"/>
    <w:rsid w:val="00D1208A"/>
    <w:rsid w:val="00D12150"/>
    <w:rsid w:val="00D121C7"/>
    <w:rsid w:val="00D12434"/>
    <w:rsid w:val="00D124FA"/>
    <w:rsid w:val="00D1283D"/>
    <w:rsid w:val="00D12A62"/>
    <w:rsid w:val="00D12A88"/>
    <w:rsid w:val="00D12B43"/>
    <w:rsid w:val="00D12D81"/>
    <w:rsid w:val="00D12E06"/>
    <w:rsid w:val="00D132F2"/>
    <w:rsid w:val="00D1330C"/>
    <w:rsid w:val="00D13696"/>
    <w:rsid w:val="00D1379E"/>
    <w:rsid w:val="00D13CAE"/>
    <w:rsid w:val="00D140B4"/>
    <w:rsid w:val="00D14154"/>
    <w:rsid w:val="00D14254"/>
    <w:rsid w:val="00D149C9"/>
    <w:rsid w:val="00D14B85"/>
    <w:rsid w:val="00D14EEC"/>
    <w:rsid w:val="00D14F91"/>
    <w:rsid w:val="00D1508C"/>
    <w:rsid w:val="00D150C4"/>
    <w:rsid w:val="00D151F4"/>
    <w:rsid w:val="00D1522E"/>
    <w:rsid w:val="00D15265"/>
    <w:rsid w:val="00D15318"/>
    <w:rsid w:val="00D15427"/>
    <w:rsid w:val="00D1551C"/>
    <w:rsid w:val="00D155E5"/>
    <w:rsid w:val="00D15847"/>
    <w:rsid w:val="00D158B6"/>
    <w:rsid w:val="00D158D8"/>
    <w:rsid w:val="00D158EA"/>
    <w:rsid w:val="00D15AEF"/>
    <w:rsid w:val="00D15CFF"/>
    <w:rsid w:val="00D1625B"/>
    <w:rsid w:val="00D162A0"/>
    <w:rsid w:val="00D162D8"/>
    <w:rsid w:val="00D1666F"/>
    <w:rsid w:val="00D16709"/>
    <w:rsid w:val="00D16745"/>
    <w:rsid w:val="00D16804"/>
    <w:rsid w:val="00D16A65"/>
    <w:rsid w:val="00D1717B"/>
    <w:rsid w:val="00D17262"/>
    <w:rsid w:val="00D17AC8"/>
    <w:rsid w:val="00D17D83"/>
    <w:rsid w:val="00D17E3A"/>
    <w:rsid w:val="00D2001F"/>
    <w:rsid w:val="00D20315"/>
    <w:rsid w:val="00D205A8"/>
    <w:rsid w:val="00D206CB"/>
    <w:rsid w:val="00D207CD"/>
    <w:rsid w:val="00D209E7"/>
    <w:rsid w:val="00D20A77"/>
    <w:rsid w:val="00D20BDB"/>
    <w:rsid w:val="00D20E22"/>
    <w:rsid w:val="00D21120"/>
    <w:rsid w:val="00D211B1"/>
    <w:rsid w:val="00D21601"/>
    <w:rsid w:val="00D21841"/>
    <w:rsid w:val="00D21905"/>
    <w:rsid w:val="00D21C06"/>
    <w:rsid w:val="00D21CD0"/>
    <w:rsid w:val="00D21DD1"/>
    <w:rsid w:val="00D21FC8"/>
    <w:rsid w:val="00D220C3"/>
    <w:rsid w:val="00D22334"/>
    <w:rsid w:val="00D22457"/>
    <w:rsid w:val="00D224D1"/>
    <w:rsid w:val="00D226F9"/>
    <w:rsid w:val="00D22909"/>
    <w:rsid w:val="00D229F8"/>
    <w:rsid w:val="00D22A4D"/>
    <w:rsid w:val="00D22B81"/>
    <w:rsid w:val="00D22D52"/>
    <w:rsid w:val="00D22EDA"/>
    <w:rsid w:val="00D231C4"/>
    <w:rsid w:val="00D233EA"/>
    <w:rsid w:val="00D233F4"/>
    <w:rsid w:val="00D23534"/>
    <w:rsid w:val="00D239B1"/>
    <w:rsid w:val="00D23DE9"/>
    <w:rsid w:val="00D23FE5"/>
    <w:rsid w:val="00D240CE"/>
    <w:rsid w:val="00D241EB"/>
    <w:rsid w:val="00D2427A"/>
    <w:rsid w:val="00D242D2"/>
    <w:rsid w:val="00D243CD"/>
    <w:rsid w:val="00D24671"/>
    <w:rsid w:val="00D24DCC"/>
    <w:rsid w:val="00D2503B"/>
    <w:rsid w:val="00D2513C"/>
    <w:rsid w:val="00D254AC"/>
    <w:rsid w:val="00D258A4"/>
    <w:rsid w:val="00D25C1B"/>
    <w:rsid w:val="00D25C9C"/>
    <w:rsid w:val="00D260B4"/>
    <w:rsid w:val="00D26128"/>
    <w:rsid w:val="00D262D1"/>
    <w:rsid w:val="00D264C3"/>
    <w:rsid w:val="00D2653F"/>
    <w:rsid w:val="00D26757"/>
    <w:rsid w:val="00D26813"/>
    <w:rsid w:val="00D26EC5"/>
    <w:rsid w:val="00D270F6"/>
    <w:rsid w:val="00D271D2"/>
    <w:rsid w:val="00D27394"/>
    <w:rsid w:val="00D27452"/>
    <w:rsid w:val="00D27453"/>
    <w:rsid w:val="00D27582"/>
    <w:rsid w:val="00D27606"/>
    <w:rsid w:val="00D27783"/>
    <w:rsid w:val="00D277AC"/>
    <w:rsid w:val="00D27869"/>
    <w:rsid w:val="00D2788F"/>
    <w:rsid w:val="00D27915"/>
    <w:rsid w:val="00D27AF5"/>
    <w:rsid w:val="00D3007D"/>
    <w:rsid w:val="00D300BC"/>
    <w:rsid w:val="00D30299"/>
    <w:rsid w:val="00D302D1"/>
    <w:rsid w:val="00D3035B"/>
    <w:rsid w:val="00D3058A"/>
    <w:rsid w:val="00D30BB6"/>
    <w:rsid w:val="00D30BE9"/>
    <w:rsid w:val="00D3104E"/>
    <w:rsid w:val="00D310F8"/>
    <w:rsid w:val="00D31172"/>
    <w:rsid w:val="00D31355"/>
    <w:rsid w:val="00D3146D"/>
    <w:rsid w:val="00D315EF"/>
    <w:rsid w:val="00D31787"/>
    <w:rsid w:val="00D31B74"/>
    <w:rsid w:val="00D31C0F"/>
    <w:rsid w:val="00D31CE3"/>
    <w:rsid w:val="00D31DF9"/>
    <w:rsid w:val="00D31E1C"/>
    <w:rsid w:val="00D31FF4"/>
    <w:rsid w:val="00D32036"/>
    <w:rsid w:val="00D32207"/>
    <w:rsid w:val="00D32D95"/>
    <w:rsid w:val="00D32ED8"/>
    <w:rsid w:val="00D330A7"/>
    <w:rsid w:val="00D3311C"/>
    <w:rsid w:val="00D3313F"/>
    <w:rsid w:val="00D3323D"/>
    <w:rsid w:val="00D337AA"/>
    <w:rsid w:val="00D337B6"/>
    <w:rsid w:val="00D33B00"/>
    <w:rsid w:val="00D33E61"/>
    <w:rsid w:val="00D33E74"/>
    <w:rsid w:val="00D34298"/>
    <w:rsid w:val="00D3489C"/>
    <w:rsid w:val="00D34A7C"/>
    <w:rsid w:val="00D34AAC"/>
    <w:rsid w:val="00D34ADF"/>
    <w:rsid w:val="00D34C3D"/>
    <w:rsid w:val="00D34CCD"/>
    <w:rsid w:val="00D35313"/>
    <w:rsid w:val="00D353D4"/>
    <w:rsid w:val="00D35798"/>
    <w:rsid w:val="00D35BD7"/>
    <w:rsid w:val="00D35D9C"/>
    <w:rsid w:val="00D35EBA"/>
    <w:rsid w:val="00D3630A"/>
    <w:rsid w:val="00D3637B"/>
    <w:rsid w:val="00D364B7"/>
    <w:rsid w:val="00D36825"/>
    <w:rsid w:val="00D36839"/>
    <w:rsid w:val="00D368F2"/>
    <w:rsid w:val="00D36CF4"/>
    <w:rsid w:val="00D36DE7"/>
    <w:rsid w:val="00D370B2"/>
    <w:rsid w:val="00D370E7"/>
    <w:rsid w:val="00D3718B"/>
    <w:rsid w:val="00D371AA"/>
    <w:rsid w:val="00D372FF"/>
    <w:rsid w:val="00D375B5"/>
    <w:rsid w:val="00D37638"/>
    <w:rsid w:val="00D3785C"/>
    <w:rsid w:val="00D37B6A"/>
    <w:rsid w:val="00D37E98"/>
    <w:rsid w:val="00D37F15"/>
    <w:rsid w:val="00D4036B"/>
    <w:rsid w:val="00D40606"/>
    <w:rsid w:val="00D4067D"/>
    <w:rsid w:val="00D406A1"/>
    <w:rsid w:val="00D406F8"/>
    <w:rsid w:val="00D40A6A"/>
    <w:rsid w:val="00D40B7F"/>
    <w:rsid w:val="00D40E62"/>
    <w:rsid w:val="00D40E83"/>
    <w:rsid w:val="00D41092"/>
    <w:rsid w:val="00D411F0"/>
    <w:rsid w:val="00D41506"/>
    <w:rsid w:val="00D41661"/>
    <w:rsid w:val="00D416FA"/>
    <w:rsid w:val="00D41A46"/>
    <w:rsid w:val="00D42058"/>
    <w:rsid w:val="00D4221B"/>
    <w:rsid w:val="00D4251D"/>
    <w:rsid w:val="00D425A9"/>
    <w:rsid w:val="00D426E6"/>
    <w:rsid w:val="00D4289D"/>
    <w:rsid w:val="00D4295D"/>
    <w:rsid w:val="00D42DD0"/>
    <w:rsid w:val="00D43319"/>
    <w:rsid w:val="00D43528"/>
    <w:rsid w:val="00D436CD"/>
    <w:rsid w:val="00D43857"/>
    <w:rsid w:val="00D4394C"/>
    <w:rsid w:val="00D4394D"/>
    <w:rsid w:val="00D439C7"/>
    <w:rsid w:val="00D43A20"/>
    <w:rsid w:val="00D43C3E"/>
    <w:rsid w:val="00D43CD6"/>
    <w:rsid w:val="00D43DBE"/>
    <w:rsid w:val="00D4406A"/>
    <w:rsid w:val="00D441F5"/>
    <w:rsid w:val="00D44247"/>
    <w:rsid w:val="00D4459E"/>
    <w:rsid w:val="00D446EF"/>
    <w:rsid w:val="00D4473D"/>
    <w:rsid w:val="00D448FE"/>
    <w:rsid w:val="00D44A4A"/>
    <w:rsid w:val="00D44B66"/>
    <w:rsid w:val="00D44BCE"/>
    <w:rsid w:val="00D44E56"/>
    <w:rsid w:val="00D454C5"/>
    <w:rsid w:val="00D455AA"/>
    <w:rsid w:val="00D4567E"/>
    <w:rsid w:val="00D45826"/>
    <w:rsid w:val="00D45836"/>
    <w:rsid w:val="00D45A73"/>
    <w:rsid w:val="00D45ABC"/>
    <w:rsid w:val="00D45C1A"/>
    <w:rsid w:val="00D45DE7"/>
    <w:rsid w:val="00D46051"/>
    <w:rsid w:val="00D4642F"/>
    <w:rsid w:val="00D464EB"/>
    <w:rsid w:val="00D46508"/>
    <w:rsid w:val="00D46A1E"/>
    <w:rsid w:val="00D46BAE"/>
    <w:rsid w:val="00D46C28"/>
    <w:rsid w:val="00D46C8B"/>
    <w:rsid w:val="00D46ECB"/>
    <w:rsid w:val="00D46F69"/>
    <w:rsid w:val="00D46FD7"/>
    <w:rsid w:val="00D470CE"/>
    <w:rsid w:val="00D470D7"/>
    <w:rsid w:val="00D47143"/>
    <w:rsid w:val="00D474B3"/>
    <w:rsid w:val="00D474E6"/>
    <w:rsid w:val="00D476AF"/>
    <w:rsid w:val="00D47764"/>
    <w:rsid w:val="00D47C86"/>
    <w:rsid w:val="00D47D31"/>
    <w:rsid w:val="00D50239"/>
    <w:rsid w:val="00D502CA"/>
    <w:rsid w:val="00D50559"/>
    <w:rsid w:val="00D50567"/>
    <w:rsid w:val="00D50ADF"/>
    <w:rsid w:val="00D50B0F"/>
    <w:rsid w:val="00D51281"/>
    <w:rsid w:val="00D515B7"/>
    <w:rsid w:val="00D5161E"/>
    <w:rsid w:val="00D51700"/>
    <w:rsid w:val="00D5183B"/>
    <w:rsid w:val="00D51F61"/>
    <w:rsid w:val="00D52354"/>
    <w:rsid w:val="00D525CF"/>
    <w:rsid w:val="00D526DC"/>
    <w:rsid w:val="00D52899"/>
    <w:rsid w:val="00D528D9"/>
    <w:rsid w:val="00D52A55"/>
    <w:rsid w:val="00D52A6A"/>
    <w:rsid w:val="00D52ECC"/>
    <w:rsid w:val="00D52F98"/>
    <w:rsid w:val="00D53094"/>
    <w:rsid w:val="00D5360B"/>
    <w:rsid w:val="00D536EB"/>
    <w:rsid w:val="00D53A5B"/>
    <w:rsid w:val="00D53BC5"/>
    <w:rsid w:val="00D53C4C"/>
    <w:rsid w:val="00D53FA9"/>
    <w:rsid w:val="00D542BF"/>
    <w:rsid w:val="00D5436D"/>
    <w:rsid w:val="00D54446"/>
    <w:rsid w:val="00D544FC"/>
    <w:rsid w:val="00D545FE"/>
    <w:rsid w:val="00D54A1B"/>
    <w:rsid w:val="00D54B07"/>
    <w:rsid w:val="00D54CFD"/>
    <w:rsid w:val="00D54DB7"/>
    <w:rsid w:val="00D54E29"/>
    <w:rsid w:val="00D54ECF"/>
    <w:rsid w:val="00D54F5B"/>
    <w:rsid w:val="00D54FD0"/>
    <w:rsid w:val="00D553D6"/>
    <w:rsid w:val="00D55498"/>
    <w:rsid w:val="00D5566C"/>
    <w:rsid w:val="00D558C6"/>
    <w:rsid w:val="00D55B28"/>
    <w:rsid w:val="00D560A7"/>
    <w:rsid w:val="00D56112"/>
    <w:rsid w:val="00D561A5"/>
    <w:rsid w:val="00D561EB"/>
    <w:rsid w:val="00D564B5"/>
    <w:rsid w:val="00D565E9"/>
    <w:rsid w:val="00D5663F"/>
    <w:rsid w:val="00D56905"/>
    <w:rsid w:val="00D56914"/>
    <w:rsid w:val="00D56C30"/>
    <w:rsid w:val="00D56C44"/>
    <w:rsid w:val="00D56CB5"/>
    <w:rsid w:val="00D56E05"/>
    <w:rsid w:val="00D56E11"/>
    <w:rsid w:val="00D57146"/>
    <w:rsid w:val="00D57410"/>
    <w:rsid w:val="00D5750F"/>
    <w:rsid w:val="00D576F1"/>
    <w:rsid w:val="00D57B2F"/>
    <w:rsid w:val="00D57C87"/>
    <w:rsid w:val="00D57D59"/>
    <w:rsid w:val="00D57DED"/>
    <w:rsid w:val="00D60450"/>
    <w:rsid w:val="00D6049B"/>
    <w:rsid w:val="00D604A0"/>
    <w:rsid w:val="00D6066E"/>
    <w:rsid w:val="00D60901"/>
    <w:rsid w:val="00D609E4"/>
    <w:rsid w:val="00D60B8F"/>
    <w:rsid w:val="00D60C7C"/>
    <w:rsid w:val="00D60CB9"/>
    <w:rsid w:val="00D60E72"/>
    <w:rsid w:val="00D610FC"/>
    <w:rsid w:val="00D61846"/>
    <w:rsid w:val="00D61873"/>
    <w:rsid w:val="00D6191E"/>
    <w:rsid w:val="00D619C8"/>
    <w:rsid w:val="00D61ACF"/>
    <w:rsid w:val="00D61FA0"/>
    <w:rsid w:val="00D62036"/>
    <w:rsid w:val="00D6219D"/>
    <w:rsid w:val="00D623B0"/>
    <w:rsid w:val="00D6269B"/>
    <w:rsid w:val="00D62D36"/>
    <w:rsid w:val="00D6328C"/>
    <w:rsid w:val="00D63697"/>
    <w:rsid w:val="00D6392A"/>
    <w:rsid w:val="00D63A0A"/>
    <w:rsid w:val="00D63B01"/>
    <w:rsid w:val="00D63DB5"/>
    <w:rsid w:val="00D63EF0"/>
    <w:rsid w:val="00D6424D"/>
    <w:rsid w:val="00D64836"/>
    <w:rsid w:val="00D64C30"/>
    <w:rsid w:val="00D64E55"/>
    <w:rsid w:val="00D64E90"/>
    <w:rsid w:val="00D650A7"/>
    <w:rsid w:val="00D6510D"/>
    <w:rsid w:val="00D653A4"/>
    <w:rsid w:val="00D65491"/>
    <w:rsid w:val="00D6599D"/>
    <w:rsid w:val="00D65F41"/>
    <w:rsid w:val="00D65FB4"/>
    <w:rsid w:val="00D66024"/>
    <w:rsid w:val="00D660E3"/>
    <w:rsid w:val="00D661A0"/>
    <w:rsid w:val="00D6671B"/>
    <w:rsid w:val="00D669A4"/>
    <w:rsid w:val="00D669DF"/>
    <w:rsid w:val="00D66A39"/>
    <w:rsid w:val="00D66A6D"/>
    <w:rsid w:val="00D66B0F"/>
    <w:rsid w:val="00D66B42"/>
    <w:rsid w:val="00D66CB6"/>
    <w:rsid w:val="00D67589"/>
    <w:rsid w:val="00D675BE"/>
    <w:rsid w:val="00D676FE"/>
    <w:rsid w:val="00D678FE"/>
    <w:rsid w:val="00D67978"/>
    <w:rsid w:val="00D67999"/>
    <w:rsid w:val="00D679C5"/>
    <w:rsid w:val="00D67CE9"/>
    <w:rsid w:val="00D70115"/>
    <w:rsid w:val="00D70179"/>
    <w:rsid w:val="00D701AC"/>
    <w:rsid w:val="00D7020E"/>
    <w:rsid w:val="00D70491"/>
    <w:rsid w:val="00D70512"/>
    <w:rsid w:val="00D70F5B"/>
    <w:rsid w:val="00D70FB7"/>
    <w:rsid w:val="00D7149F"/>
    <w:rsid w:val="00D7169C"/>
    <w:rsid w:val="00D71752"/>
    <w:rsid w:val="00D7189A"/>
    <w:rsid w:val="00D718D3"/>
    <w:rsid w:val="00D718DB"/>
    <w:rsid w:val="00D71917"/>
    <w:rsid w:val="00D71B17"/>
    <w:rsid w:val="00D7217E"/>
    <w:rsid w:val="00D72691"/>
    <w:rsid w:val="00D72735"/>
    <w:rsid w:val="00D72856"/>
    <w:rsid w:val="00D72896"/>
    <w:rsid w:val="00D7299C"/>
    <w:rsid w:val="00D72CD0"/>
    <w:rsid w:val="00D72FA8"/>
    <w:rsid w:val="00D73026"/>
    <w:rsid w:val="00D7308B"/>
    <w:rsid w:val="00D7320F"/>
    <w:rsid w:val="00D73210"/>
    <w:rsid w:val="00D73315"/>
    <w:rsid w:val="00D73567"/>
    <w:rsid w:val="00D735D7"/>
    <w:rsid w:val="00D7393B"/>
    <w:rsid w:val="00D73CEA"/>
    <w:rsid w:val="00D73DA1"/>
    <w:rsid w:val="00D73F27"/>
    <w:rsid w:val="00D7426D"/>
    <w:rsid w:val="00D743CD"/>
    <w:rsid w:val="00D744D4"/>
    <w:rsid w:val="00D7462D"/>
    <w:rsid w:val="00D746C8"/>
    <w:rsid w:val="00D749AC"/>
    <w:rsid w:val="00D74BA9"/>
    <w:rsid w:val="00D74D81"/>
    <w:rsid w:val="00D74E0A"/>
    <w:rsid w:val="00D7546D"/>
    <w:rsid w:val="00D75534"/>
    <w:rsid w:val="00D75674"/>
    <w:rsid w:val="00D756AE"/>
    <w:rsid w:val="00D75EEE"/>
    <w:rsid w:val="00D75FC0"/>
    <w:rsid w:val="00D760DF"/>
    <w:rsid w:val="00D76150"/>
    <w:rsid w:val="00D764B6"/>
    <w:rsid w:val="00D76607"/>
    <w:rsid w:val="00D767D2"/>
    <w:rsid w:val="00D76810"/>
    <w:rsid w:val="00D7702D"/>
    <w:rsid w:val="00D77031"/>
    <w:rsid w:val="00D77473"/>
    <w:rsid w:val="00D777A7"/>
    <w:rsid w:val="00D777E2"/>
    <w:rsid w:val="00D777EE"/>
    <w:rsid w:val="00D77A2B"/>
    <w:rsid w:val="00D77BB5"/>
    <w:rsid w:val="00D77C0B"/>
    <w:rsid w:val="00D77C6E"/>
    <w:rsid w:val="00D77F64"/>
    <w:rsid w:val="00D8013A"/>
    <w:rsid w:val="00D80336"/>
    <w:rsid w:val="00D80390"/>
    <w:rsid w:val="00D8045E"/>
    <w:rsid w:val="00D80478"/>
    <w:rsid w:val="00D80CAF"/>
    <w:rsid w:val="00D80D0C"/>
    <w:rsid w:val="00D80E1F"/>
    <w:rsid w:val="00D80F4D"/>
    <w:rsid w:val="00D80FF4"/>
    <w:rsid w:val="00D8100D"/>
    <w:rsid w:val="00D8106C"/>
    <w:rsid w:val="00D812F8"/>
    <w:rsid w:val="00D81307"/>
    <w:rsid w:val="00D81A6C"/>
    <w:rsid w:val="00D81B61"/>
    <w:rsid w:val="00D81C14"/>
    <w:rsid w:val="00D81D10"/>
    <w:rsid w:val="00D81D47"/>
    <w:rsid w:val="00D8214E"/>
    <w:rsid w:val="00D821C0"/>
    <w:rsid w:val="00D821E1"/>
    <w:rsid w:val="00D82401"/>
    <w:rsid w:val="00D82685"/>
    <w:rsid w:val="00D82A4C"/>
    <w:rsid w:val="00D82AFB"/>
    <w:rsid w:val="00D82B98"/>
    <w:rsid w:val="00D82CC7"/>
    <w:rsid w:val="00D82D66"/>
    <w:rsid w:val="00D82D78"/>
    <w:rsid w:val="00D82DCC"/>
    <w:rsid w:val="00D82F8E"/>
    <w:rsid w:val="00D830BF"/>
    <w:rsid w:val="00D830EF"/>
    <w:rsid w:val="00D8350F"/>
    <w:rsid w:val="00D835FF"/>
    <w:rsid w:val="00D83885"/>
    <w:rsid w:val="00D839E4"/>
    <w:rsid w:val="00D83A52"/>
    <w:rsid w:val="00D83A6B"/>
    <w:rsid w:val="00D83A8C"/>
    <w:rsid w:val="00D83AEA"/>
    <w:rsid w:val="00D83D07"/>
    <w:rsid w:val="00D83DFA"/>
    <w:rsid w:val="00D841A6"/>
    <w:rsid w:val="00D84301"/>
    <w:rsid w:val="00D84390"/>
    <w:rsid w:val="00D8460B"/>
    <w:rsid w:val="00D84732"/>
    <w:rsid w:val="00D84760"/>
    <w:rsid w:val="00D847AB"/>
    <w:rsid w:val="00D84A54"/>
    <w:rsid w:val="00D84A7D"/>
    <w:rsid w:val="00D84F3B"/>
    <w:rsid w:val="00D853D9"/>
    <w:rsid w:val="00D85590"/>
    <w:rsid w:val="00D85879"/>
    <w:rsid w:val="00D858B9"/>
    <w:rsid w:val="00D859D4"/>
    <w:rsid w:val="00D85AF2"/>
    <w:rsid w:val="00D85E74"/>
    <w:rsid w:val="00D85F9A"/>
    <w:rsid w:val="00D86113"/>
    <w:rsid w:val="00D8637C"/>
    <w:rsid w:val="00D865ED"/>
    <w:rsid w:val="00D86865"/>
    <w:rsid w:val="00D868A6"/>
    <w:rsid w:val="00D86AD4"/>
    <w:rsid w:val="00D86BB9"/>
    <w:rsid w:val="00D86BE3"/>
    <w:rsid w:val="00D86EE6"/>
    <w:rsid w:val="00D874B1"/>
    <w:rsid w:val="00D87503"/>
    <w:rsid w:val="00D8755E"/>
    <w:rsid w:val="00D87634"/>
    <w:rsid w:val="00D879B6"/>
    <w:rsid w:val="00D87B34"/>
    <w:rsid w:val="00D87B44"/>
    <w:rsid w:val="00D87D56"/>
    <w:rsid w:val="00D87FAE"/>
    <w:rsid w:val="00D902A4"/>
    <w:rsid w:val="00D90385"/>
    <w:rsid w:val="00D90431"/>
    <w:rsid w:val="00D90476"/>
    <w:rsid w:val="00D906A4"/>
    <w:rsid w:val="00D907E6"/>
    <w:rsid w:val="00D908C8"/>
    <w:rsid w:val="00D90A3C"/>
    <w:rsid w:val="00D90D87"/>
    <w:rsid w:val="00D90E04"/>
    <w:rsid w:val="00D90F1E"/>
    <w:rsid w:val="00D91018"/>
    <w:rsid w:val="00D910C4"/>
    <w:rsid w:val="00D911A7"/>
    <w:rsid w:val="00D913E2"/>
    <w:rsid w:val="00D919D0"/>
    <w:rsid w:val="00D91C52"/>
    <w:rsid w:val="00D91DFD"/>
    <w:rsid w:val="00D91FC2"/>
    <w:rsid w:val="00D91FD2"/>
    <w:rsid w:val="00D920DC"/>
    <w:rsid w:val="00D9210D"/>
    <w:rsid w:val="00D92204"/>
    <w:rsid w:val="00D92402"/>
    <w:rsid w:val="00D92B15"/>
    <w:rsid w:val="00D92F71"/>
    <w:rsid w:val="00D93508"/>
    <w:rsid w:val="00D93657"/>
    <w:rsid w:val="00D936FC"/>
    <w:rsid w:val="00D93A68"/>
    <w:rsid w:val="00D93CA4"/>
    <w:rsid w:val="00D93EDE"/>
    <w:rsid w:val="00D942B0"/>
    <w:rsid w:val="00D944C1"/>
    <w:rsid w:val="00D94634"/>
    <w:rsid w:val="00D948B0"/>
    <w:rsid w:val="00D94A61"/>
    <w:rsid w:val="00D951D0"/>
    <w:rsid w:val="00D956C7"/>
    <w:rsid w:val="00D957C4"/>
    <w:rsid w:val="00D95A48"/>
    <w:rsid w:val="00D95CC2"/>
    <w:rsid w:val="00D95CD0"/>
    <w:rsid w:val="00D95E8D"/>
    <w:rsid w:val="00D9602E"/>
    <w:rsid w:val="00D960F8"/>
    <w:rsid w:val="00D96610"/>
    <w:rsid w:val="00D9667F"/>
    <w:rsid w:val="00D966A7"/>
    <w:rsid w:val="00D96700"/>
    <w:rsid w:val="00D96790"/>
    <w:rsid w:val="00D9683F"/>
    <w:rsid w:val="00D96921"/>
    <w:rsid w:val="00D96981"/>
    <w:rsid w:val="00D96AB9"/>
    <w:rsid w:val="00D96C50"/>
    <w:rsid w:val="00D96C70"/>
    <w:rsid w:val="00D96F99"/>
    <w:rsid w:val="00D96FED"/>
    <w:rsid w:val="00D97315"/>
    <w:rsid w:val="00D97386"/>
    <w:rsid w:val="00D979D4"/>
    <w:rsid w:val="00D97A9E"/>
    <w:rsid w:val="00DA009C"/>
    <w:rsid w:val="00DA0156"/>
    <w:rsid w:val="00DA0201"/>
    <w:rsid w:val="00DA024A"/>
    <w:rsid w:val="00DA0385"/>
    <w:rsid w:val="00DA0500"/>
    <w:rsid w:val="00DA0797"/>
    <w:rsid w:val="00DA0C96"/>
    <w:rsid w:val="00DA0CFA"/>
    <w:rsid w:val="00DA0D13"/>
    <w:rsid w:val="00DA0DD8"/>
    <w:rsid w:val="00DA0DD9"/>
    <w:rsid w:val="00DA0DFE"/>
    <w:rsid w:val="00DA0E6F"/>
    <w:rsid w:val="00DA0E87"/>
    <w:rsid w:val="00DA162D"/>
    <w:rsid w:val="00DA170A"/>
    <w:rsid w:val="00DA18A5"/>
    <w:rsid w:val="00DA18D3"/>
    <w:rsid w:val="00DA18F1"/>
    <w:rsid w:val="00DA197D"/>
    <w:rsid w:val="00DA1D0B"/>
    <w:rsid w:val="00DA1E11"/>
    <w:rsid w:val="00DA1F22"/>
    <w:rsid w:val="00DA20FC"/>
    <w:rsid w:val="00DA289E"/>
    <w:rsid w:val="00DA2988"/>
    <w:rsid w:val="00DA31AB"/>
    <w:rsid w:val="00DA3335"/>
    <w:rsid w:val="00DA380C"/>
    <w:rsid w:val="00DA3A0C"/>
    <w:rsid w:val="00DA3AF1"/>
    <w:rsid w:val="00DA3EA2"/>
    <w:rsid w:val="00DA3F55"/>
    <w:rsid w:val="00DA419E"/>
    <w:rsid w:val="00DA42CD"/>
    <w:rsid w:val="00DA4505"/>
    <w:rsid w:val="00DA4564"/>
    <w:rsid w:val="00DA49B2"/>
    <w:rsid w:val="00DA4F2D"/>
    <w:rsid w:val="00DA4F4F"/>
    <w:rsid w:val="00DA4F70"/>
    <w:rsid w:val="00DA530E"/>
    <w:rsid w:val="00DA5350"/>
    <w:rsid w:val="00DA5753"/>
    <w:rsid w:val="00DA5812"/>
    <w:rsid w:val="00DA58E5"/>
    <w:rsid w:val="00DA5B08"/>
    <w:rsid w:val="00DA5B7E"/>
    <w:rsid w:val="00DA600F"/>
    <w:rsid w:val="00DA6022"/>
    <w:rsid w:val="00DA63B8"/>
    <w:rsid w:val="00DA642A"/>
    <w:rsid w:val="00DA6527"/>
    <w:rsid w:val="00DA65CB"/>
    <w:rsid w:val="00DA67BE"/>
    <w:rsid w:val="00DA6B56"/>
    <w:rsid w:val="00DA6E49"/>
    <w:rsid w:val="00DA70FC"/>
    <w:rsid w:val="00DA72BC"/>
    <w:rsid w:val="00DA780A"/>
    <w:rsid w:val="00DA79E6"/>
    <w:rsid w:val="00DA7B8D"/>
    <w:rsid w:val="00DA7BAF"/>
    <w:rsid w:val="00DA7BF6"/>
    <w:rsid w:val="00DA7E0F"/>
    <w:rsid w:val="00DB0374"/>
    <w:rsid w:val="00DB0498"/>
    <w:rsid w:val="00DB051B"/>
    <w:rsid w:val="00DB0676"/>
    <w:rsid w:val="00DB079E"/>
    <w:rsid w:val="00DB07FD"/>
    <w:rsid w:val="00DB0D29"/>
    <w:rsid w:val="00DB1032"/>
    <w:rsid w:val="00DB1046"/>
    <w:rsid w:val="00DB11E0"/>
    <w:rsid w:val="00DB12F5"/>
    <w:rsid w:val="00DB1434"/>
    <w:rsid w:val="00DB178C"/>
    <w:rsid w:val="00DB1A42"/>
    <w:rsid w:val="00DB1AB5"/>
    <w:rsid w:val="00DB1AD5"/>
    <w:rsid w:val="00DB1BFD"/>
    <w:rsid w:val="00DB1C43"/>
    <w:rsid w:val="00DB1FE8"/>
    <w:rsid w:val="00DB22E3"/>
    <w:rsid w:val="00DB2418"/>
    <w:rsid w:val="00DB251D"/>
    <w:rsid w:val="00DB261A"/>
    <w:rsid w:val="00DB269E"/>
    <w:rsid w:val="00DB26DC"/>
    <w:rsid w:val="00DB2714"/>
    <w:rsid w:val="00DB2B42"/>
    <w:rsid w:val="00DB2CA2"/>
    <w:rsid w:val="00DB2D59"/>
    <w:rsid w:val="00DB2E92"/>
    <w:rsid w:val="00DB2FF5"/>
    <w:rsid w:val="00DB3277"/>
    <w:rsid w:val="00DB3359"/>
    <w:rsid w:val="00DB358A"/>
    <w:rsid w:val="00DB3720"/>
    <w:rsid w:val="00DB3A7F"/>
    <w:rsid w:val="00DB3CF4"/>
    <w:rsid w:val="00DB3D66"/>
    <w:rsid w:val="00DB3F1C"/>
    <w:rsid w:val="00DB40C8"/>
    <w:rsid w:val="00DB4593"/>
    <w:rsid w:val="00DB4600"/>
    <w:rsid w:val="00DB4615"/>
    <w:rsid w:val="00DB4A24"/>
    <w:rsid w:val="00DB4A61"/>
    <w:rsid w:val="00DB4B52"/>
    <w:rsid w:val="00DB4BDD"/>
    <w:rsid w:val="00DB4E90"/>
    <w:rsid w:val="00DB4E95"/>
    <w:rsid w:val="00DB508C"/>
    <w:rsid w:val="00DB50E5"/>
    <w:rsid w:val="00DB526B"/>
    <w:rsid w:val="00DB52B5"/>
    <w:rsid w:val="00DB538F"/>
    <w:rsid w:val="00DB58A2"/>
    <w:rsid w:val="00DB58E1"/>
    <w:rsid w:val="00DB599C"/>
    <w:rsid w:val="00DB5A8C"/>
    <w:rsid w:val="00DB5A9D"/>
    <w:rsid w:val="00DB5D3C"/>
    <w:rsid w:val="00DB5DDD"/>
    <w:rsid w:val="00DB5F27"/>
    <w:rsid w:val="00DB60DE"/>
    <w:rsid w:val="00DB614C"/>
    <w:rsid w:val="00DB6437"/>
    <w:rsid w:val="00DB653D"/>
    <w:rsid w:val="00DB6967"/>
    <w:rsid w:val="00DB6BC8"/>
    <w:rsid w:val="00DB6D5D"/>
    <w:rsid w:val="00DB6DAE"/>
    <w:rsid w:val="00DB6E3C"/>
    <w:rsid w:val="00DB6EAA"/>
    <w:rsid w:val="00DB6F47"/>
    <w:rsid w:val="00DB6F81"/>
    <w:rsid w:val="00DB6F87"/>
    <w:rsid w:val="00DB7316"/>
    <w:rsid w:val="00DB7588"/>
    <w:rsid w:val="00DB7803"/>
    <w:rsid w:val="00DB7842"/>
    <w:rsid w:val="00DB7895"/>
    <w:rsid w:val="00DB7A05"/>
    <w:rsid w:val="00DB7D7C"/>
    <w:rsid w:val="00DB7E14"/>
    <w:rsid w:val="00DB7E84"/>
    <w:rsid w:val="00DC04B0"/>
    <w:rsid w:val="00DC072E"/>
    <w:rsid w:val="00DC0AAA"/>
    <w:rsid w:val="00DC0EF9"/>
    <w:rsid w:val="00DC0F76"/>
    <w:rsid w:val="00DC1009"/>
    <w:rsid w:val="00DC11E0"/>
    <w:rsid w:val="00DC1336"/>
    <w:rsid w:val="00DC13AD"/>
    <w:rsid w:val="00DC144C"/>
    <w:rsid w:val="00DC1617"/>
    <w:rsid w:val="00DC19DA"/>
    <w:rsid w:val="00DC1BB5"/>
    <w:rsid w:val="00DC1CCC"/>
    <w:rsid w:val="00DC1D02"/>
    <w:rsid w:val="00DC21E2"/>
    <w:rsid w:val="00DC27A1"/>
    <w:rsid w:val="00DC286F"/>
    <w:rsid w:val="00DC2983"/>
    <w:rsid w:val="00DC312F"/>
    <w:rsid w:val="00DC3312"/>
    <w:rsid w:val="00DC3379"/>
    <w:rsid w:val="00DC3453"/>
    <w:rsid w:val="00DC3561"/>
    <w:rsid w:val="00DC39B1"/>
    <w:rsid w:val="00DC3AB9"/>
    <w:rsid w:val="00DC3C8E"/>
    <w:rsid w:val="00DC4035"/>
    <w:rsid w:val="00DC40C7"/>
    <w:rsid w:val="00DC4151"/>
    <w:rsid w:val="00DC432D"/>
    <w:rsid w:val="00DC48C8"/>
    <w:rsid w:val="00DC4B79"/>
    <w:rsid w:val="00DC4E6B"/>
    <w:rsid w:val="00DC4F34"/>
    <w:rsid w:val="00DC5246"/>
    <w:rsid w:val="00DC529E"/>
    <w:rsid w:val="00DC54B5"/>
    <w:rsid w:val="00DC54D0"/>
    <w:rsid w:val="00DC5982"/>
    <w:rsid w:val="00DC5A77"/>
    <w:rsid w:val="00DC5D33"/>
    <w:rsid w:val="00DC5D8C"/>
    <w:rsid w:val="00DC5E4E"/>
    <w:rsid w:val="00DC5F0B"/>
    <w:rsid w:val="00DC6369"/>
    <w:rsid w:val="00DC6561"/>
    <w:rsid w:val="00DC67BF"/>
    <w:rsid w:val="00DC6A40"/>
    <w:rsid w:val="00DC6D8F"/>
    <w:rsid w:val="00DC7005"/>
    <w:rsid w:val="00DC70D1"/>
    <w:rsid w:val="00DC784B"/>
    <w:rsid w:val="00DC7A32"/>
    <w:rsid w:val="00DC7D36"/>
    <w:rsid w:val="00DC7FA5"/>
    <w:rsid w:val="00DD0317"/>
    <w:rsid w:val="00DD03F3"/>
    <w:rsid w:val="00DD03FE"/>
    <w:rsid w:val="00DD09F6"/>
    <w:rsid w:val="00DD0AEA"/>
    <w:rsid w:val="00DD0F3F"/>
    <w:rsid w:val="00DD0FF4"/>
    <w:rsid w:val="00DD1071"/>
    <w:rsid w:val="00DD15D6"/>
    <w:rsid w:val="00DD1A8B"/>
    <w:rsid w:val="00DD1AA4"/>
    <w:rsid w:val="00DD1B11"/>
    <w:rsid w:val="00DD1B35"/>
    <w:rsid w:val="00DD1CEC"/>
    <w:rsid w:val="00DD1D5A"/>
    <w:rsid w:val="00DD1D6C"/>
    <w:rsid w:val="00DD1DC2"/>
    <w:rsid w:val="00DD1DE4"/>
    <w:rsid w:val="00DD1E80"/>
    <w:rsid w:val="00DD2110"/>
    <w:rsid w:val="00DD2143"/>
    <w:rsid w:val="00DD22BC"/>
    <w:rsid w:val="00DD255C"/>
    <w:rsid w:val="00DD2631"/>
    <w:rsid w:val="00DD297A"/>
    <w:rsid w:val="00DD2B31"/>
    <w:rsid w:val="00DD2C40"/>
    <w:rsid w:val="00DD2DA8"/>
    <w:rsid w:val="00DD2EB4"/>
    <w:rsid w:val="00DD30BF"/>
    <w:rsid w:val="00DD31B7"/>
    <w:rsid w:val="00DD31C9"/>
    <w:rsid w:val="00DD32FC"/>
    <w:rsid w:val="00DD35CA"/>
    <w:rsid w:val="00DD369E"/>
    <w:rsid w:val="00DD36F8"/>
    <w:rsid w:val="00DD3720"/>
    <w:rsid w:val="00DD3891"/>
    <w:rsid w:val="00DD38C6"/>
    <w:rsid w:val="00DD3971"/>
    <w:rsid w:val="00DD3A7E"/>
    <w:rsid w:val="00DD3C1F"/>
    <w:rsid w:val="00DD3C2E"/>
    <w:rsid w:val="00DD3C60"/>
    <w:rsid w:val="00DD3CE6"/>
    <w:rsid w:val="00DD42B3"/>
    <w:rsid w:val="00DD4361"/>
    <w:rsid w:val="00DD4378"/>
    <w:rsid w:val="00DD4465"/>
    <w:rsid w:val="00DD4618"/>
    <w:rsid w:val="00DD469D"/>
    <w:rsid w:val="00DD473C"/>
    <w:rsid w:val="00DD49F2"/>
    <w:rsid w:val="00DD4A6B"/>
    <w:rsid w:val="00DD4A9C"/>
    <w:rsid w:val="00DD4BC1"/>
    <w:rsid w:val="00DD4D24"/>
    <w:rsid w:val="00DD4E1B"/>
    <w:rsid w:val="00DD502B"/>
    <w:rsid w:val="00DD51FE"/>
    <w:rsid w:val="00DD5342"/>
    <w:rsid w:val="00DD5361"/>
    <w:rsid w:val="00DD53C9"/>
    <w:rsid w:val="00DD5DB2"/>
    <w:rsid w:val="00DD62B3"/>
    <w:rsid w:val="00DD63F6"/>
    <w:rsid w:val="00DD64DA"/>
    <w:rsid w:val="00DD6633"/>
    <w:rsid w:val="00DD6738"/>
    <w:rsid w:val="00DD68CF"/>
    <w:rsid w:val="00DD6C8D"/>
    <w:rsid w:val="00DD6F98"/>
    <w:rsid w:val="00DD6FA6"/>
    <w:rsid w:val="00DD74E6"/>
    <w:rsid w:val="00DD763F"/>
    <w:rsid w:val="00DD7781"/>
    <w:rsid w:val="00DD7A43"/>
    <w:rsid w:val="00DE014F"/>
    <w:rsid w:val="00DE017D"/>
    <w:rsid w:val="00DE07C0"/>
    <w:rsid w:val="00DE0816"/>
    <w:rsid w:val="00DE0BDB"/>
    <w:rsid w:val="00DE0BDC"/>
    <w:rsid w:val="00DE0CDD"/>
    <w:rsid w:val="00DE0D1A"/>
    <w:rsid w:val="00DE0F75"/>
    <w:rsid w:val="00DE0FC4"/>
    <w:rsid w:val="00DE162A"/>
    <w:rsid w:val="00DE18A7"/>
    <w:rsid w:val="00DE18C1"/>
    <w:rsid w:val="00DE1940"/>
    <w:rsid w:val="00DE1C17"/>
    <w:rsid w:val="00DE1EBB"/>
    <w:rsid w:val="00DE1F78"/>
    <w:rsid w:val="00DE21BB"/>
    <w:rsid w:val="00DE2604"/>
    <w:rsid w:val="00DE2634"/>
    <w:rsid w:val="00DE27C7"/>
    <w:rsid w:val="00DE27E9"/>
    <w:rsid w:val="00DE29DD"/>
    <w:rsid w:val="00DE2ABC"/>
    <w:rsid w:val="00DE2CA0"/>
    <w:rsid w:val="00DE307A"/>
    <w:rsid w:val="00DE3086"/>
    <w:rsid w:val="00DE32BE"/>
    <w:rsid w:val="00DE367C"/>
    <w:rsid w:val="00DE3800"/>
    <w:rsid w:val="00DE3909"/>
    <w:rsid w:val="00DE3CDE"/>
    <w:rsid w:val="00DE3CDF"/>
    <w:rsid w:val="00DE3DAE"/>
    <w:rsid w:val="00DE3F8A"/>
    <w:rsid w:val="00DE4068"/>
    <w:rsid w:val="00DE407E"/>
    <w:rsid w:val="00DE418B"/>
    <w:rsid w:val="00DE424D"/>
    <w:rsid w:val="00DE42E5"/>
    <w:rsid w:val="00DE4551"/>
    <w:rsid w:val="00DE47BB"/>
    <w:rsid w:val="00DE49EA"/>
    <w:rsid w:val="00DE4BBC"/>
    <w:rsid w:val="00DE4C17"/>
    <w:rsid w:val="00DE4D76"/>
    <w:rsid w:val="00DE4E56"/>
    <w:rsid w:val="00DE51EB"/>
    <w:rsid w:val="00DE5221"/>
    <w:rsid w:val="00DE543F"/>
    <w:rsid w:val="00DE55B1"/>
    <w:rsid w:val="00DE55D1"/>
    <w:rsid w:val="00DE568D"/>
    <w:rsid w:val="00DE5712"/>
    <w:rsid w:val="00DE5804"/>
    <w:rsid w:val="00DE58B5"/>
    <w:rsid w:val="00DE5995"/>
    <w:rsid w:val="00DE59D8"/>
    <w:rsid w:val="00DE5A4C"/>
    <w:rsid w:val="00DE5D17"/>
    <w:rsid w:val="00DE5EF4"/>
    <w:rsid w:val="00DE611A"/>
    <w:rsid w:val="00DE614F"/>
    <w:rsid w:val="00DE6301"/>
    <w:rsid w:val="00DE633C"/>
    <w:rsid w:val="00DE6422"/>
    <w:rsid w:val="00DE65E3"/>
    <w:rsid w:val="00DE69CF"/>
    <w:rsid w:val="00DE6BAF"/>
    <w:rsid w:val="00DE6D04"/>
    <w:rsid w:val="00DE6E0B"/>
    <w:rsid w:val="00DE6EE4"/>
    <w:rsid w:val="00DE7135"/>
    <w:rsid w:val="00DE7290"/>
    <w:rsid w:val="00DE7472"/>
    <w:rsid w:val="00DE7515"/>
    <w:rsid w:val="00DE7896"/>
    <w:rsid w:val="00DE78A8"/>
    <w:rsid w:val="00DE7B19"/>
    <w:rsid w:val="00DE7B61"/>
    <w:rsid w:val="00DE7BEB"/>
    <w:rsid w:val="00DE7CE9"/>
    <w:rsid w:val="00DF0066"/>
    <w:rsid w:val="00DF0127"/>
    <w:rsid w:val="00DF0576"/>
    <w:rsid w:val="00DF0653"/>
    <w:rsid w:val="00DF08C9"/>
    <w:rsid w:val="00DF0A91"/>
    <w:rsid w:val="00DF0BE8"/>
    <w:rsid w:val="00DF0FFF"/>
    <w:rsid w:val="00DF10E5"/>
    <w:rsid w:val="00DF1208"/>
    <w:rsid w:val="00DF1708"/>
    <w:rsid w:val="00DF184D"/>
    <w:rsid w:val="00DF18E6"/>
    <w:rsid w:val="00DF1917"/>
    <w:rsid w:val="00DF1DBD"/>
    <w:rsid w:val="00DF1DE1"/>
    <w:rsid w:val="00DF1E75"/>
    <w:rsid w:val="00DF1EF5"/>
    <w:rsid w:val="00DF2080"/>
    <w:rsid w:val="00DF214B"/>
    <w:rsid w:val="00DF2205"/>
    <w:rsid w:val="00DF26AD"/>
    <w:rsid w:val="00DF2894"/>
    <w:rsid w:val="00DF2AB7"/>
    <w:rsid w:val="00DF2B80"/>
    <w:rsid w:val="00DF3023"/>
    <w:rsid w:val="00DF324F"/>
    <w:rsid w:val="00DF32AD"/>
    <w:rsid w:val="00DF3422"/>
    <w:rsid w:val="00DF3C85"/>
    <w:rsid w:val="00DF3CC3"/>
    <w:rsid w:val="00DF3D65"/>
    <w:rsid w:val="00DF3DD7"/>
    <w:rsid w:val="00DF43E4"/>
    <w:rsid w:val="00DF44D9"/>
    <w:rsid w:val="00DF4677"/>
    <w:rsid w:val="00DF4B4A"/>
    <w:rsid w:val="00DF4C5F"/>
    <w:rsid w:val="00DF4F55"/>
    <w:rsid w:val="00DF5045"/>
    <w:rsid w:val="00DF505D"/>
    <w:rsid w:val="00DF50DE"/>
    <w:rsid w:val="00DF513E"/>
    <w:rsid w:val="00DF52EB"/>
    <w:rsid w:val="00DF571A"/>
    <w:rsid w:val="00DF5776"/>
    <w:rsid w:val="00DF5B0A"/>
    <w:rsid w:val="00DF5CF0"/>
    <w:rsid w:val="00DF5D5C"/>
    <w:rsid w:val="00DF5D91"/>
    <w:rsid w:val="00DF5F35"/>
    <w:rsid w:val="00DF5FEA"/>
    <w:rsid w:val="00DF60CE"/>
    <w:rsid w:val="00DF610D"/>
    <w:rsid w:val="00DF6111"/>
    <w:rsid w:val="00DF613E"/>
    <w:rsid w:val="00DF6296"/>
    <w:rsid w:val="00DF62F3"/>
    <w:rsid w:val="00DF639B"/>
    <w:rsid w:val="00DF63B0"/>
    <w:rsid w:val="00DF6462"/>
    <w:rsid w:val="00DF65A1"/>
    <w:rsid w:val="00DF69C9"/>
    <w:rsid w:val="00DF6AFD"/>
    <w:rsid w:val="00DF6D30"/>
    <w:rsid w:val="00DF6EAF"/>
    <w:rsid w:val="00DF7125"/>
    <w:rsid w:val="00DF748C"/>
    <w:rsid w:val="00DF74CE"/>
    <w:rsid w:val="00DF76D8"/>
    <w:rsid w:val="00DF7D87"/>
    <w:rsid w:val="00DF7E47"/>
    <w:rsid w:val="00DF7EDC"/>
    <w:rsid w:val="00DF7F27"/>
    <w:rsid w:val="00DF7F67"/>
    <w:rsid w:val="00E0004C"/>
    <w:rsid w:val="00E000AB"/>
    <w:rsid w:val="00E002A7"/>
    <w:rsid w:val="00E004A9"/>
    <w:rsid w:val="00E004D7"/>
    <w:rsid w:val="00E0065F"/>
    <w:rsid w:val="00E007FB"/>
    <w:rsid w:val="00E00934"/>
    <w:rsid w:val="00E00F6C"/>
    <w:rsid w:val="00E013F2"/>
    <w:rsid w:val="00E014B8"/>
    <w:rsid w:val="00E01588"/>
    <w:rsid w:val="00E01821"/>
    <w:rsid w:val="00E01859"/>
    <w:rsid w:val="00E01A21"/>
    <w:rsid w:val="00E01D9D"/>
    <w:rsid w:val="00E01DE2"/>
    <w:rsid w:val="00E02040"/>
    <w:rsid w:val="00E0227D"/>
    <w:rsid w:val="00E02298"/>
    <w:rsid w:val="00E02538"/>
    <w:rsid w:val="00E02662"/>
    <w:rsid w:val="00E02F1E"/>
    <w:rsid w:val="00E030C3"/>
    <w:rsid w:val="00E03226"/>
    <w:rsid w:val="00E0328E"/>
    <w:rsid w:val="00E034EF"/>
    <w:rsid w:val="00E03711"/>
    <w:rsid w:val="00E037E2"/>
    <w:rsid w:val="00E039C6"/>
    <w:rsid w:val="00E03A6F"/>
    <w:rsid w:val="00E03E35"/>
    <w:rsid w:val="00E03F5E"/>
    <w:rsid w:val="00E03FDA"/>
    <w:rsid w:val="00E04369"/>
    <w:rsid w:val="00E044B2"/>
    <w:rsid w:val="00E0451D"/>
    <w:rsid w:val="00E0457A"/>
    <w:rsid w:val="00E045A3"/>
    <w:rsid w:val="00E04666"/>
    <w:rsid w:val="00E04745"/>
    <w:rsid w:val="00E04809"/>
    <w:rsid w:val="00E048CB"/>
    <w:rsid w:val="00E0499A"/>
    <w:rsid w:val="00E049C3"/>
    <w:rsid w:val="00E04A06"/>
    <w:rsid w:val="00E04A2B"/>
    <w:rsid w:val="00E04A66"/>
    <w:rsid w:val="00E05051"/>
    <w:rsid w:val="00E0509D"/>
    <w:rsid w:val="00E0512F"/>
    <w:rsid w:val="00E05260"/>
    <w:rsid w:val="00E05468"/>
    <w:rsid w:val="00E05514"/>
    <w:rsid w:val="00E0562E"/>
    <w:rsid w:val="00E0568C"/>
    <w:rsid w:val="00E056E1"/>
    <w:rsid w:val="00E05ECE"/>
    <w:rsid w:val="00E05ED0"/>
    <w:rsid w:val="00E062E0"/>
    <w:rsid w:val="00E06447"/>
    <w:rsid w:val="00E0680D"/>
    <w:rsid w:val="00E06818"/>
    <w:rsid w:val="00E0681F"/>
    <w:rsid w:val="00E06941"/>
    <w:rsid w:val="00E06950"/>
    <w:rsid w:val="00E069C3"/>
    <w:rsid w:val="00E06A55"/>
    <w:rsid w:val="00E06ADE"/>
    <w:rsid w:val="00E06BA6"/>
    <w:rsid w:val="00E06C5A"/>
    <w:rsid w:val="00E06D28"/>
    <w:rsid w:val="00E0711F"/>
    <w:rsid w:val="00E073AA"/>
    <w:rsid w:val="00E073D8"/>
    <w:rsid w:val="00E0757D"/>
    <w:rsid w:val="00E07C41"/>
    <w:rsid w:val="00E07CA5"/>
    <w:rsid w:val="00E100F6"/>
    <w:rsid w:val="00E105B6"/>
    <w:rsid w:val="00E105D4"/>
    <w:rsid w:val="00E10749"/>
    <w:rsid w:val="00E10DDE"/>
    <w:rsid w:val="00E10E0C"/>
    <w:rsid w:val="00E10EA1"/>
    <w:rsid w:val="00E10FAF"/>
    <w:rsid w:val="00E1129B"/>
    <w:rsid w:val="00E115C0"/>
    <w:rsid w:val="00E119D4"/>
    <w:rsid w:val="00E11F2C"/>
    <w:rsid w:val="00E11F82"/>
    <w:rsid w:val="00E120DE"/>
    <w:rsid w:val="00E1250D"/>
    <w:rsid w:val="00E1297B"/>
    <w:rsid w:val="00E129BD"/>
    <w:rsid w:val="00E12B63"/>
    <w:rsid w:val="00E12BAC"/>
    <w:rsid w:val="00E12F89"/>
    <w:rsid w:val="00E1313F"/>
    <w:rsid w:val="00E133C4"/>
    <w:rsid w:val="00E137C3"/>
    <w:rsid w:val="00E13AD4"/>
    <w:rsid w:val="00E13C8D"/>
    <w:rsid w:val="00E13C99"/>
    <w:rsid w:val="00E13EF4"/>
    <w:rsid w:val="00E14337"/>
    <w:rsid w:val="00E1439C"/>
    <w:rsid w:val="00E14477"/>
    <w:rsid w:val="00E1450D"/>
    <w:rsid w:val="00E14789"/>
    <w:rsid w:val="00E148D0"/>
    <w:rsid w:val="00E149EF"/>
    <w:rsid w:val="00E14B0D"/>
    <w:rsid w:val="00E14D63"/>
    <w:rsid w:val="00E14DC9"/>
    <w:rsid w:val="00E14DD0"/>
    <w:rsid w:val="00E15820"/>
    <w:rsid w:val="00E15858"/>
    <w:rsid w:val="00E15913"/>
    <w:rsid w:val="00E15A3C"/>
    <w:rsid w:val="00E15B1B"/>
    <w:rsid w:val="00E15BD7"/>
    <w:rsid w:val="00E161AA"/>
    <w:rsid w:val="00E166D2"/>
    <w:rsid w:val="00E16AEE"/>
    <w:rsid w:val="00E16B0B"/>
    <w:rsid w:val="00E16B2B"/>
    <w:rsid w:val="00E16C40"/>
    <w:rsid w:val="00E16E9A"/>
    <w:rsid w:val="00E16EB6"/>
    <w:rsid w:val="00E16FEC"/>
    <w:rsid w:val="00E170E8"/>
    <w:rsid w:val="00E1715F"/>
    <w:rsid w:val="00E171E8"/>
    <w:rsid w:val="00E173D9"/>
    <w:rsid w:val="00E17525"/>
    <w:rsid w:val="00E1770E"/>
    <w:rsid w:val="00E17731"/>
    <w:rsid w:val="00E1777C"/>
    <w:rsid w:val="00E1779E"/>
    <w:rsid w:val="00E1781D"/>
    <w:rsid w:val="00E17B58"/>
    <w:rsid w:val="00E17B5F"/>
    <w:rsid w:val="00E17F9D"/>
    <w:rsid w:val="00E17FB5"/>
    <w:rsid w:val="00E20165"/>
    <w:rsid w:val="00E2023F"/>
    <w:rsid w:val="00E2052F"/>
    <w:rsid w:val="00E2054F"/>
    <w:rsid w:val="00E205C1"/>
    <w:rsid w:val="00E20907"/>
    <w:rsid w:val="00E20B1A"/>
    <w:rsid w:val="00E20BCB"/>
    <w:rsid w:val="00E20BE1"/>
    <w:rsid w:val="00E20C72"/>
    <w:rsid w:val="00E20CE3"/>
    <w:rsid w:val="00E20DD0"/>
    <w:rsid w:val="00E20F13"/>
    <w:rsid w:val="00E210E2"/>
    <w:rsid w:val="00E21272"/>
    <w:rsid w:val="00E213EC"/>
    <w:rsid w:val="00E21589"/>
    <w:rsid w:val="00E216EB"/>
    <w:rsid w:val="00E21C89"/>
    <w:rsid w:val="00E21D26"/>
    <w:rsid w:val="00E21D53"/>
    <w:rsid w:val="00E22719"/>
    <w:rsid w:val="00E2272A"/>
    <w:rsid w:val="00E229E6"/>
    <w:rsid w:val="00E22C45"/>
    <w:rsid w:val="00E22F9D"/>
    <w:rsid w:val="00E231DC"/>
    <w:rsid w:val="00E2336D"/>
    <w:rsid w:val="00E233A0"/>
    <w:rsid w:val="00E23470"/>
    <w:rsid w:val="00E2347A"/>
    <w:rsid w:val="00E2358A"/>
    <w:rsid w:val="00E23B6C"/>
    <w:rsid w:val="00E23CB6"/>
    <w:rsid w:val="00E23D8B"/>
    <w:rsid w:val="00E23DC4"/>
    <w:rsid w:val="00E23FFD"/>
    <w:rsid w:val="00E2439B"/>
    <w:rsid w:val="00E246C0"/>
    <w:rsid w:val="00E2495D"/>
    <w:rsid w:val="00E24B9E"/>
    <w:rsid w:val="00E24C7F"/>
    <w:rsid w:val="00E251D4"/>
    <w:rsid w:val="00E252D3"/>
    <w:rsid w:val="00E25324"/>
    <w:rsid w:val="00E2544F"/>
    <w:rsid w:val="00E25506"/>
    <w:rsid w:val="00E2550B"/>
    <w:rsid w:val="00E256A2"/>
    <w:rsid w:val="00E258F5"/>
    <w:rsid w:val="00E25BBE"/>
    <w:rsid w:val="00E25DEE"/>
    <w:rsid w:val="00E26123"/>
    <w:rsid w:val="00E2612E"/>
    <w:rsid w:val="00E262A8"/>
    <w:rsid w:val="00E27009"/>
    <w:rsid w:val="00E271B4"/>
    <w:rsid w:val="00E273E8"/>
    <w:rsid w:val="00E27416"/>
    <w:rsid w:val="00E27790"/>
    <w:rsid w:val="00E27AC5"/>
    <w:rsid w:val="00E27C3A"/>
    <w:rsid w:val="00E27EC2"/>
    <w:rsid w:val="00E27F30"/>
    <w:rsid w:val="00E27FB0"/>
    <w:rsid w:val="00E30375"/>
    <w:rsid w:val="00E3041D"/>
    <w:rsid w:val="00E3077F"/>
    <w:rsid w:val="00E30789"/>
    <w:rsid w:val="00E308CF"/>
    <w:rsid w:val="00E30BD5"/>
    <w:rsid w:val="00E31164"/>
    <w:rsid w:val="00E313B5"/>
    <w:rsid w:val="00E31475"/>
    <w:rsid w:val="00E316BD"/>
    <w:rsid w:val="00E31AAE"/>
    <w:rsid w:val="00E31D39"/>
    <w:rsid w:val="00E31E15"/>
    <w:rsid w:val="00E31E9E"/>
    <w:rsid w:val="00E31F47"/>
    <w:rsid w:val="00E31F59"/>
    <w:rsid w:val="00E32026"/>
    <w:rsid w:val="00E3203F"/>
    <w:rsid w:val="00E32263"/>
    <w:rsid w:val="00E322D7"/>
    <w:rsid w:val="00E323D3"/>
    <w:rsid w:val="00E324C7"/>
    <w:rsid w:val="00E32589"/>
    <w:rsid w:val="00E325EB"/>
    <w:rsid w:val="00E3267F"/>
    <w:rsid w:val="00E326F7"/>
    <w:rsid w:val="00E32765"/>
    <w:rsid w:val="00E327FA"/>
    <w:rsid w:val="00E32B05"/>
    <w:rsid w:val="00E32B31"/>
    <w:rsid w:val="00E32B62"/>
    <w:rsid w:val="00E32B71"/>
    <w:rsid w:val="00E32BAE"/>
    <w:rsid w:val="00E32BB2"/>
    <w:rsid w:val="00E32E4E"/>
    <w:rsid w:val="00E33298"/>
    <w:rsid w:val="00E33540"/>
    <w:rsid w:val="00E335E3"/>
    <w:rsid w:val="00E3367F"/>
    <w:rsid w:val="00E336A0"/>
    <w:rsid w:val="00E337F3"/>
    <w:rsid w:val="00E339A0"/>
    <w:rsid w:val="00E33AEC"/>
    <w:rsid w:val="00E33C75"/>
    <w:rsid w:val="00E33E98"/>
    <w:rsid w:val="00E33F52"/>
    <w:rsid w:val="00E341E4"/>
    <w:rsid w:val="00E3430B"/>
    <w:rsid w:val="00E346ED"/>
    <w:rsid w:val="00E347D0"/>
    <w:rsid w:val="00E349AD"/>
    <w:rsid w:val="00E34AB4"/>
    <w:rsid w:val="00E34F05"/>
    <w:rsid w:val="00E3505D"/>
    <w:rsid w:val="00E350C7"/>
    <w:rsid w:val="00E351BA"/>
    <w:rsid w:val="00E353F5"/>
    <w:rsid w:val="00E35418"/>
    <w:rsid w:val="00E354B0"/>
    <w:rsid w:val="00E356B0"/>
    <w:rsid w:val="00E3572A"/>
    <w:rsid w:val="00E35A1B"/>
    <w:rsid w:val="00E35B41"/>
    <w:rsid w:val="00E360EF"/>
    <w:rsid w:val="00E362C2"/>
    <w:rsid w:val="00E3630D"/>
    <w:rsid w:val="00E36330"/>
    <w:rsid w:val="00E36566"/>
    <w:rsid w:val="00E3657A"/>
    <w:rsid w:val="00E36675"/>
    <w:rsid w:val="00E3669B"/>
    <w:rsid w:val="00E3670E"/>
    <w:rsid w:val="00E367AB"/>
    <w:rsid w:val="00E36A8A"/>
    <w:rsid w:val="00E36B48"/>
    <w:rsid w:val="00E36C49"/>
    <w:rsid w:val="00E36C78"/>
    <w:rsid w:val="00E36CAE"/>
    <w:rsid w:val="00E36CEA"/>
    <w:rsid w:val="00E37983"/>
    <w:rsid w:val="00E37A7F"/>
    <w:rsid w:val="00E37CE6"/>
    <w:rsid w:val="00E37DD6"/>
    <w:rsid w:val="00E4032A"/>
    <w:rsid w:val="00E405DD"/>
    <w:rsid w:val="00E40670"/>
    <w:rsid w:val="00E40A3E"/>
    <w:rsid w:val="00E40C91"/>
    <w:rsid w:val="00E40FC0"/>
    <w:rsid w:val="00E4105B"/>
    <w:rsid w:val="00E4114A"/>
    <w:rsid w:val="00E415B8"/>
    <w:rsid w:val="00E416BB"/>
    <w:rsid w:val="00E41A6B"/>
    <w:rsid w:val="00E41CDB"/>
    <w:rsid w:val="00E41E2D"/>
    <w:rsid w:val="00E42124"/>
    <w:rsid w:val="00E4219E"/>
    <w:rsid w:val="00E42361"/>
    <w:rsid w:val="00E4238B"/>
    <w:rsid w:val="00E42871"/>
    <w:rsid w:val="00E42A47"/>
    <w:rsid w:val="00E42AE0"/>
    <w:rsid w:val="00E42B89"/>
    <w:rsid w:val="00E42CC2"/>
    <w:rsid w:val="00E43257"/>
    <w:rsid w:val="00E43361"/>
    <w:rsid w:val="00E433CC"/>
    <w:rsid w:val="00E43404"/>
    <w:rsid w:val="00E437C7"/>
    <w:rsid w:val="00E43B50"/>
    <w:rsid w:val="00E43DC0"/>
    <w:rsid w:val="00E43FA5"/>
    <w:rsid w:val="00E4429B"/>
    <w:rsid w:val="00E442E4"/>
    <w:rsid w:val="00E4435E"/>
    <w:rsid w:val="00E4447F"/>
    <w:rsid w:val="00E444BB"/>
    <w:rsid w:val="00E444DE"/>
    <w:rsid w:val="00E44753"/>
    <w:rsid w:val="00E44BAD"/>
    <w:rsid w:val="00E44C13"/>
    <w:rsid w:val="00E44DEA"/>
    <w:rsid w:val="00E45002"/>
    <w:rsid w:val="00E45096"/>
    <w:rsid w:val="00E4526A"/>
    <w:rsid w:val="00E45370"/>
    <w:rsid w:val="00E4550C"/>
    <w:rsid w:val="00E459A6"/>
    <w:rsid w:val="00E45A4C"/>
    <w:rsid w:val="00E45AC7"/>
    <w:rsid w:val="00E45B5B"/>
    <w:rsid w:val="00E45BF6"/>
    <w:rsid w:val="00E45C49"/>
    <w:rsid w:val="00E45C69"/>
    <w:rsid w:val="00E45E42"/>
    <w:rsid w:val="00E45E8B"/>
    <w:rsid w:val="00E461D3"/>
    <w:rsid w:val="00E465EC"/>
    <w:rsid w:val="00E46965"/>
    <w:rsid w:val="00E46B61"/>
    <w:rsid w:val="00E46FDB"/>
    <w:rsid w:val="00E47032"/>
    <w:rsid w:val="00E470C5"/>
    <w:rsid w:val="00E472D6"/>
    <w:rsid w:val="00E4756D"/>
    <w:rsid w:val="00E475AA"/>
    <w:rsid w:val="00E4773C"/>
    <w:rsid w:val="00E477DE"/>
    <w:rsid w:val="00E478BE"/>
    <w:rsid w:val="00E47B42"/>
    <w:rsid w:val="00E47B89"/>
    <w:rsid w:val="00E47C6F"/>
    <w:rsid w:val="00E47C70"/>
    <w:rsid w:val="00E47DBF"/>
    <w:rsid w:val="00E47DC8"/>
    <w:rsid w:val="00E47DFD"/>
    <w:rsid w:val="00E500EB"/>
    <w:rsid w:val="00E50256"/>
    <w:rsid w:val="00E50383"/>
    <w:rsid w:val="00E50410"/>
    <w:rsid w:val="00E504D6"/>
    <w:rsid w:val="00E50ABF"/>
    <w:rsid w:val="00E50C15"/>
    <w:rsid w:val="00E50C2A"/>
    <w:rsid w:val="00E50D99"/>
    <w:rsid w:val="00E50E4C"/>
    <w:rsid w:val="00E50E5A"/>
    <w:rsid w:val="00E51190"/>
    <w:rsid w:val="00E513B6"/>
    <w:rsid w:val="00E517C8"/>
    <w:rsid w:val="00E51B30"/>
    <w:rsid w:val="00E51CCC"/>
    <w:rsid w:val="00E51F32"/>
    <w:rsid w:val="00E520D8"/>
    <w:rsid w:val="00E521C6"/>
    <w:rsid w:val="00E522F2"/>
    <w:rsid w:val="00E524D4"/>
    <w:rsid w:val="00E5268C"/>
    <w:rsid w:val="00E5269E"/>
    <w:rsid w:val="00E52889"/>
    <w:rsid w:val="00E52979"/>
    <w:rsid w:val="00E52B3F"/>
    <w:rsid w:val="00E52B8A"/>
    <w:rsid w:val="00E52E18"/>
    <w:rsid w:val="00E52E40"/>
    <w:rsid w:val="00E52E78"/>
    <w:rsid w:val="00E52EE4"/>
    <w:rsid w:val="00E52FA9"/>
    <w:rsid w:val="00E530C2"/>
    <w:rsid w:val="00E5329F"/>
    <w:rsid w:val="00E534AE"/>
    <w:rsid w:val="00E53883"/>
    <w:rsid w:val="00E53A3D"/>
    <w:rsid w:val="00E53CA8"/>
    <w:rsid w:val="00E53E56"/>
    <w:rsid w:val="00E53FD1"/>
    <w:rsid w:val="00E541F3"/>
    <w:rsid w:val="00E54604"/>
    <w:rsid w:val="00E5487C"/>
    <w:rsid w:val="00E54CF9"/>
    <w:rsid w:val="00E55181"/>
    <w:rsid w:val="00E551A5"/>
    <w:rsid w:val="00E55419"/>
    <w:rsid w:val="00E555DD"/>
    <w:rsid w:val="00E5567F"/>
    <w:rsid w:val="00E557FF"/>
    <w:rsid w:val="00E55808"/>
    <w:rsid w:val="00E55883"/>
    <w:rsid w:val="00E5597D"/>
    <w:rsid w:val="00E55C02"/>
    <w:rsid w:val="00E55DCD"/>
    <w:rsid w:val="00E55F80"/>
    <w:rsid w:val="00E56059"/>
    <w:rsid w:val="00E568D9"/>
    <w:rsid w:val="00E56979"/>
    <w:rsid w:val="00E56B40"/>
    <w:rsid w:val="00E57459"/>
    <w:rsid w:val="00E5782F"/>
    <w:rsid w:val="00E57CE0"/>
    <w:rsid w:val="00E57D74"/>
    <w:rsid w:val="00E60308"/>
    <w:rsid w:val="00E60766"/>
    <w:rsid w:val="00E608E4"/>
    <w:rsid w:val="00E60B21"/>
    <w:rsid w:val="00E60DDE"/>
    <w:rsid w:val="00E60E2B"/>
    <w:rsid w:val="00E61142"/>
    <w:rsid w:val="00E61177"/>
    <w:rsid w:val="00E6130E"/>
    <w:rsid w:val="00E613D8"/>
    <w:rsid w:val="00E61507"/>
    <w:rsid w:val="00E61609"/>
    <w:rsid w:val="00E6191F"/>
    <w:rsid w:val="00E61AC0"/>
    <w:rsid w:val="00E61C34"/>
    <w:rsid w:val="00E61C81"/>
    <w:rsid w:val="00E61EFF"/>
    <w:rsid w:val="00E61F41"/>
    <w:rsid w:val="00E62055"/>
    <w:rsid w:val="00E620D5"/>
    <w:rsid w:val="00E62177"/>
    <w:rsid w:val="00E621D2"/>
    <w:rsid w:val="00E62553"/>
    <w:rsid w:val="00E627AF"/>
    <w:rsid w:val="00E6297C"/>
    <w:rsid w:val="00E629A9"/>
    <w:rsid w:val="00E62A54"/>
    <w:rsid w:val="00E62B8B"/>
    <w:rsid w:val="00E62C3E"/>
    <w:rsid w:val="00E62E6A"/>
    <w:rsid w:val="00E62F93"/>
    <w:rsid w:val="00E62FED"/>
    <w:rsid w:val="00E630EF"/>
    <w:rsid w:val="00E6355B"/>
    <w:rsid w:val="00E63614"/>
    <w:rsid w:val="00E636ED"/>
    <w:rsid w:val="00E63742"/>
    <w:rsid w:val="00E6384A"/>
    <w:rsid w:val="00E63991"/>
    <w:rsid w:val="00E63C8F"/>
    <w:rsid w:val="00E64138"/>
    <w:rsid w:val="00E641EA"/>
    <w:rsid w:val="00E6444F"/>
    <w:rsid w:val="00E64505"/>
    <w:rsid w:val="00E645DC"/>
    <w:rsid w:val="00E6481A"/>
    <w:rsid w:val="00E64ACE"/>
    <w:rsid w:val="00E64C16"/>
    <w:rsid w:val="00E64D1A"/>
    <w:rsid w:val="00E64DFC"/>
    <w:rsid w:val="00E64F55"/>
    <w:rsid w:val="00E6500A"/>
    <w:rsid w:val="00E650AF"/>
    <w:rsid w:val="00E652A3"/>
    <w:rsid w:val="00E65350"/>
    <w:rsid w:val="00E654CE"/>
    <w:rsid w:val="00E65782"/>
    <w:rsid w:val="00E65CBE"/>
    <w:rsid w:val="00E65D10"/>
    <w:rsid w:val="00E65FD9"/>
    <w:rsid w:val="00E66217"/>
    <w:rsid w:val="00E663B3"/>
    <w:rsid w:val="00E66448"/>
    <w:rsid w:val="00E66453"/>
    <w:rsid w:val="00E666C2"/>
    <w:rsid w:val="00E66A57"/>
    <w:rsid w:val="00E66ED0"/>
    <w:rsid w:val="00E67310"/>
    <w:rsid w:val="00E679DF"/>
    <w:rsid w:val="00E67B28"/>
    <w:rsid w:val="00E67BFB"/>
    <w:rsid w:val="00E67C57"/>
    <w:rsid w:val="00E67F1E"/>
    <w:rsid w:val="00E67F3C"/>
    <w:rsid w:val="00E67F5E"/>
    <w:rsid w:val="00E70025"/>
    <w:rsid w:val="00E7053B"/>
    <w:rsid w:val="00E7088E"/>
    <w:rsid w:val="00E708F4"/>
    <w:rsid w:val="00E70914"/>
    <w:rsid w:val="00E70ABB"/>
    <w:rsid w:val="00E70CD4"/>
    <w:rsid w:val="00E70DF0"/>
    <w:rsid w:val="00E70F2E"/>
    <w:rsid w:val="00E71027"/>
    <w:rsid w:val="00E711B5"/>
    <w:rsid w:val="00E711EB"/>
    <w:rsid w:val="00E7142F"/>
    <w:rsid w:val="00E71867"/>
    <w:rsid w:val="00E718F1"/>
    <w:rsid w:val="00E71CD1"/>
    <w:rsid w:val="00E71E8A"/>
    <w:rsid w:val="00E71FA1"/>
    <w:rsid w:val="00E724DA"/>
    <w:rsid w:val="00E7270F"/>
    <w:rsid w:val="00E72D07"/>
    <w:rsid w:val="00E72ED8"/>
    <w:rsid w:val="00E72F70"/>
    <w:rsid w:val="00E72FE7"/>
    <w:rsid w:val="00E731DC"/>
    <w:rsid w:val="00E7321C"/>
    <w:rsid w:val="00E73258"/>
    <w:rsid w:val="00E73306"/>
    <w:rsid w:val="00E73460"/>
    <w:rsid w:val="00E737A0"/>
    <w:rsid w:val="00E73BBA"/>
    <w:rsid w:val="00E73E3B"/>
    <w:rsid w:val="00E73F49"/>
    <w:rsid w:val="00E73F60"/>
    <w:rsid w:val="00E74551"/>
    <w:rsid w:val="00E745B1"/>
    <w:rsid w:val="00E74813"/>
    <w:rsid w:val="00E74A9C"/>
    <w:rsid w:val="00E74E0E"/>
    <w:rsid w:val="00E74F81"/>
    <w:rsid w:val="00E74FF8"/>
    <w:rsid w:val="00E75014"/>
    <w:rsid w:val="00E751DE"/>
    <w:rsid w:val="00E75310"/>
    <w:rsid w:val="00E7572D"/>
    <w:rsid w:val="00E75730"/>
    <w:rsid w:val="00E759AF"/>
    <w:rsid w:val="00E75A27"/>
    <w:rsid w:val="00E75A7E"/>
    <w:rsid w:val="00E75B24"/>
    <w:rsid w:val="00E75F0F"/>
    <w:rsid w:val="00E75FB5"/>
    <w:rsid w:val="00E76295"/>
    <w:rsid w:val="00E7631D"/>
    <w:rsid w:val="00E76464"/>
    <w:rsid w:val="00E76590"/>
    <w:rsid w:val="00E765F2"/>
    <w:rsid w:val="00E7675F"/>
    <w:rsid w:val="00E76F92"/>
    <w:rsid w:val="00E7719D"/>
    <w:rsid w:val="00E77589"/>
    <w:rsid w:val="00E77736"/>
    <w:rsid w:val="00E778E8"/>
    <w:rsid w:val="00E778EB"/>
    <w:rsid w:val="00E77940"/>
    <w:rsid w:val="00E7794F"/>
    <w:rsid w:val="00E77B69"/>
    <w:rsid w:val="00E77CCD"/>
    <w:rsid w:val="00E80426"/>
    <w:rsid w:val="00E806F7"/>
    <w:rsid w:val="00E80758"/>
    <w:rsid w:val="00E807EE"/>
    <w:rsid w:val="00E80A6F"/>
    <w:rsid w:val="00E80DC4"/>
    <w:rsid w:val="00E811D0"/>
    <w:rsid w:val="00E81209"/>
    <w:rsid w:val="00E8167A"/>
    <w:rsid w:val="00E81823"/>
    <w:rsid w:val="00E81926"/>
    <w:rsid w:val="00E81990"/>
    <w:rsid w:val="00E819A7"/>
    <w:rsid w:val="00E81A53"/>
    <w:rsid w:val="00E81A79"/>
    <w:rsid w:val="00E81BAA"/>
    <w:rsid w:val="00E81D28"/>
    <w:rsid w:val="00E81D30"/>
    <w:rsid w:val="00E81F80"/>
    <w:rsid w:val="00E824A0"/>
    <w:rsid w:val="00E82513"/>
    <w:rsid w:val="00E827AB"/>
    <w:rsid w:val="00E82B24"/>
    <w:rsid w:val="00E82EA8"/>
    <w:rsid w:val="00E831AE"/>
    <w:rsid w:val="00E832B7"/>
    <w:rsid w:val="00E8381C"/>
    <w:rsid w:val="00E8388C"/>
    <w:rsid w:val="00E838B6"/>
    <w:rsid w:val="00E83988"/>
    <w:rsid w:val="00E83A49"/>
    <w:rsid w:val="00E83D52"/>
    <w:rsid w:val="00E83FD2"/>
    <w:rsid w:val="00E841D5"/>
    <w:rsid w:val="00E842F6"/>
    <w:rsid w:val="00E845F8"/>
    <w:rsid w:val="00E847BB"/>
    <w:rsid w:val="00E84937"/>
    <w:rsid w:val="00E84A0E"/>
    <w:rsid w:val="00E85305"/>
    <w:rsid w:val="00E8543E"/>
    <w:rsid w:val="00E854EF"/>
    <w:rsid w:val="00E85518"/>
    <w:rsid w:val="00E85544"/>
    <w:rsid w:val="00E8571A"/>
    <w:rsid w:val="00E857F3"/>
    <w:rsid w:val="00E85826"/>
    <w:rsid w:val="00E85A14"/>
    <w:rsid w:val="00E85AFA"/>
    <w:rsid w:val="00E85B28"/>
    <w:rsid w:val="00E85C17"/>
    <w:rsid w:val="00E85CAE"/>
    <w:rsid w:val="00E85DDC"/>
    <w:rsid w:val="00E85F92"/>
    <w:rsid w:val="00E85FD1"/>
    <w:rsid w:val="00E8604A"/>
    <w:rsid w:val="00E86180"/>
    <w:rsid w:val="00E86578"/>
    <w:rsid w:val="00E867EE"/>
    <w:rsid w:val="00E86D18"/>
    <w:rsid w:val="00E86D55"/>
    <w:rsid w:val="00E87187"/>
    <w:rsid w:val="00E87440"/>
    <w:rsid w:val="00E874DC"/>
    <w:rsid w:val="00E87731"/>
    <w:rsid w:val="00E87870"/>
    <w:rsid w:val="00E8789A"/>
    <w:rsid w:val="00E87A37"/>
    <w:rsid w:val="00E87D17"/>
    <w:rsid w:val="00E87F01"/>
    <w:rsid w:val="00E90099"/>
    <w:rsid w:val="00E9024F"/>
    <w:rsid w:val="00E9039E"/>
    <w:rsid w:val="00E903BA"/>
    <w:rsid w:val="00E9040E"/>
    <w:rsid w:val="00E906BF"/>
    <w:rsid w:val="00E90ADA"/>
    <w:rsid w:val="00E90D59"/>
    <w:rsid w:val="00E91043"/>
    <w:rsid w:val="00E91182"/>
    <w:rsid w:val="00E9118E"/>
    <w:rsid w:val="00E91254"/>
    <w:rsid w:val="00E917CC"/>
    <w:rsid w:val="00E91E21"/>
    <w:rsid w:val="00E91E73"/>
    <w:rsid w:val="00E9208A"/>
    <w:rsid w:val="00E92354"/>
    <w:rsid w:val="00E92628"/>
    <w:rsid w:val="00E92835"/>
    <w:rsid w:val="00E9289B"/>
    <w:rsid w:val="00E92CEE"/>
    <w:rsid w:val="00E92D5B"/>
    <w:rsid w:val="00E92FCC"/>
    <w:rsid w:val="00E9399E"/>
    <w:rsid w:val="00E93A1F"/>
    <w:rsid w:val="00E93A2A"/>
    <w:rsid w:val="00E93ACB"/>
    <w:rsid w:val="00E93E64"/>
    <w:rsid w:val="00E93F44"/>
    <w:rsid w:val="00E93F54"/>
    <w:rsid w:val="00E9415E"/>
    <w:rsid w:val="00E942DA"/>
    <w:rsid w:val="00E943E5"/>
    <w:rsid w:val="00E94438"/>
    <w:rsid w:val="00E948F9"/>
    <w:rsid w:val="00E94B70"/>
    <w:rsid w:val="00E94BFB"/>
    <w:rsid w:val="00E94D08"/>
    <w:rsid w:val="00E94D52"/>
    <w:rsid w:val="00E94FBF"/>
    <w:rsid w:val="00E95121"/>
    <w:rsid w:val="00E95193"/>
    <w:rsid w:val="00E951DC"/>
    <w:rsid w:val="00E95522"/>
    <w:rsid w:val="00E95BAB"/>
    <w:rsid w:val="00E95EDA"/>
    <w:rsid w:val="00E95F90"/>
    <w:rsid w:val="00E9622E"/>
    <w:rsid w:val="00E9628E"/>
    <w:rsid w:val="00E962F3"/>
    <w:rsid w:val="00E963A1"/>
    <w:rsid w:val="00E964C7"/>
    <w:rsid w:val="00E964F4"/>
    <w:rsid w:val="00E96837"/>
    <w:rsid w:val="00E96A88"/>
    <w:rsid w:val="00E96C62"/>
    <w:rsid w:val="00E96DB5"/>
    <w:rsid w:val="00E96DD8"/>
    <w:rsid w:val="00E97088"/>
    <w:rsid w:val="00E971D8"/>
    <w:rsid w:val="00E972D3"/>
    <w:rsid w:val="00E97303"/>
    <w:rsid w:val="00E976EF"/>
    <w:rsid w:val="00E9784A"/>
    <w:rsid w:val="00E97A6B"/>
    <w:rsid w:val="00E97D1D"/>
    <w:rsid w:val="00E97DB6"/>
    <w:rsid w:val="00E97F74"/>
    <w:rsid w:val="00EA027D"/>
    <w:rsid w:val="00EA03FA"/>
    <w:rsid w:val="00EA08F1"/>
    <w:rsid w:val="00EA131C"/>
    <w:rsid w:val="00EA142B"/>
    <w:rsid w:val="00EA1476"/>
    <w:rsid w:val="00EA1D06"/>
    <w:rsid w:val="00EA1F03"/>
    <w:rsid w:val="00EA21FB"/>
    <w:rsid w:val="00EA2407"/>
    <w:rsid w:val="00EA2483"/>
    <w:rsid w:val="00EA24DC"/>
    <w:rsid w:val="00EA2717"/>
    <w:rsid w:val="00EA27DB"/>
    <w:rsid w:val="00EA2846"/>
    <w:rsid w:val="00EA28F1"/>
    <w:rsid w:val="00EA2A3B"/>
    <w:rsid w:val="00EA2E73"/>
    <w:rsid w:val="00EA30F3"/>
    <w:rsid w:val="00EA31B5"/>
    <w:rsid w:val="00EA31FA"/>
    <w:rsid w:val="00EA3288"/>
    <w:rsid w:val="00EA356E"/>
    <w:rsid w:val="00EA3774"/>
    <w:rsid w:val="00EA394F"/>
    <w:rsid w:val="00EA39AA"/>
    <w:rsid w:val="00EA3BA7"/>
    <w:rsid w:val="00EA3D79"/>
    <w:rsid w:val="00EA3E4A"/>
    <w:rsid w:val="00EA43AB"/>
    <w:rsid w:val="00EA4500"/>
    <w:rsid w:val="00EA4659"/>
    <w:rsid w:val="00EA4814"/>
    <w:rsid w:val="00EA4AD9"/>
    <w:rsid w:val="00EA4C85"/>
    <w:rsid w:val="00EA4D4C"/>
    <w:rsid w:val="00EA4FC2"/>
    <w:rsid w:val="00EA5540"/>
    <w:rsid w:val="00EA580A"/>
    <w:rsid w:val="00EA5A48"/>
    <w:rsid w:val="00EA5A7B"/>
    <w:rsid w:val="00EA5E82"/>
    <w:rsid w:val="00EA638A"/>
    <w:rsid w:val="00EA6419"/>
    <w:rsid w:val="00EA65B5"/>
    <w:rsid w:val="00EA6650"/>
    <w:rsid w:val="00EA684F"/>
    <w:rsid w:val="00EA690C"/>
    <w:rsid w:val="00EA699F"/>
    <w:rsid w:val="00EA6AB2"/>
    <w:rsid w:val="00EA6C51"/>
    <w:rsid w:val="00EA6E0A"/>
    <w:rsid w:val="00EA6E65"/>
    <w:rsid w:val="00EA7004"/>
    <w:rsid w:val="00EA723B"/>
    <w:rsid w:val="00EA745D"/>
    <w:rsid w:val="00EA7599"/>
    <w:rsid w:val="00EA7667"/>
    <w:rsid w:val="00EA76A1"/>
    <w:rsid w:val="00EA7DD1"/>
    <w:rsid w:val="00EA7E27"/>
    <w:rsid w:val="00EA7E64"/>
    <w:rsid w:val="00EA7F5E"/>
    <w:rsid w:val="00EB058E"/>
    <w:rsid w:val="00EB061A"/>
    <w:rsid w:val="00EB0750"/>
    <w:rsid w:val="00EB09CA"/>
    <w:rsid w:val="00EB09F4"/>
    <w:rsid w:val="00EB0B1D"/>
    <w:rsid w:val="00EB0C80"/>
    <w:rsid w:val="00EB0F1E"/>
    <w:rsid w:val="00EB10F9"/>
    <w:rsid w:val="00EB114C"/>
    <w:rsid w:val="00EB1320"/>
    <w:rsid w:val="00EB156F"/>
    <w:rsid w:val="00EB15C5"/>
    <w:rsid w:val="00EB16F5"/>
    <w:rsid w:val="00EB185E"/>
    <w:rsid w:val="00EB1910"/>
    <w:rsid w:val="00EB1AD9"/>
    <w:rsid w:val="00EB1B0A"/>
    <w:rsid w:val="00EB1B2C"/>
    <w:rsid w:val="00EB1C5B"/>
    <w:rsid w:val="00EB230F"/>
    <w:rsid w:val="00EB256E"/>
    <w:rsid w:val="00EB2637"/>
    <w:rsid w:val="00EB2890"/>
    <w:rsid w:val="00EB28E2"/>
    <w:rsid w:val="00EB29A1"/>
    <w:rsid w:val="00EB2A4C"/>
    <w:rsid w:val="00EB2C5C"/>
    <w:rsid w:val="00EB2F37"/>
    <w:rsid w:val="00EB2F77"/>
    <w:rsid w:val="00EB3172"/>
    <w:rsid w:val="00EB317B"/>
    <w:rsid w:val="00EB33F6"/>
    <w:rsid w:val="00EB3553"/>
    <w:rsid w:val="00EB356A"/>
    <w:rsid w:val="00EB3B2E"/>
    <w:rsid w:val="00EB3D20"/>
    <w:rsid w:val="00EB4227"/>
    <w:rsid w:val="00EB42C2"/>
    <w:rsid w:val="00EB42F6"/>
    <w:rsid w:val="00EB43AC"/>
    <w:rsid w:val="00EB444A"/>
    <w:rsid w:val="00EB4469"/>
    <w:rsid w:val="00EB45E0"/>
    <w:rsid w:val="00EB475A"/>
    <w:rsid w:val="00EB4A6A"/>
    <w:rsid w:val="00EB4CB1"/>
    <w:rsid w:val="00EB50DA"/>
    <w:rsid w:val="00EB529C"/>
    <w:rsid w:val="00EB52BA"/>
    <w:rsid w:val="00EB566F"/>
    <w:rsid w:val="00EB56CA"/>
    <w:rsid w:val="00EB5833"/>
    <w:rsid w:val="00EB5C81"/>
    <w:rsid w:val="00EB5DB4"/>
    <w:rsid w:val="00EB5E63"/>
    <w:rsid w:val="00EB6131"/>
    <w:rsid w:val="00EB617D"/>
    <w:rsid w:val="00EB641F"/>
    <w:rsid w:val="00EB6635"/>
    <w:rsid w:val="00EB663D"/>
    <w:rsid w:val="00EB66A7"/>
    <w:rsid w:val="00EB683A"/>
    <w:rsid w:val="00EB6BF1"/>
    <w:rsid w:val="00EB6D8C"/>
    <w:rsid w:val="00EB6DF5"/>
    <w:rsid w:val="00EB6F56"/>
    <w:rsid w:val="00EB6FA3"/>
    <w:rsid w:val="00EB70A1"/>
    <w:rsid w:val="00EB72CE"/>
    <w:rsid w:val="00EB761E"/>
    <w:rsid w:val="00EB76C2"/>
    <w:rsid w:val="00EB7790"/>
    <w:rsid w:val="00EB7B7A"/>
    <w:rsid w:val="00EB7C3D"/>
    <w:rsid w:val="00EB7C71"/>
    <w:rsid w:val="00EB7CAA"/>
    <w:rsid w:val="00EB7D2A"/>
    <w:rsid w:val="00EB7E11"/>
    <w:rsid w:val="00EC0104"/>
    <w:rsid w:val="00EC020B"/>
    <w:rsid w:val="00EC0378"/>
    <w:rsid w:val="00EC04C7"/>
    <w:rsid w:val="00EC0546"/>
    <w:rsid w:val="00EC0604"/>
    <w:rsid w:val="00EC06F6"/>
    <w:rsid w:val="00EC07D1"/>
    <w:rsid w:val="00EC0842"/>
    <w:rsid w:val="00EC0A9B"/>
    <w:rsid w:val="00EC0DCE"/>
    <w:rsid w:val="00EC0FF3"/>
    <w:rsid w:val="00EC1253"/>
    <w:rsid w:val="00EC16DA"/>
    <w:rsid w:val="00EC177C"/>
    <w:rsid w:val="00EC18D5"/>
    <w:rsid w:val="00EC199D"/>
    <w:rsid w:val="00EC1C9F"/>
    <w:rsid w:val="00EC202C"/>
    <w:rsid w:val="00EC2125"/>
    <w:rsid w:val="00EC2192"/>
    <w:rsid w:val="00EC23F3"/>
    <w:rsid w:val="00EC2653"/>
    <w:rsid w:val="00EC2A33"/>
    <w:rsid w:val="00EC2A7A"/>
    <w:rsid w:val="00EC2CF6"/>
    <w:rsid w:val="00EC2E11"/>
    <w:rsid w:val="00EC2F71"/>
    <w:rsid w:val="00EC304E"/>
    <w:rsid w:val="00EC30A9"/>
    <w:rsid w:val="00EC30CD"/>
    <w:rsid w:val="00EC314D"/>
    <w:rsid w:val="00EC3156"/>
    <w:rsid w:val="00EC31BB"/>
    <w:rsid w:val="00EC34F7"/>
    <w:rsid w:val="00EC368B"/>
    <w:rsid w:val="00EC36D6"/>
    <w:rsid w:val="00EC3733"/>
    <w:rsid w:val="00EC3773"/>
    <w:rsid w:val="00EC37A6"/>
    <w:rsid w:val="00EC3A35"/>
    <w:rsid w:val="00EC3DAB"/>
    <w:rsid w:val="00EC40FE"/>
    <w:rsid w:val="00EC411D"/>
    <w:rsid w:val="00EC41C6"/>
    <w:rsid w:val="00EC41DD"/>
    <w:rsid w:val="00EC42A1"/>
    <w:rsid w:val="00EC4314"/>
    <w:rsid w:val="00EC431B"/>
    <w:rsid w:val="00EC452A"/>
    <w:rsid w:val="00EC4714"/>
    <w:rsid w:val="00EC497C"/>
    <w:rsid w:val="00EC4B07"/>
    <w:rsid w:val="00EC4C5C"/>
    <w:rsid w:val="00EC4EE5"/>
    <w:rsid w:val="00EC5040"/>
    <w:rsid w:val="00EC52B0"/>
    <w:rsid w:val="00EC56EB"/>
    <w:rsid w:val="00EC5805"/>
    <w:rsid w:val="00EC5816"/>
    <w:rsid w:val="00EC585B"/>
    <w:rsid w:val="00EC5900"/>
    <w:rsid w:val="00EC5997"/>
    <w:rsid w:val="00EC5AE1"/>
    <w:rsid w:val="00EC5AFB"/>
    <w:rsid w:val="00EC5B57"/>
    <w:rsid w:val="00EC5D3F"/>
    <w:rsid w:val="00EC5DC7"/>
    <w:rsid w:val="00EC5E46"/>
    <w:rsid w:val="00EC623E"/>
    <w:rsid w:val="00EC6252"/>
    <w:rsid w:val="00EC63EB"/>
    <w:rsid w:val="00EC65C4"/>
    <w:rsid w:val="00EC6B0D"/>
    <w:rsid w:val="00EC6C37"/>
    <w:rsid w:val="00EC6D08"/>
    <w:rsid w:val="00EC6EAC"/>
    <w:rsid w:val="00EC6EDF"/>
    <w:rsid w:val="00EC6F39"/>
    <w:rsid w:val="00EC7246"/>
    <w:rsid w:val="00EC7490"/>
    <w:rsid w:val="00EC753A"/>
    <w:rsid w:val="00EC77DD"/>
    <w:rsid w:val="00EC781A"/>
    <w:rsid w:val="00EC789E"/>
    <w:rsid w:val="00EC7A21"/>
    <w:rsid w:val="00EC7B1E"/>
    <w:rsid w:val="00EC7BA4"/>
    <w:rsid w:val="00EC7EBD"/>
    <w:rsid w:val="00EC7FC6"/>
    <w:rsid w:val="00EC7FC9"/>
    <w:rsid w:val="00ED0062"/>
    <w:rsid w:val="00ED0122"/>
    <w:rsid w:val="00ED01F7"/>
    <w:rsid w:val="00ED02C6"/>
    <w:rsid w:val="00ED07D8"/>
    <w:rsid w:val="00ED0810"/>
    <w:rsid w:val="00ED0836"/>
    <w:rsid w:val="00ED0A26"/>
    <w:rsid w:val="00ED0B3B"/>
    <w:rsid w:val="00ED0C2E"/>
    <w:rsid w:val="00ED0F6D"/>
    <w:rsid w:val="00ED10F5"/>
    <w:rsid w:val="00ED1413"/>
    <w:rsid w:val="00ED15FB"/>
    <w:rsid w:val="00ED16B6"/>
    <w:rsid w:val="00ED1732"/>
    <w:rsid w:val="00ED1AFA"/>
    <w:rsid w:val="00ED1B2B"/>
    <w:rsid w:val="00ED2039"/>
    <w:rsid w:val="00ED260D"/>
    <w:rsid w:val="00ED26A3"/>
    <w:rsid w:val="00ED27D9"/>
    <w:rsid w:val="00ED2A35"/>
    <w:rsid w:val="00ED2E7F"/>
    <w:rsid w:val="00ED2EAA"/>
    <w:rsid w:val="00ED2F6A"/>
    <w:rsid w:val="00ED300C"/>
    <w:rsid w:val="00ED3034"/>
    <w:rsid w:val="00ED334D"/>
    <w:rsid w:val="00ED3455"/>
    <w:rsid w:val="00ED34DD"/>
    <w:rsid w:val="00ED35D0"/>
    <w:rsid w:val="00ED3674"/>
    <w:rsid w:val="00ED368C"/>
    <w:rsid w:val="00ED3947"/>
    <w:rsid w:val="00ED3FEE"/>
    <w:rsid w:val="00ED4271"/>
    <w:rsid w:val="00ED43AB"/>
    <w:rsid w:val="00ED4518"/>
    <w:rsid w:val="00ED470F"/>
    <w:rsid w:val="00ED4734"/>
    <w:rsid w:val="00ED4741"/>
    <w:rsid w:val="00ED494E"/>
    <w:rsid w:val="00ED4A53"/>
    <w:rsid w:val="00ED4AF6"/>
    <w:rsid w:val="00ED4BB5"/>
    <w:rsid w:val="00ED4C36"/>
    <w:rsid w:val="00ED4EF5"/>
    <w:rsid w:val="00ED4FE7"/>
    <w:rsid w:val="00ED5038"/>
    <w:rsid w:val="00ED505A"/>
    <w:rsid w:val="00ED5257"/>
    <w:rsid w:val="00ED54DC"/>
    <w:rsid w:val="00ED56B1"/>
    <w:rsid w:val="00ED58F5"/>
    <w:rsid w:val="00ED5BEC"/>
    <w:rsid w:val="00ED5D3A"/>
    <w:rsid w:val="00ED5F23"/>
    <w:rsid w:val="00ED6181"/>
    <w:rsid w:val="00ED62B0"/>
    <w:rsid w:val="00ED637A"/>
    <w:rsid w:val="00ED66C6"/>
    <w:rsid w:val="00ED6755"/>
    <w:rsid w:val="00ED67D4"/>
    <w:rsid w:val="00ED692A"/>
    <w:rsid w:val="00ED6B76"/>
    <w:rsid w:val="00ED6D42"/>
    <w:rsid w:val="00ED6D7B"/>
    <w:rsid w:val="00ED6F1C"/>
    <w:rsid w:val="00ED7012"/>
    <w:rsid w:val="00ED7030"/>
    <w:rsid w:val="00ED7083"/>
    <w:rsid w:val="00ED7270"/>
    <w:rsid w:val="00ED73FF"/>
    <w:rsid w:val="00ED7474"/>
    <w:rsid w:val="00ED7558"/>
    <w:rsid w:val="00ED75C7"/>
    <w:rsid w:val="00ED787C"/>
    <w:rsid w:val="00ED793E"/>
    <w:rsid w:val="00ED7B72"/>
    <w:rsid w:val="00ED7C8E"/>
    <w:rsid w:val="00ED7E78"/>
    <w:rsid w:val="00EE00A8"/>
    <w:rsid w:val="00EE00E0"/>
    <w:rsid w:val="00EE010E"/>
    <w:rsid w:val="00EE0578"/>
    <w:rsid w:val="00EE0B2F"/>
    <w:rsid w:val="00EE0B8B"/>
    <w:rsid w:val="00EE0E2F"/>
    <w:rsid w:val="00EE0E4B"/>
    <w:rsid w:val="00EE1148"/>
    <w:rsid w:val="00EE135E"/>
    <w:rsid w:val="00EE1450"/>
    <w:rsid w:val="00EE1731"/>
    <w:rsid w:val="00EE177B"/>
    <w:rsid w:val="00EE1AE5"/>
    <w:rsid w:val="00EE1E15"/>
    <w:rsid w:val="00EE1E63"/>
    <w:rsid w:val="00EE2437"/>
    <w:rsid w:val="00EE2494"/>
    <w:rsid w:val="00EE24C9"/>
    <w:rsid w:val="00EE264B"/>
    <w:rsid w:val="00EE2698"/>
    <w:rsid w:val="00EE27A1"/>
    <w:rsid w:val="00EE27CC"/>
    <w:rsid w:val="00EE288D"/>
    <w:rsid w:val="00EE2A9B"/>
    <w:rsid w:val="00EE2CB5"/>
    <w:rsid w:val="00EE2CE0"/>
    <w:rsid w:val="00EE2DF2"/>
    <w:rsid w:val="00EE2E11"/>
    <w:rsid w:val="00EE2F18"/>
    <w:rsid w:val="00EE312A"/>
    <w:rsid w:val="00EE3223"/>
    <w:rsid w:val="00EE324D"/>
    <w:rsid w:val="00EE32B2"/>
    <w:rsid w:val="00EE360B"/>
    <w:rsid w:val="00EE3684"/>
    <w:rsid w:val="00EE37BB"/>
    <w:rsid w:val="00EE37D7"/>
    <w:rsid w:val="00EE3808"/>
    <w:rsid w:val="00EE383C"/>
    <w:rsid w:val="00EE3987"/>
    <w:rsid w:val="00EE3B1C"/>
    <w:rsid w:val="00EE3B6A"/>
    <w:rsid w:val="00EE3B78"/>
    <w:rsid w:val="00EE3D7F"/>
    <w:rsid w:val="00EE3E51"/>
    <w:rsid w:val="00EE3FCD"/>
    <w:rsid w:val="00EE3FCF"/>
    <w:rsid w:val="00EE42D2"/>
    <w:rsid w:val="00EE44A4"/>
    <w:rsid w:val="00EE480C"/>
    <w:rsid w:val="00EE4B1C"/>
    <w:rsid w:val="00EE4DBC"/>
    <w:rsid w:val="00EE4DDA"/>
    <w:rsid w:val="00EE5033"/>
    <w:rsid w:val="00EE504E"/>
    <w:rsid w:val="00EE5065"/>
    <w:rsid w:val="00EE5171"/>
    <w:rsid w:val="00EE533E"/>
    <w:rsid w:val="00EE5418"/>
    <w:rsid w:val="00EE54CC"/>
    <w:rsid w:val="00EE5624"/>
    <w:rsid w:val="00EE562F"/>
    <w:rsid w:val="00EE56A8"/>
    <w:rsid w:val="00EE5790"/>
    <w:rsid w:val="00EE58A2"/>
    <w:rsid w:val="00EE5E80"/>
    <w:rsid w:val="00EE619D"/>
    <w:rsid w:val="00EE61B9"/>
    <w:rsid w:val="00EE65E6"/>
    <w:rsid w:val="00EE663E"/>
    <w:rsid w:val="00EE66A7"/>
    <w:rsid w:val="00EE6868"/>
    <w:rsid w:val="00EE6A3E"/>
    <w:rsid w:val="00EE6A8B"/>
    <w:rsid w:val="00EE6CE2"/>
    <w:rsid w:val="00EE6E71"/>
    <w:rsid w:val="00EE6FDD"/>
    <w:rsid w:val="00EE70A6"/>
    <w:rsid w:val="00EE7391"/>
    <w:rsid w:val="00EE74B5"/>
    <w:rsid w:val="00EE7597"/>
    <w:rsid w:val="00EE77C0"/>
    <w:rsid w:val="00EE7836"/>
    <w:rsid w:val="00EE7867"/>
    <w:rsid w:val="00EE78D5"/>
    <w:rsid w:val="00EE7919"/>
    <w:rsid w:val="00EE7B86"/>
    <w:rsid w:val="00EE7DFF"/>
    <w:rsid w:val="00EE7F0A"/>
    <w:rsid w:val="00EF0266"/>
    <w:rsid w:val="00EF02F2"/>
    <w:rsid w:val="00EF05C9"/>
    <w:rsid w:val="00EF0682"/>
    <w:rsid w:val="00EF0691"/>
    <w:rsid w:val="00EF0814"/>
    <w:rsid w:val="00EF0A91"/>
    <w:rsid w:val="00EF0A9E"/>
    <w:rsid w:val="00EF0CD2"/>
    <w:rsid w:val="00EF0F21"/>
    <w:rsid w:val="00EF1296"/>
    <w:rsid w:val="00EF12F5"/>
    <w:rsid w:val="00EF131F"/>
    <w:rsid w:val="00EF14A1"/>
    <w:rsid w:val="00EF1868"/>
    <w:rsid w:val="00EF1A1A"/>
    <w:rsid w:val="00EF1AE3"/>
    <w:rsid w:val="00EF1B51"/>
    <w:rsid w:val="00EF1B7E"/>
    <w:rsid w:val="00EF1C6D"/>
    <w:rsid w:val="00EF1D35"/>
    <w:rsid w:val="00EF1DB6"/>
    <w:rsid w:val="00EF1E01"/>
    <w:rsid w:val="00EF1F87"/>
    <w:rsid w:val="00EF1F9A"/>
    <w:rsid w:val="00EF1FC4"/>
    <w:rsid w:val="00EF202A"/>
    <w:rsid w:val="00EF2219"/>
    <w:rsid w:val="00EF23B5"/>
    <w:rsid w:val="00EF246D"/>
    <w:rsid w:val="00EF250E"/>
    <w:rsid w:val="00EF2813"/>
    <w:rsid w:val="00EF2BCA"/>
    <w:rsid w:val="00EF2BDE"/>
    <w:rsid w:val="00EF2C4B"/>
    <w:rsid w:val="00EF2F4C"/>
    <w:rsid w:val="00EF306A"/>
    <w:rsid w:val="00EF330A"/>
    <w:rsid w:val="00EF3507"/>
    <w:rsid w:val="00EF355B"/>
    <w:rsid w:val="00EF35DF"/>
    <w:rsid w:val="00EF364C"/>
    <w:rsid w:val="00EF3953"/>
    <w:rsid w:val="00EF3B3A"/>
    <w:rsid w:val="00EF3FA0"/>
    <w:rsid w:val="00EF3FBA"/>
    <w:rsid w:val="00EF402A"/>
    <w:rsid w:val="00EF4207"/>
    <w:rsid w:val="00EF4477"/>
    <w:rsid w:val="00EF4822"/>
    <w:rsid w:val="00EF482B"/>
    <w:rsid w:val="00EF4A70"/>
    <w:rsid w:val="00EF4E08"/>
    <w:rsid w:val="00EF4E1F"/>
    <w:rsid w:val="00EF5041"/>
    <w:rsid w:val="00EF52FA"/>
    <w:rsid w:val="00EF5503"/>
    <w:rsid w:val="00EF5A1D"/>
    <w:rsid w:val="00EF5CBC"/>
    <w:rsid w:val="00EF60F1"/>
    <w:rsid w:val="00EF61CF"/>
    <w:rsid w:val="00EF61DA"/>
    <w:rsid w:val="00EF671C"/>
    <w:rsid w:val="00EF6743"/>
    <w:rsid w:val="00EF6888"/>
    <w:rsid w:val="00EF6991"/>
    <w:rsid w:val="00EF6A1F"/>
    <w:rsid w:val="00EF6B44"/>
    <w:rsid w:val="00EF6CF5"/>
    <w:rsid w:val="00EF6DD5"/>
    <w:rsid w:val="00EF6ECC"/>
    <w:rsid w:val="00EF6F15"/>
    <w:rsid w:val="00EF6F3F"/>
    <w:rsid w:val="00EF700B"/>
    <w:rsid w:val="00EF71C7"/>
    <w:rsid w:val="00EF71F9"/>
    <w:rsid w:val="00EF72B9"/>
    <w:rsid w:val="00EF7519"/>
    <w:rsid w:val="00EF75FD"/>
    <w:rsid w:val="00EF7618"/>
    <w:rsid w:val="00EF7823"/>
    <w:rsid w:val="00EF78A0"/>
    <w:rsid w:val="00EF7C96"/>
    <w:rsid w:val="00EF7DB1"/>
    <w:rsid w:val="00EF7E76"/>
    <w:rsid w:val="00F0001C"/>
    <w:rsid w:val="00F0006A"/>
    <w:rsid w:val="00F00100"/>
    <w:rsid w:val="00F0032B"/>
    <w:rsid w:val="00F003AD"/>
    <w:rsid w:val="00F00656"/>
    <w:rsid w:val="00F007A3"/>
    <w:rsid w:val="00F007DD"/>
    <w:rsid w:val="00F00858"/>
    <w:rsid w:val="00F00CB3"/>
    <w:rsid w:val="00F00D2C"/>
    <w:rsid w:val="00F00DAC"/>
    <w:rsid w:val="00F00F38"/>
    <w:rsid w:val="00F01017"/>
    <w:rsid w:val="00F01194"/>
    <w:rsid w:val="00F012DF"/>
    <w:rsid w:val="00F014D8"/>
    <w:rsid w:val="00F016A7"/>
    <w:rsid w:val="00F01835"/>
    <w:rsid w:val="00F01B03"/>
    <w:rsid w:val="00F01D65"/>
    <w:rsid w:val="00F01E59"/>
    <w:rsid w:val="00F01EAF"/>
    <w:rsid w:val="00F0265C"/>
    <w:rsid w:val="00F0269A"/>
    <w:rsid w:val="00F02801"/>
    <w:rsid w:val="00F028E9"/>
    <w:rsid w:val="00F02C81"/>
    <w:rsid w:val="00F02D55"/>
    <w:rsid w:val="00F02E44"/>
    <w:rsid w:val="00F02EA1"/>
    <w:rsid w:val="00F03012"/>
    <w:rsid w:val="00F030C4"/>
    <w:rsid w:val="00F030EC"/>
    <w:rsid w:val="00F0321D"/>
    <w:rsid w:val="00F0327E"/>
    <w:rsid w:val="00F032EB"/>
    <w:rsid w:val="00F03346"/>
    <w:rsid w:val="00F035B1"/>
    <w:rsid w:val="00F03A41"/>
    <w:rsid w:val="00F03A6E"/>
    <w:rsid w:val="00F03B10"/>
    <w:rsid w:val="00F03CF6"/>
    <w:rsid w:val="00F03D90"/>
    <w:rsid w:val="00F03FEA"/>
    <w:rsid w:val="00F043D4"/>
    <w:rsid w:val="00F045DC"/>
    <w:rsid w:val="00F0482B"/>
    <w:rsid w:val="00F04836"/>
    <w:rsid w:val="00F04B8F"/>
    <w:rsid w:val="00F04BB6"/>
    <w:rsid w:val="00F04F63"/>
    <w:rsid w:val="00F05134"/>
    <w:rsid w:val="00F051D2"/>
    <w:rsid w:val="00F05794"/>
    <w:rsid w:val="00F05CD7"/>
    <w:rsid w:val="00F05E7F"/>
    <w:rsid w:val="00F05F1D"/>
    <w:rsid w:val="00F060F3"/>
    <w:rsid w:val="00F061A1"/>
    <w:rsid w:val="00F0624D"/>
    <w:rsid w:val="00F06396"/>
    <w:rsid w:val="00F0640A"/>
    <w:rsid w:val="00F06485"/>
    <w:rsid w:val="00F066BD"/>
    <w:rsid w:val="00F06872"/>
    <w:rsid w:val="00F068E6"/>
    <w:rsid w:val="00F06BD3"/>
    <w:rsid w:val="00F06D55"/>
    <w:rsid w:val="00F06E3D"/>
    <w:rsid w:val="00F06EF3"/>
    <w:rsid w:val="00F06F18"/>
    <w:rsid w:val="00F0713A"/>
    <w:rsid w:val="00F07239"/>
    <w:rsid w:val="00F0745E"/>
    <w:rsid w:val="00F0757B"/>
    <w:rsid w:val="00F07588"/>
    <w:rsid w:val="00F07A02"/>
    <w:rsid w:val="00F07A2F"/>
    <w:rsid w:val="00F07B86"/>
    <w:rsid w:val="00F07DE1"/>
    <w:rsid w:val="00F10020"/>
    <w:rsid w:val="00F101FA"/>
    <w:rsid w:val="00F10212"/>
    <w:rsid w:val="00F10267"/>
    <w:rsid w:val="00F102CF"/>
    <w:rsid w:val="00F10565"/>
    <w:rsid w:val="00F105FD"/>
    <w:rsid w:val="00F10667"/>
    <w:rsid w:val="00F1067D"/>
    <w:rsid w:val="00F10920"/>
    <w:rsid w:val="00F10972"/>
    <w:rsid w:val="00F109C2"/>
    <w:rsid w:val="00F10BD0"/>
    <w:rsid w:val="00F10C73"/>
    <w:rsid w:val="00F10D29"/>
    <w:rsid w:val="00F10D75"/>
    <w:rsid w:val="00F10E34"/>
    <w:rsid w:val="00F110EE"/>
    <w:rsid w:val="00F112EA"/>
    <w:rsid w:val="00F117BA"/>
    <w:rsid w:val="00F117D8"/>
    <w:rsid w:val="00F118EC"/>
    <w:rsid w:val="00F11941"/>
    <w:rsid w:val="00F11AE5"/>
    <w:rsid w:val="00F11B49"/>
    <w:rsid w:val="00F11CFE"/>
    <w:rsid w:val="00F11D11"/>
    <w:rsid w:val="00F11D1A"/>
    <w:rsid w:val="00F11F75"/>
    <w:rsid w:val="00F121C5"/>
    <w:rsid w:val="00F12259"/>
    <w:rsid w:val="00F122F1"/>
    <w:rsid w:val="00F1244A"/>
    <w:rsid w:val="00F125AE"/>
    <w:rsid w:val="00F126C5"/>
    <w:rsid w:val="00F12AD0"/>
    <w:rsid w:val="00F130B3"/>
    <w:rsid w:val="00F133D0"/>
    <w:rsid w:val="00F13494"/>
    <w:rsid w:val="00F136A0"/>
    <w:rsid w:val="00F137FD"/>
    <w:rsid w:val="00F1381B"/>
    <w:rsid w:val="00F13865"/>
    <w:rsid w:val="00F13CC4"/>
    <w:rsid w:val="00F13EE2"/>
    <w:rsid w:val="00F13EE3"/>
    <w:rsid w:val="00F13F67"/>
    <w:rsid w:val="00F14161"/>
    <w:rsid w:val="00F1416C"/>
    <w:rsid w:val="00F1483E"/>
    <w:rsid w:val="00F14867"/>
    <w:rsid w:val="00F14A69"/>
    <w:rsid w:val="00F14DD4"/>
    <w:rsid w:val="00F14F74"/>
    <w:rsid w:val="00F15217"/>
    <w:rsid w:val="00F1538D"/>
    <w:rsid w:val="00F15514"/>
    <w:rsid w:val="00F15662"/>
    <w:rsid w:val="00F158B2"/>
    <w:rsid w:val="00F15A91"/>
    <w:rsid w:val="00F15CCB"/>
    <w:rsid w:val="00F15F0F"/>
    <w:rsid w:val="00F16328"/>
    <w:rsid w:val="00F1632E"/>
    <w:rsid w:val="00F1639D"/>
    <w:rsid w:val="00F163B3"/>
    <w:rsid w:val="00F165E2"/>
    <w:rsid w:val="00F16AB4"/>
    <w:rsid w:val="00F16BA1"/>
    <w:rsid w:val="00F16DD8"/>
    <w:rsid w:val="00F16E40"/>
    <w:rsid w:val="00F1714C"/>
    <w:rsid w:val="00F17189"/>
    <w:rsid w:val="00F17212"/>
    <w:rsid w:val="00F17360"/>
    <w:rsid w:val="00F175D6"/>
    <w:rsid w:val="00F17775"/>
    <w:rsid w:val="00F1786C"/>
    <w:rsid w:val="00F17CD7"/>
    <w:rsid w:val="00F201CB"/>
    <w:rsid w:val="00F20317"/>
    <w:rsid w:val="00F204D6"/>
    <w:rsid w:val="00F20592"/>
    <w:rsid w:val="00F205A0"/>
    <w:rsid w:val="00F209A6"/>
    <w:rsid w:val="00F20C30"/>
    <w:rsid w:val="00F20C9B"/>
    <w:rsid w:val="00F212A6"/>
    <w:rsid w:val="00F2149E"/>
    <w:rsid w:val="00F21564"/>
    <w:rsid w:val="00F21742"/>
    <w:rsid w:val="00F217A0"/>
    <w:rsid w:val="00F217E7"/>
    <w:rsid w:val="00F21994"/>
    <w:rsid w:val="00F21A8B"/>
    <w:rsid w:val="00F21DC6"/>
    <w:rsid w:val="00F21E9A"/>
    <w:rsid w:val="00F2208E"/>
    <w:rsid w:val="00F220AF"/>
    <w:rsid w:val="00F2214E"/>
    <w:rsid w:val="00F221CA"/>
    <w:rsid w:val="00F223CB"/>
    <w:rsid w:val="00F2241C"/>
    <w:rsid w:val="00F22496"/>
    <w:rsid w:val="00F22563"/>
    <w:rsid w:val="00F225B8"/>
    <w:rsid w:val="00F22864"/>
    <w:rsid w:val="00F22A2B"/>
    <w:rsid w:val="00F22BB2"/>
    <w:rsid w:val="00F22D04"/>
    <w:rsid w:val="00F23034"/>
    <w:rsid w:val="00F23035"/>
    <w:rsid w:val="00F230E9"/>
    <w:rsid w:val="00F2331A"/>
    <w:rsid w:val="00F235B6"/>
    <w:rsid w:val="00F23894"/>
    <w:rsid w:val="00F239F2"/>
    <w:rsid w:val="00F23A23"/>
    <w:rsid w:val="00F23B35"/>
    <w:rsid w:val="00F23BCE"/>
    <w:rsid w:val="00F23DE3"/>
    <w:rsid w:val="00F241BB"/>
    <w:rsid w:val="00F2423F"/>
    <w:rsid w:val="00F244CC"/>
    <w:rsid w:val="00F24BC9"/>
    <w:rsid w:val="00F24C33"/>
    <w:rsid w:val="00F24C76"/>
    <w:rsid w:val="00F24CD8"/>
    <w:rsid w:val="00F2514D"/>
    <w:rsid w:val="00F25218"/>
    <w:rsid w:val="00F2539D"/>
    <w:rsid w:val="00F25713"/>
    <w:rsid w:val="00F25782"/>
    <w:rsid w:val="00F25800"/>
    <w:rsid w:val="00F25896"/>
    <w:rsid w:val="00F25C04"/>
    <w:rsid w:val="00F25C5A"/>
    <w:rsid w:val="00F25C76"/>
    <w:rsid w:val="00F26476"/>
    <w:rsid w:val="00F26538"/>
    <w:rsid w:val="00F26850"/>
    <w:rsid w:val="00F26A30"/>
    <w:rsid w:val="00F26B75"/>
    <w:rsid w:val="00F26B9D"/>
    <w:rsid w:val="00F26C4B"/>
    <w:rsid w:val="00F26C8E"/>
    <w:rsid w:val="00F26DD8"/>
    <w:rsid w:val="00F26E76"/>
    <w:rsid w:val="00F27189"/>
    <w:rsid w:val="00F2740D"/>
    <w:rsid w:val="00F27665"/>
    <w:rsid w:val="00F27740"/>
    <w:rsid w:val="00F27909"/>
    <w:rsid w:val="00F27E2C"/>
    <w:rsid w:val="00F30138"/>
    <w:rsid w:val="00F307EE"/>
    <w:rsid w:val="00F30979"/>
    <w:rsid w:val="00F30A49"/>
    <w:rsid w:val="00F30B62"/>
    <w:rsid w:val="00F30EBB"/>
    <w:rsid w:val="00F30F5A"/>
    <w:rsid w:val="00F31004"/>
    <w:rsid w:val="00F313CE"/>
    <w:rsid w:val="00F313EE"/>
    <w:rsid w:val="00F3164D"/>
    <w:rsid w:val="00F31753"/>
    <w:rsid w:val="00F31789"/>
    <w:rsid w:val="00F31BF8"/>
    <w:rsid w:val="00F31DC5"/>
    <w:rsid w:val="00F31F20"/>
    <w:rsid w:val="00F321EF"/>
    <w:rsid w:val="00F3244A"/>
    <w:rsid w:val="00F324FE"/>
    <w:rsid w:val="00F32601"/>
    <w:rsid w:val="00F32938"/>
    <w:rsid w:val="00F32A67"/>
    <w:rsid w:val="00F32BB4"/>
    <w:rsid w:val="00F32D21"/>
    <w:rsid w:val="00F32DC6"/>
    <w:rsid w:val="00F330ED"/>
    <w:rsid w:val="00F331C9"/>
    <w:rsid w:val="00F33255"/>
    <w:rsid w:val="00F33C55"/>
    <w:rsid w:val="00F33CCB"/>
    <w:rsid w:val="00F33DF0"/>
    <w:rsid w:val="00F33F2A"/>
    <w:rsid w:val="00F341E9"/>
    <w:rsid w:val="00F34353"/>
    <w:rsid w:val="00F3443B"/>
    <w:rsid w:val="00F34492"/>
    <w:rsid w:val="00F34F05"/>
    <w:rsid w:val="00F35172"/>
    <w:rsid w:val="00F3517C"/>
    <w:rsid w:val="00F357D9"/>
    <w:rsid w:val="00F35D6E"/>
    <w:rsid w:val="00F35E23"/>
    <w:rsid w:val="00F360E8"/>
    <w:rsid w:val="00F361A2"/>
    <w:rsid w:val="00F362DC"/>
    <w:rsid w:val="00F36562"/>
    <w:rsid w:val="00F3667A"/>
    <w:rsid w:val="00F366A8"/>
    <w:rsid w:val="00F36856"/>
    <w:rsid w:val="00F36BEB"/>
    <w:rsid w:val="00F36D35"/>
    <w:rsid w:val="00F36E29"/>
    <w:rsid w:val="00F36F64"/>
    <w:rsid w:val="00F36F73"/>
    <w:rsid w:val="00F3703E"/>
    <w:rsid w:val="00F371F2"/>
    <w:rsid w:val="00F3747C"/>
    <w:rsid w:val="00F37873"/>
    <w:rsid w:val="00F37A3C"/>
    <w:rsid w:val="00F37BC5"/>
    <w:rsid w:val="00F40009"/>
    <w:rsid w:val="00F40043"/>
    <w:rsid w:val="00F400F9"/>
    <w:rsid w:val="00F40108"/>
    <w:rsid w:val="00F40148"/>
    <w:rsid w:val="00F4014F"/>
    <w:rsid w:val="00F40229"/>
    <w:rsid w:val="00F40833"/>
    <w:rsid w:val="00F40A82"/>
    <w:rsid w:val="00F40F9A"/>
    <w:rsid w:val="00F414B3"/>
    <w:rsid w:val="00F415FA"/>
    <w:rsid w:val="00F4194D"/>
    <w:rsid w:val="00F419A3"/>
    <w:rsid w:val="00F41A21"/>
    <w:rsid w:val="00F41D28"/>
    <w:rsid w:val="00F41DD5"/>
    <w:rsid w:val="00F420F3"/>
    <w:rsid w:val="00F42137"/>
    <w:rsid w:val="00F42255"/>
    <w:rsid w:val="00F42313"/>
    <w:rsid w:val="00F4238C"/>
    <w:rsid w:val="00F423F8"/>
    <w:rsid w:val="00F42406"/>
    <w:rsid w:val="00F4262C"/>
    <w:rsid w:val="00F426B9"/>
    <w:rsid w:val="00F4288B"/>
    <w:rsid w:val="00F42941"/>
    <w:rsid w:val="00F4294B"/>
    <w:rsid w:val="00F42EF0"/>
    <w:rsid w:val="00F43684"/>
    <w:rsid w:val="00F437F8"/>
    <w:rsid w:val="00F43BDC"/>
    <w:rsid w:val="00F43C85"/>
    <w:rsid w:val="00F43EDC"/>
    <w:rsid w:val="00F4431F"/>
    <w:rsid w:val="00F44490"/>
    <w:rsid w:val="00F44843"/>
    <w:rsid w:val="00F449EE"/>
    <w:rsid w:val="00F44C93"/>
    <w:rsid w:val="00F44D97"/>
    <w:rsid w:val="00F450C3"/>
    <w:rsid w:val="00F45292"/>
    <w:rsid w:val="00F45359"/>
    <w:rsid w:val="00F45689"/>
    <w:rsid w:val="00F45723"/>
    <w:rsid w:val="00F45A2A"/>
    <w:rsid w:val="00F45B51"/>
    <w:rsid w:val="00F45E0C"/>
    <w:rsid w:val="00F45E1A"/>
    <w:rsid w:val="00F45FC0"/>
    <w:rsid w:val="00F460CB"/>
    <w:rsid w:val="00F462DF"/>
    <w:rsid w:val="00F46399"/>
    <w:rsid w:val="00F46452"/>
    <w:rsid w:val="00F46458"/>
    <w:rsid w:val="00F464FB"/>
    <w:rsid w:val="00F46569"/>
    <w:rsid w:val="00F46786"/>
    <w:rsid w:val="00F46795"/>
    <w:rsid w:val="00F4687F"/>
    <w:rsid w:val="00F468C7"/>
    <w:rsid w:val="00F46902"/>
    <w:rsid w:val="00F4691B"/>
    <w:rsid w:val="00F46CB2"/>
    <w:rsid w:val="00F46E87"/>
    <w:rsid w:val="00F46F21"/>
    <w:rsid w:val="00F47133"/>
    <w:rsid w:val="00F47282"/>
    <w:rsid w:val="00F472B6"/>
    <w:rsid w:val="00F475CA"/>
    <w:rsid w:val="00F4763B"/>
    <w:rsid w:val="00F47686"/>
    <w:rsid w:val="00F4776C"/>
    <w:rsid w:val="00F47889"/>
    <w:rsid w:val="00F47971"/>
    <w:rsid w:val="00F47A1B"/>
    <w:rsid w:val="00F50491"/>
    <w:rsid w:val="00F50550"/>
    <w:rsid w:val="00F5074D"/>
    <w:rsid w:val="00F507E9"/>
    <w:rsid w:val="00F50862"/>
    <w:rsid w:val="00F50A0C"/>
    <w:rsid w:val="00F50A79"/>
    <w:rsid w:val="00F50B77"/>
    <w:rsid w:val="00F50E3E"/>
    <w:rsid w:val="00F50E82"/>
    <w:rsid w:val="00F50EB4"/>
    <w:rsid w:val="00F50F3C"/>
    <w:rsid w:val="00F50F6A"/>
    <w:rsid w:val="00F50FAC"/>
    <w:rsid w:val="00F51192"/>
    <w:rsid w:val="00F514B8"/>
    <w:rsid w:val="00F514BF"/>
    <w:rsid w:val="00F51515"/>
    <w:rsid w:val="00F5163C"/>
    <w:rsid w:val="00F51669"/>
    <w:rsid w:val="00F519D8"/>
    <w:rsid w:val="00F51A27"/>
    <w:rsid w:val="00F51AF5"/>
    <w:rsid w:val="00F51C31"/>
    <w:rsid w:val="00F51D40"/>
    <w:rsid w:val="00F51DF6"/>
    <w:rsid w:val="00F51EBC"/>
    <w:rsid w:val="00F51F6B"/>
    <w:rsid w:val="00F5224E"/>
    <w:rsid w:val="00F523C2"/>
    <w:rsid w:val="00F52482"/>
    <w:rsid w:val="00F526F9"/>
    <w:rsid w:val="00F5274F"/>
    <w:rsid w:val="00F52A7F"/>
    <w:rsid w:val="00F52B8E"/>
    <w:rsid w:val="00F53013"/>
    <w:rsid w:val="00F5355F"/>
    <w:rsid w:val="00F535DF"/>
    <w:rsid w:val="00F53619"/>
    <w:rsid w:val="00F53759"/>
    <w:rsid w:val="00F5391B"/>
    <w:rsid w:val="00F53B84"/>
    <w:rsid w:val="00F53BB7"/>
    <w:rsid w:val="00F53DD7"/>
    <w:rsid w:val="00F53E36"/>
    <w:rsid w:val="00F53E66"/>
    <w:rsid w:val="00F54206"/>
    <w:rsid w:val="00F543D9"/>
    <w:rsid w:val="00F54440"/>
    <w:rsid w:val="00F545A4"/>
    <w:rsid w:val="00F5472D"/>
    <w:rsid w:val="00F54B77"/>
    <w:rsid w:val="00F54C92"/>
    <w:rsid w:val="00F54E71"/>
    <w:rsid w:val="00F54F97"/>
    <w:rsid w:val="00F55228"/>
    <w:rsid w:val="00F55284"/>
    <w:rsid w:val="00F556A7"/>
    <w:rsid w:val="00F557A2"/>
    <w:rsid w:val="00F55D83"/>
    <w:rsid w:val="00F55D8A"/>
    <w:rsid w:val="00F55F2C"/>
    <w:rsid w:val="00F560B4"/>
    <w:rsid w:val="00F56119"/>
    <w:rsid w:val="00F563B2"/>
    <w:rsid w:val="00F5681F"/>
    <w:rsid w:val="00F56833"/>
    <w:rsid w:val="00F569B3"/>
    <w:rsid w:val="00F56CC6"/>
    <w:rsid w:val="00F56D92"/>
    <w:rsid w:val="00F56DB6"/>
    <w:rsid w:val="00F56F49"/>
    <w:rsid w:val="00F57011"/>
    <w:rsid w:val="00F57265"/>
    <w:rsid w:val="00F572BD"/>
    <w:rsid w:val="00F572D8"/>
    <w:rsid w:val="00F57378"/>
    <w:rsid w:val="00F573BB"/>
    <w:rsid w:val="00F573F8"/>
    <w:rsid w:val="00F57971"/>
    <w:rsid w:val="00F579DB"/>
    <w:rsid w:val="00F579E5"/>
    <w:rsid w:val="00F57A79"/>
    <w:rsid w:val="00F57AFC"/>
    <w:rsid w:val="00F57D55"/>
    <w:rsid w:val="00F57D7A"/>
    <w:rsid w:val="00F57E3C"/>
    <w:rsid w:val="00F57FD7"/>
    <w:rsid w:val="00F57FF6"/>
    <w:rsid w:val="00F60206"/>
    <w:rsid w:val="00F6022D"/>
    <w:rsid w:val="00F60379"/>
    <w:rsid w:val="00F6094B"/>
    <w:rsid w:val="00F60B90"/>
    <w:rsid w:val="00F60BC6"/>
    <w:rsid w:val="00F60F52"/>
    <w:rsid w:val="00F61555"/>
    <w:rsid w:val="00F61618"/>
    <w:rsid w:val="00F616B2"/>
    <w:rsid w:val="00F616DA"/>
    <w:rsid w:val="00F6179F"/>
    <w:rsid w:val="00F61832"/>
    <w:rsid w:val="00F61A06"/>
    <w:rsid w:val="00F61BA1"/>
    <w:rsid w:val="00F61EA0"/>
    <w:rsid w:val="00F61EA5"/>
    <w:rsid w:val="00F62204"/>
    <w:rsid w:val="00F622CF"/>
    <w:rsid w:val="00F6253A"/>
    <w:rsid w:val="00F625D8"/>
    <w:rsid w:val="00F62EB8"/>
    <w:rsid w:val="00F631F7"/>
    <w:rsid w:val="00F63245"/>
    <w:rsid w:val="00F63247"/>
    <w:rsid w:val="00F6332C"/>
    <w:rsid w:val="00F63378"/>
    <w:rsid w:val="00F63487"/>
    <w:rsid w:val="00F6352E"/>
    <w:rsid w:val="00F636A9"/>
    <w:rsid w:val="00F6373F"/>
    <w:rsid w:val="00F638ED"/>
    <w:rsid w:val="00F63D1D"/>
    <w:rsid w:val="00F63F07"/>
    <w:rsid w:val="00F63F4E"/>
    <w:rsid w:val="00F63F80"/>
    <w:rsid w:val="00F64401"/>
    <w:rsid w:val="00F6492C"/>
    <w:rsid w:val="00F64CAC"/>
    <w:rsid w:val="00F64FFF"/>
    <w:rsid w:val="00F6517A"/>
    <w:rsid w:val="00F65412"/>
    <w:rsid w:val="00F659DD"/>
    <w:rsid w:val="00F65AEA"/>
    <w:rsid w:val="00F65C3E"/>
    <w:rsid w:val="00F65D70"/>
    <w:rsid w:val="00F65F4B"/>
    <w:rsid w:val="00F65F67"/>
    <w:rsid w:val="00F6607C"/>
    <w:rsid w:val="00F660A6"/>
    <w:rsid w:val="00F661C2"/>
    <w:rsid w:val="00F66276"/>
    <w:rsid w:val="00F662C3"/>
    <w:rsid w:val="00F663C1"/>
    <w:rsid w:val="00F663E1"/>
    <w:rsid w:val="00F66498"/>
    <w:rsid w:val="00F66681"/>
    <w:rsid w:val="00F6669A"/>
    <w:rsid w:val="00F66A3E"/>
    <w:rsid w:val="00F67035"/>
    <w:rsid w:val="00F67439"/>
    <w:rsid w:val="00F676E0"/>
    <w:rsid w:val="00F676EF"/>
    <w:rsid w:val="00F67A54"/>
    <w:rsid w:val="00F67C02"/>
    <w:rsid w:val="00F67C1E"/>
    <w:rsid w:val="00F67F83"/>
    <w:rsid w:val="00F7004C"/>
    <w:rsid w:val="00F701C2"/>
    <w:rsid w:val="00F702E3"/>
    <w:rsid w:val="00F707B2"/>
    <w:rsid w:val="00F7084B"/>
    <w:rsid w:val="00F708A7"/>
    <w:rsid w:val="00F70CC1"/>
    <w:rsid w:val="00F7107C"/>
    <w:rsid w:val="00F711D5"/>
    <w:rsid w:val="00F716CE"/>
    <w:rsid w:val="00F71A50"/>
    <w:rsid w:val="00F71E1C"/>
    <w:rsid w:val="00F71ECB"/>
    <w:rsid w:val="00F72062"/>
    <w:rsid w:val="00F721FA"/>
    <w:rsid w:val="00F723B1"/>
    <w:rsid w:val="00F72520"/>
    <w:rsid w:val="00F72627"/>
    <w:rsid w:val="00F72859"/>
    <w:rsid w:val="00F72871"/>
    <w:rsid w:val="00F72F37"/>
    <w:rsid w:val="00F72F77"/>
    <w:rsid w:val="00F731B1"/>
    <w:rsid w:val="00F73501"/>
    <w:rsid w:val="00F73553"/>
    <w:rsid w:val="00F73558"/>
    <w:rsid w:val="00F73593"/>
    <w:rsid w:val="00F73902"/>
    <w:rsid w:val="00F73A69"/>
    <w:rsid w:val="00F73AD6"/>
    <w:rsid w:val="00F7420A"/>
    <w:rsid w:val="00F742BE"/>
    <w:rsid w:val="00F742FD"/>
    <w:rsid w:val="00F7453A"/>
    <w:rsid w:val="00F745F7"/>
    <w:rsid w:val="00F74603"/>
    <w:rsid w:val="00F74633"/>
    <w:rsid w:val="00F7488E"/>
    <w:rsid w:val="00F74B07"/>
    <w:rsid w:val="00F74B39"/>
    <w:rsid w:val="00F74B56"/>
    <w:rsid w:val="00F74C1F"/>
    <w:rsid w:val="00F74EDE"/>
    <w:rsid w:val="00F751CF"/>
    <w:rsid w:val="00F75363"/>
    <w:rsid w:val="00F753A5"/>
    <w:rsid w:val="00F755B2"/>
    <w:rsid w:val="00F75B56"/>
    <w:rsid w:val="00F75C02"/>
    <w:rsid w:val="00F75D55"/>
    <w:rsid w:val="00F75D96"/>
    <w:rsid w:val="00F75DE9"/>
    <w:rsid w:val="00F75F96"/>
    <w:rsid w:val="00F7602C"/>
    <w:rsid w:val="00F76216"/>
    <w:rsid w:val="00F7649A"/>
    <w:rsid w:val="00F768BF"/>
    <w:rsid w:val="00F768F2"/>
    <w:rsid w:val="00F76927"/>
    <w:rsid w:val="00F76DA3"/>
    <w:rsid w:val="00F76DBF"/>
    <w:rsid w:val="00F77065"/>
    <w:rsid w:val="00F77076"/>
    <w:rsid w:val="00F7724C"/>
    <w:rsid w:val="00F772E3"/>
    <w:rsid w:val="00F77500"/>
    <w:rsid w:val="00F77520"/>
    <w:rsid w:val="00F775E5"/>
    <w:rsid w:val="00F77958"/>
    <w:rsid w:val="00F77B57"/>
    <w:rsid w:val="00F77D9C"/>
    <w:rsid w:val="00F77FF2"/>
    <w:rsid w:val="00F80061"/>
    <w:rsid w:val="00F80070"/>
    <w:rsid w:val="00F8027D"/>
    <w:rsid w:val="00F80667"/>
    <w:rsid w:val="00F80771"/>
    <w:rsid w:val="00F80CEB"/>
    <w:rsid w:val="00F80E27"/>
    <w:rsid w:val="00F80FFE"/>
    <w:rsid w:val="00F81114"/>
    <w:rsid w:val="00F8131E"/>
    <w:rsid w:val="00F81382"/>
    <w:rsid w:val="00F813EF"/>
    <w:rsid w:val="00F814B1"/>
    <w:rsid w:val="00F81740"/>
    <w:rsid w:val="00F81910"/>
    <w:rsid w:val="00F81945"/>
    <w:rsid w:val="00F81D8F"/>
    <w:rsid w:val="00F81E5A"/>
    <w:rsid w:val="00F81F11"/>
    <w:rsid w:val="00F82045"/>
    <w:rsid w:val="00F8209F"/>
    <w:rsid w:val="00F822AA"/>
    <w:rsid w:val="00F822F1"/>
    <w:rsid w:val="00F823F5"/>
    <w:rsid w:val="00F824D5"/>
    <w:rsid w:val="00F82585"/>
    <w:rsid w:val="00F8278E"/>
    <w:rsid w:val="00F82818"/>
    <w:rsid w:val="00F82931"/>
    <w:rsid w:val="00F82A86"/>
    <w:rsid w:val="00F82E45"/>
    <w:rsid w:val="00F82EA2"/>
    <w:rsid w:val="00F8324E"/>
    <w:rsid w:val="00F83487"/>
    <w:rsid w:val="00F83489"/>
    <w:rsid w:val="00F83609"/>
    <w:rsid w:val="00F839F3"/>
    <w:rsid w:val="00F83B44"/>
    <w:rsid w:val="00F83BB2"/>
    <w:rsid w:val="00F83D8D"/>
    <w:rsid w:val="00F8407D"/>
    <w:rsid w:val="00F8412A"/>
    <w:rsid w:val="00F84135"/>
    <w:rsid w:val="00F8441E"/>
    <w:rsid w:val="00F84541"/>
    <w:rsid w:val="00F84584"/>
    <w:rsid w:val="00F84B0D"/>
    <w:rsid w:val="00F84BF7"/>
    <w:rsid w:val="00F84C02"/>
    <w:rsid w:val="00F84CC5"/>
    <w:rsid w:val="00F85083"/>
    <w:rsid w:val="00F85294"/>
    <w:rsid w:val="00F85412"/>
    <w:rsid w:val="00F856F7"/>
    <w:rsid w:val="00F85722"/>
    <w:rsid w:val="00F85801"/>
    <w:rsid w:val="00F85B29"/>
    <w:rsid w:val="00F85F20"/>
    <w:rsid w:val="00F85F6C"/>
    <w:rsid w:val="00F861BA"/>
    <w:rsid w:val="00F8642E"/>
    <w:rsid w:val="00F86450"/>
    <w:rsid w:val="00F86682"/>
    <w:rsid w:val="00F86A28"/>
    <w:rsid w:val="00F86A69"/>
    <w:rsid w:val="00F86BF9"/>
    <w:rsid w:val="00F86D68"/>
    <w:rsid w:val="00F86E0E"/>
    <w:rsid w:val="00F86FCC"/>
    <w:rsid w:val="00F87001"/>
    <w:rsid w:val="00F870C5"/>
    <w:rsid w:val="00F87554"/>
    <w:rsid w:val="00F879B2"/>
    <w:rsid w:val="00F87A2E"/>
    <w:rsid w:val="00F87E0C"/>
    <w:rsid w:val="00F90030"/>
    <w:rsid w:val="00F90032"/>
    <w:rsid w:val="00F90051"/>
    <w:rsid w:val="00F901BF"/>
    <w:rsid w:val="00F9022C"/>
    <w:rsid w:val="00F9050B"/>
    <w:rsid w:val="00F90554"/>
    <w:rsid w:val="00F90651"/>
    <w:rsid w:val="00F9075F"/>
    <w:rsid w:val="00F907CA"/>
    <w:rsid w:val="00F90A2F"/>
    <w:rsid w:val="00F90AC8"/>
    <w:rsid w:val="00F90B14"/>
    <w:rsid w:val="00F90B5E"/>
    <w:rsid w:val="00F90C2A"/>
    <w:rsid w:val="00F91197"/>
    <w:rsid w:val="00F9143D"/>
    <w:rsid w:val="00F9160F"/>
    <w:rsid w:val="00F91AB9"/>
    <w:rsid w:val="00F91B08"/>
    <w:rsid w:val="00F91D17"/>
    <w:rsid w:val="00F91EB0"/>
    <w:rsid w:val="00F91F1F"/>
    <w:rsid w:val="00F92252"/>
    <w:rsid w:val="00F92653"/>
    <w:rsid w:val="00F9272C"/>
    <w:rsid w:val="00F92A18"/>
    <w:rsid w:val="00F931B0"/>
    <w:rsid w:val="00F9345F"/>
    <w:rsid w:val="00F934CC"/>
    <w:rsid w:val="00F9393C"/>
    <w:rsid w:val="00F939D1"/>
    <w:rsid w:val="00F93AD3"/>
    <w:rsid w:val="00F93ADE"/>
    <w:rsid w:val="00F93CB1"/>
    <w:rsid w:val="00F93CB3"/>
    <w:rsid w:val="00F93D58"/>
    <w:rsid w:val="00F93F10"/>
    <w:rsid w:val="00F9400C"/>
    <w:rsid w:val="00F9401C"/>
    <w:rsid w:val="00F947EC"/>
    <w:rsid w:val="00F94A5F"/>
    <w:rsid w:val="00F94B82"/>
    <w:rsid w:val="00F94C5F"/>
    <w:rsid w:val="00F94E31"/>
    <w:rsid w:val="00F94E3B"/>
    <w:rsid w:val="00F94E69"/>
    <w:rsid w:val="00F94EEE"/>
    <w:rsid w:val="00F94F3F"/>
    <w:rsid w:val="00F95144"/>
    <w:rsid w:val="00F95212"/>
    <w:rsid w:val="00F95223"/>
    <w:rsid w:val="00F9522D"/>
    <w:rsid w:val="00F952FA"/>
    <w:rsid w:val="00F95375"/>
    <w:rsid w:val="00F953B8"/>
    <w:rsid w:val="00F95830"/>
    <w:rsid w:val="00F9596C"/>
    <w:rsid w:val="00F95A46"/>
    <w:rsid w:val="00F95AC0"/>
    <w:rsid w:val="00F95FD5"/>
    <w:rsid w:val="00F96259"/>
    <w:rsid w:val="00F963CC"/>
    <w:rsid w:val="00F965E8"/>
    <w:rsid w:val="00F96628"/>
    <w:rsid w:val="00F9691A"/>
    <w:rsid w:val="00F96BAE"/>
    <w:rsid w:val="00F96D23"/>
    <w:rsid w:val="00F96D35"/>
    <w:rsid w:val="00F96DAF"/>
    <w:rsid w:val="00F96DF4"/>
    <w:rsid w:val="00F96E3F"/>
    <w:rsid w:val="00F96E4E"/>
    <w:rsid w:val="00F97631"/>
    <w:rsid w:val="00F976B1"/>
    <w:rsid w:val="00F976B3"/>
    <w:rsid w:val="00F978F5"/>
    <w:rsid w:val="00F97B2E"/>
    <w:rsid w:val="00F97CB6"/>
    <w:rsid w:val="00F97F23"/>
    <w:rsid w:val="00FA001D"/>
    <w:rsid w:val="00FA01B9"/>
    <w:rsid w:val="00FA0263"/>
    <w:rsid w:val="00FA02F3"/>
    <w:rsid w:val="00FA04D3"/>
    <w:rsid w:val="00FA055B"/>
    <w:rsid w:val="00FA0834"/>
    <w:rsid w:val="00FA0870"/>
    <w:rsid w:val="00FA0893"/>
    <w:rsid w:val="00FA0903"/>
    <w:rsid w:val="00FA09EF"/>
    <w:rsid w:val="00FA0B46"/>
    <w:rsid w:val="00FA0E23"/>
    <w:rsid w:val="00FA10F7"/>
    <w:rsid w:val="00FA124F"/>
    <w:rsid w:val="00FA1751"/>
    <w:rsid w:val="00FA1B03"/>
    <w:rsid w:val="00FA1D2A"/>
    <w:rsid w:val="00FA1E6A"/>
    <w:rsid w:val="00FA2148"/>
    <w:rsid w:val="00FA21D5"/>
    <w:rsid w:val="00FA23EE"/>
    <w:rsid w:val="00FA28ED"/>
    <w:rsid w:val="00FA2B28"/>
    <w:rsid w:val="00FA2C03"/>
    <w:rsid w:val="00FA309B"/>
    <w:rsid w:val="00FA30A5"/>
    <w:rsid w:val="00FA323C"/>
    <w:rsid w:val="00FA3291"/>
    <w:rsid w:val="00FA3899"/>
    <w:rsid w:val="00FA3B40"/>
    <w:rsid w:val="00FA3BEA"/>
    <w:rsid w:val="00FA3D83"/>
    <w:rsid w:val="00FA402A"/>
    <w:rsid w:val="00FA40F3"/>
    <w:rsid w:val="00FA4350"/>
    <w:rsid w:val="00FA46AF"/>
    <w:rsid w:val="00FA4803"/>
    <w:rsid w:val="00FA4880"/>
    <w:rsid w:val="00FA4991"/>
    <w:rsid w:val="00FA49E4"/>
    <w:rsid w:val="00FA4BB6"/>
    <w:rsid w:val="00FA4F98"/>
    <w:rsid w:val="00FA528F"/>
    <w:rsid w:val="00FA531F"/>
    <w:rsid w:val="00FA53E6"/>
    <w:rsid w:val="00FA555E"/>
    <w:rsid w:val="00FA5810"/>
    <w:rsid w:val="00FA5883"/>
    <w:rsid w:val="00FA58EB"/>
    <w:rsid w:val="00FA5C7A"/>
    <w:rsid w:val="00FA5DB5"/>
    <w:rsid w:val="00FA5E65"/>
    <w:rsid w:val="00FA5EF8"/>
    <w:rsid w:val="00FA5EFD"/>
    <w:rsid w:val="00FA5F86"/>
    <w:rsid w:val="00FA6035"/>
    <w:rsid w:val="00FA6069"/>
    <w:rsid w:val="00FA6207"/>
    <w:rsid w:val="00FA6271"/>
    <w:rsid w:val="00FA6275"/>
    <w:rsid w:val="00FA6383"/>
    <w:rsid w:val="00FA64DB"/>
    <w:rsid w:val="00FA650E"/>
    <w:rsid w:val="00FA66D0"/>
    <w:rsid w:val="00FA6DE4"/>
    <w:rsid w:val="00FA6E2E"/>
    <w:rsid w:val="00FA7245"/>
    <w:rsid w:val="00FA7289"/>
    <w:rsid w:val="00FA7460"/>
    <w:rsid w:val="00FA7463"/>
    <w:rsid w:val="00FA7587"/>
    <w:rsid w:val="00FA763A"/>
    <w:rsid w:val="00FA78D4"/>
    <w:rsid w:val="00FA7BF4"/>
    <w:rsid w:val="00FA7CF8"/>
    <w:rsid w:val="00FA7F0C"/>
    <w:rsid w:val="00FA7F88"/>
    <w:rsid w:val="00FB0374"/>
    <w:rsid w:val="00FB043C"/>
    <w:rsid w:val="00FB0442"/>
    <w:rsid w:val="00FB0680"/>
    <w:rsid w:val="00FB0736"/>
    <w:rsid w:val="00FB080D"/>
    <w:rsid w:val="00FB0908"/>
    <w:rsid w:val="00FB0B11"/>
    <w:rsid w:val="00FB0D1E"/>
    <w:rsid w:val="00FB0DD6"/>
    <w:rsid w:val="00FB0F56"/>
    <w:rsid w:val="00FB10D8"/>
    <w:rsid w:val="00FB10EB"/>
    <w:rsid w:val="00FB1197"/>
    <w:rsid w:val="00FB1527"/>
    <w:rsid w:val="00FB1684"/>
    <w:rsid w:val="00FB1694"/>
    <w:rsid w:val="00FB1ACA"/>
    <w:rsid w:val="00FB1B5F"/>
    <w:rsid w:val="00FB1B91"/>
    <w:rsid w:val="00FB1F3B"/>
    <w:rsid w:val="00FB21AF"/>
    <w:rsid w:val="00FB21C1"/>
    <w:rsid w:val="00FB22B3"/>
    <w:rsid w:val="00FB2350"/>
    <w:rsid w:val="00FB249D"/>
    <w:rsid w:val="00FB256E"/>
    <w:rsid w:val="00FB27E3"/>
    <w:rsid w:val="00FB2839"/>
    <w:rsid w:val="00FB2A07"/>
    <w:rsid w:val="00FB2A62"/>
    <w:rsid w:val="00FB2A94"/>
    <w:rsid w:val="00FB2C64"/>
    <w:rsid w:val="00FB2DBB"/>
    <w:rsid w:val="00FB3017"/>
    <w:rsid w:val="00FB3099"/>
    <w:rsid w:val="00FB31FE"/>
    <w:rsid w:val="00FB3361"/>
    <w:rsid w:val="00FB3576"/>
    <w:rsid w:val="00FB35AB"/>
    <w:rsid w:val="00FB35B2"/>
    <w:rsid w:val="00FB37AD"/>
    <w:rsid w:val="00FB3812"/>
    <w:rsid w:val="00FB3CC3"/>
    <w:rsid w:val="00FB3E32"/>
    <w:rsid w:val="00FB40D4"/>
    <w:rsid w:val="00FB4282"/>
    <w:rsid w:val="00FB4442"/>
    <w:rsid w:val="00FB45D7"/>
    <w:rsid w:val="00FB486E"/>
    <w:rsid w:val="00FB4925"/>
    <w:rsid w:val="00FB49A3"/>
    <w:rsid w:val="00FB4A0C"/>
    <w:rsid w:val="00FB4A1B"/>
    <w:rsid w:val="00FB4B7C"/>
    <w:rsid w:val="00FB4C6F"/>
    <w:rsid w:val="00FB4DBD"/>
    <w:rsid w:val="00FB4F7F"/>
    <w:rsid w:val="00FB4FA4"/>
    <w:rsid w:val="00FB533E"/>
    <w:rsid w:val="00FB54A6"/>
    <w:rsid w:val="00FB54E7"/>
    <w:rsid w:val="00FB5E80"/>
    <w:rsid w:val="00FB5EFC"/>
    <w:rsid w:val="00FB6033"/>
    <w:rsid w:val="00FB6113"/>
    <w:rsid w:val="00FB64B7"/>
    <w:rsid w:val="00FB6639"/>
    <w:rsid w:val="00FB689B"/>
    <w:rsid w:val="00FB6BF8"/>
    <w:rsid w:val="00FB6DEF"/>
    <w:rsid w:val="00FB7078"/>
    <w:rsid w:val="00FB7839"/>
    <w:rsid w:val="00FB7936"/>
    <w:rsid w:val="00FB79A1"/>
    <w:rsid w:val="00FB7C3B"/>
    <w:rsid w:val="00FB7C92"/>
    <w:rsid w:val="00FB7DCA"/>
    <w:rsid w:val="00FB7E1C"/>
    <w:rsid w:val="00FB7F7E"/>
    <w:rsid w:val="00FC0302"/>
    <w:rsid w:val="00FC0401"/>
    <w:rsid w:val="00FC07C7"/>
    <w:rsid w:val="00FC0941"/>
    <w:rsid w:val="00FC09F0"/>
    <w:rsid w:val="00FC0A5A"/>
    <w:rsid w:val="00FC0C75"/>
    <w:rsid w:val="00FC12EF"/>
    <w:rsid w:val="00FC13BB"/>
    <w:rsid w:val="00FC13EC"/>
    <w:rsid w:val="00FC15B7"/>
    <w:rsid w:val="00FC1765"/>
    <w:rsid w:val="00FC1B73"/>
    <w:rsid w:val="00FC1C85"/>
    <w:rsid w:val="00FC1DB8"/>
    <w:rsid w:val="00FC1FC5"/>
    <w:rsid w:val="00FC22C0"/>
    <w:rsid w:val="00FC23F9"/>
    <w:rsid w:val="00FC2611"/>
    <w:rsid w:val="00FC269B"/>
    <w:rsid w:val="00FC2787"/>
    <w:rsid w:val="00FC2AA1"/>
    <w:rsid w:val="00FC2AF3"/>
    <w:rsid w:val="00FC2C70"/>
    <w:rsid w:val="00FC2CBB"/>
    <w:rsid w:val="00FC2D0D"/>
    <w:rsid w:val="00FC2D75"/>
    <w:rsid w:val="00FC2F14"/>
    <w:rsid w:val="00FC3182"/>
    <w:rsid w:val="00FC3205"/>
    <w:rsid w:val="00FC3230"/>
    <w:rsid w:val="00FC3248"/>
    <w:rsid w:val="00FC33C6"/>
    <w:rsid w:val="00FC34F0"/>
    <w:rsid w:val="00FC378C"/>
    <w:rsid w:val="00FC37BA"/>
    <w:rsid w:val="00FC381A"/>
    <w:rsid w:val="00FC39F5"/>
    <w:rsid w:val="00FC3B61"/>
    <w:rsid w:val="00FC3E44"/>
    <w:rsid w:val="00FC4767"/>
    <w:rsid w:val="00FC47AF"/>
    <w:rsid w:val="00FC481B"/>
    <w:rsid w:val="00FC48B8"/>
    <w:rsid w:val="00FC4A6D"/>
    <w:rsid w:val="00FC4B15"/>
    <w:rsid w:val="00FC4D8D"/>
    <w:rsid w:val="00FC5493"/>
    <w:rsid w:val="00FC57DF"/>
    <w:rsid w:val="00FC5879"/>
    <w:rsid w:val="00FC59EB"/>
    <w:rsid w:val="00FC5B09"/>
    <w:rsid w:val="00FC5D72"/>
    <w:rsid w:val="00FC5F20"/>
    <w:rsid w:val="00FC5F8B"/>
    <w:rsid w:val="00FC60B7"/>
    <w:rsid w:val="00FC615B"/>
    <w:rsid w:val="00FC617C"/>
    <w:rsid w:val="00FC688C"/>
    <w:rsid w:val="00FC6D6B"/>
    <w:rsid w:val="00FC6E1E"/>
    <w:rsid w:val="00FC70ED"/>
    <w:rsid w:val="00FC717A"/>
    <w:rsid w:val="00FC71B2"/>
    <w:rsid w:val="00FC728C"/>
    <w:rsid w:val="00FC741F"/>
    <w:rsid w:val="00FC755F"/>
    <w:rsid w:val="00FC7651"/>
    <w:rsid w:val="00FC79C6"/>
    <w:rsid w:val="00FC7AAC"/>
    <w:rsid w:val="00FC7F56"/>
    <w:rsid w:val="00FD068F"/>
    <w:rsid w:val="00FD07E9"/>
    <w:rsid w:val="00FD0D73"/>
    <w:rsid w:val="00FD0FCF"/>
    <w:rsid w:val="00FD1048"/>
    <w:rsid w:val="00FD1269"/>
    <w:rsid w:val="00FD1380"/>
    <w:rsid w:val="00FD1546"/>
    <w:rsid w:val="00FD1592"/>
    <w:rsid w:val="00FD1621"/>
    <w:rsid w:val="00FD169F"/>
    <w:rsid w:val="00FD172A"/>
    <w:rsid w:val="00FD1A38"/>
    <w:rsid w:val="00FD1A49"/>
    <w:rsid w:val="00FD1BD2"/>
    <w:rsid w:val="00FD2613"/>
    <w:rsid w:val="00FD2732"/>
    <w:rsid w:val="00FD282B"/>
    <w:rsid w:val="00FD28C5"/>
    <w:rsid w:val="00FD2B76"/>
    <w:rsid w:val="00FD2F2D"/>
    <w:rsid w:val="00FD32AF"/>
    <w:rsid w:val="00FD3585"/>
    <w:rsid w:val="00FD36E2"/>
    <w:rsid w:val="00FD36ED"/>
    <w:rsid w:val="00FD3860"/>
    <w:rsid w:val="00FD3871"/>
    <w:rsid w:val="00FD39AB"/>
    <w:rsid w:val="00FD3A30"/>
    <w:rsid w:val="00FD3AE4"/>
    <w:rsid w:val="00FD3B37"/>
    <w:rsid w:val="00FD3B40"/>
    <w:rsid w:val="00FD3C8F"/>
    <w:rsid w:val="00FD3D8C"/>
    <w:rsid w:val="00FD3EBE"/>
    <w:rsid w:val="00FD4340"/>
    <w:rsid w:val="00FD4512"/>
    <w:rsid w:val="00FD4568"/>
    <w:rsid w:val="00FD4582"/>
    <w:rsid w:val="00FD4A4C"/>
    <w:rsid w:val="00FD4DF2"/>
    <w:rsid w:val="00FD5038"/>
    <w:rsid w:val="00FD5185"/>
    <w:rsid w:val="00FD53ED"/>
    <w:rsid w:val="00FD546B"/>
    <w:rsid w:val="00FD5588"/>
    <w:rsid w:val="00FD55D9"/>
    <w:rsid w:val="00FD5679"/>
    <w:rsid w:val="00FD5688"/>
    <w:rsid w:val="00FD574F"/>
    <w:rsid w:val="00FD5821"/>
    <w:rsid w:val="00FD5834"/>
    <w:rsid w:val="00FD5978"/>
    <w:rsid w:val="00FD5A16"/>
    <w:rsid w:val="00FD5B9C"/>
    <w:rsid w:val="00FD5C01"/>
    <w:rsid w:val="00FD5C1F"/>
    <w:rsid w:val="00FD5D68"/>
    <w:rsid w:val="00FD623B"/>
    <w:rsid w:val="00FD63BF"/>
    <w:rsid w:val="00FD67AD"/>
    <w:rsid w:val="00FD693C"/>
    <w:rsid w:val="00FD69B4"/>
    <w:rsid w:val="00FD6AD6"/>
    <w:rsid w:val="00FD6B5E"/>
    <w:rsid w:val="00FD6CFB"/>
    <w:rsid w:val="00FD6E33"/>
    <w:rsid w:val="00FD6EE3"/>
    <w:rsid w:val="00FD6FA7"/>
    <w:rsid w:val="00FD73C0"/>
    <w:rsid w:val="00FD74FB"/>
    <w:rsid w:val="00FD750B"/>
    <w:rsid w:val="00FD75C8"/>
    <w:rsid w:val="00FD76F8"/>
    <w:rsid w:val="00FD7A1F"/>
    <w:rsid w:val="00FD7A2D"/>
    <w:rsid w:val="00FD7DFA"/>
    <w:rsid w:val="00FD7EA4"/>
    <w:rsid w:val="00FE049F"/>
    <w:rsid w:val="00FE0569"/>
    <w:rsid w:val="00FE0786"/>
    <w:rsid w:val="00FE0960"/>
    <w:rsid w:val="00FE0A2C"/>
    <w:rsid w:val="00FE0CAC"/>
    <w:rsid w:val="00FE0EFC"/>
    <w:rsid w:val="00FE0FCA"/>
    <w:rsid w:val="00FE10A5"/>
    <w:rsid w:val="00FE15AE"/>
    <w:rsid w:val="00FE1AF1"/>
    <w:rsid w:val="00FE1BAA"/>
    <w:rsid w:val="00FE1C51"/>
    <w:rsid w:val="00FE1CDD"/>
    <w:rsid w:val="00FE1D3A"/>
    <w:rsid w:val="00FE1E18"/>
    <w:rsid w:val="00FE1F6D"/>
    <w:rsid w:val="00FE2055"/>
    <w:rsid w:val="00FE22AE"/>
    <w:rsid w:val="00FE253B"/>
    <w:rsid w:val="00FE2605"/>
    <w:rsid w:val="00FE26DA"/>
    <w:rsid w:val="00FE292A"/>
    <w:rsid w:val="00FE2C1C"/>
    <w:rsid w:val="00FE2F0B"/>
    <w:rsid w:val="00FE307F"/>
    <w:rsid w:val="00FE3151"/>
    <w:rsid w:val="00FE35AD"/>
    <w:rsid w:val="00FE35FB"/>
    <w:rsid w:val="00FE3DD1"/>
    <w:rsid w:val="00FE3F70"/>
    <w:rsid w:val="00FE40F7"/>
    <w:rsid w:val="00FE4169"/>
    <w:rsid w:val="00FE4585"/>
    <w:rsid w:val="00FE45F7"/>
    <w:rsid w:val="00FE484C"/>
    <w:rsid w:val="00FE48AB"/>
    <w:rsid w:val="00FE49D8"/>
    <w:rsid w:val="00FE4B03"/>
    <w:rsid w:val="00FE4CA6"/>
    <w:rsid w:val="00FE4F83"/>
    <w:rsid w:val="00FE5030"/>
    <w:rsid w:val="00FE5192"/>
    <w:rsid w:val="00FE5219"/>
    <w:rsid w:val="00FE535A"/>
    <w:rsid w:val="00FE53A7"/>
    <w:rsid w:val="00FE55CB"/>
    <w:rsid w:val="00FE616B"/>
    <w:rsid w:val="00FE6193"/>
    <w:rsid w:val="00FE630F"/>
    <w:rsid w:val="00FE6640"/>
    <w:rsid w:val="00FE6691"/>
    <w:rsid w:val="00FE67EA"/>
    <w:rsid w:val="00FE6801"/>
    <w:rsid w:val="00FE6907"/>
    <w:rsid w:val="00FE6A34"/>
    <w:rsid w:val="00FE6A3A"/>
    <w:rsid w:val="00FE6D8C"/>
    <w:rsid w:val="00FE6E1F"/>
    <w:rsid w:val="00FE74E4"/>
    <w:rsid w:val="00FE76DC"/>
    <w:rsid w:val="00FE7B0D"/>
    <w:rsid w:val="00FE7CB3"/>
    <w:rsid w:val="00FE7D25"/>
    <w:rsid w:val="00FE7E25"/>
    <w:rsid w:val="00FE7F67"/>
    <w:rsid w:val="00FF0163"/>
    <w:rsid w:val="00FF0435"/>
    <w:rsid w:val="00FF04D3"/>
    <w:rsid w:val="00FF0568"/>
    <w:rsid w:val="00FF05C8"/>
    <w:rsid w:val="00FF06FD"/>
    <w:rsid w:val="00FF073F"/>
    <w:rsid w:val="00FF076E"/>
    <w:rsid w:val="00FF078C"/>
    <w:rsid w:val="00FF0841"/>
    <w:rsid w:val="00FF09B8"/>
    <w:rsid w:val="00FF0B44"/>
    <w:rsid w:val="00FF0D8F"/>
    <w:rsid w:val="00FF10A2"/>
    <w:rsid w:val="00FF10AC"/>
    <w:rsid w:val="00FF116D"/>
    <w:rsid w:val="00FF1316"/>
    <w:rsid w:val="00FF13BF"/>
    <w:rsid w:val="00FF1ADA"/>
    <w:rsid w:val="00FF1B58"/>
    <w:rsid w:val="00FF1BFA"/>
    <w:rsid w:val="00FF1D87"/>
    <w:rsid w:val="00FF206F"/>
    <w:rsid w:val="00FF2550"/>
    <w:rsid w:val="00FF272E"/>
    <w:rsid w:val="00FF2C02"/>
    <w:rsid w:val="00FF2D4C"/>
    <w:rsid w:val="00FF3046"/>
    <w:rsid w:val="00FF3150"/>
    <w:rsid w:val="00FF32D9"/>
    <w:rsid w:val="00FF3511"/>
    <w:rsid w:val="00FF3696"/>
    <w:rsid w:val="00FF3809"/>
    <w:rsid w:val="00FF3A4E"/>
    <w:rsid w:val="00FF3AD1"/>
    <w:rsid w:val="00FF3CD9"/>
    <w:rsid w:val="00FF3F57"/>
    <w:rsid w:val="00FF407D"/>
    <w:rsid w:val="00FF40BB"/>
    <w:rsid w:val="00FF4105"/>
    <w:rsid w:val="00FF446E"/>
    <w:rsid w:val="00FF467B"/>
    <w:rsid w:val="00FF48C3"/>
    <w:rsid w:val="00FF4BA3"/>
    <w:rsid w:val="00FF4C16"/>
    <w:rsid w:val="00FF4EAB"/>
    <w:rsid w:val="00FF4F00"/>
    <w:rsid w:val="00FF5002"/>
    <w:rsid w:val="00FF5602"/>
    <w:rsid w:val="00FF58F7"/>
    <w:rsid w:val="00FF593E"/>
    <w:rsid w:val="00FF5B02"/>
    <w:rsid w:val="00FF5BEB"/>
    <w:rsid w:val="00FF5C85"/>
    <w:rsid w:val="00FF5D42"/>
    <w:rsid w:val="00FF5FC2"/>
    <w:rsid w:val="00FF6481"/>
    <w:rsid w:val="00FF65FD"/>
    <w:rsid w:val="00FF6995"/>
    <w:rsid w:val="00FF6B32"/>
    <w:rsid w:val="00FF6C21"/>
    <w:rsid w:val="00FF6DA1"/>
    <w:rsid w:val="00FF71C2"/>
    <w:rsid w:val="00FF76FC"/>
    <w:rsid w:val="00FF78E0"/>
    <w:rsid w:val="00FF796F"/>
    <w:rsid w:val="00FF79B2"/>
    <w:rsid w:val="00FF7A6E"/>
    <w:rsid w:val="00FF7AAE"/>
    <w:rsid w:val="00FF7BC1"/>
    <w:rsid w:val="00FF7E24"/>
    <w:rsid w:val="00FF7E60"/>
    <w:rsid w:val="00FF7F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v:textbox inset=",,,1mm"/>
      <o:colormru v:ext="edit" colors="#eaeaea,#ddd,silver"/>
    </o:shapedefaults>
    <o:shapelayout v:ext="edit">
      <o:idmap v:ext="edit" data="1"/>
    </o:shapelayout>
  </w:shapeDefaults>
  <w:decimalSymbol w:val="."/>
  <w:listSeparator w:val=","/>
  <w15:chartTrackingRefBased/>
  <w15:docId w15:val="{2B078843-7CA6-4360-B193-D28B545A9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qFormat="1"/>
    <w:lsdException w:name="endnote text" w:qFormat="1"/>
    <w:lsdException w:name="Title" w:qFormat="1"/>
    <w:lsdException w:name="Subtitle" w:qFormat="1"/>
    <w:lsdException w:name="Block Text" w:uiPriority="99"/>
    <w:lsdException w:name="Strong" w:uiPriority="22" w:qFormat="1"/>
    <w:lsdException w:name="Emphasis" w:uiPriority="20" w:qFormat="1"/>
    <w:lsdException w:name="Normal (Web)" w:uiPriority="99"/>
    <w:lsdException w:name="HTML Acronym" w:uiPriority="99"/>
    <w:lsdException w:name="HTML Cite" w:uiPriority="99"/>
    <w:lsdException w:name="HTML Definition"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D1FA1"/>
    <w:pPr>
      <w:bidi/>
      <w:spacing w:before="120" w:after="120" w:line="336" w:lineRule="auto"/>
      <w:jc w:val="both"/>
    </w:pPr>
    <w:rPr>
      <w:rFonts w:cs="David"/>
      <w:sz w:val="24"/>
      <w:szCs w:val="24"/>
      <w:lang w:eastAsia="he-IL"/>
    </w:rPr>
  </w:style>
  <w:style w:type="paragraph" w:styleId="10">
    <w:name w:val="heading 1"/>
    <w:basedOn w:val="a0"/>
    <w:next w:val="a0"/>
    <w:qFormat/>
    <w:pPr>
      <w:keepNext/>
      <w:outlineLvl w:val="0"/>
    </w:pPr>
    <w:rPr>
      <w:b/>
      <w:bCs/>
      <w:u w:val="single"/>
    </w:rPr>
  </w:style>
  <w:style w:type="paragraph" w:styleId="2">
    <w:name w:val="heading 2"/>
    <w:basedOn w:val="a0"/>
    <w:qFormat/>
    <w:pPr>
      <w:spacing w:before="0" w:line="288" w:lineRule="auto"/>
      <w:outlineLvl w:val="1"/>
    </w:pPr>
  </w:style>
  <w:style w:type="paragraph" w:styleId="3">
    <w:name w:val="heading 3"/>
    <w:basedOn w:val="a0"/>
    <w:qFormat/>
    <w:pPr>
      <w:spacing w:before="0" w:line="288" w:lineRule="auto"/>
      <w:outlineLvl w:val="2"/>
    </w:pPr>
  </w:style>
  <w:style w:type="paragraph" w:styleId="4">
    <w:name w:val="heading 4"/>
    <w:basedOn w:val="a0"/>
    <w:qFormat/>
    <w:pPr>
      <w:spacing w:before="0" w:line="288" w:lineRule="auto"/>
      <w:outlineLvl w:val="3"/>
    </w:pPr>
  </w:style>
  <w:style w:type="paragraph" w:styleId="5">
    <w:name w:val="heading 5"/>
    <w:basedOn w:val="a0"/>
    <w:qFormat/>
    <w:pPr>
      <w:spacing w:before="0" w:line="288" w:lineRule="auto"/>
      <w:outlineLvl w:val="4"/>
    </w:pPr>
  </w:style>
  <w:style w:type="paragraph" w:styleId="6">
    <w:name w:val="heading 6"/>
    <w:basedOn w:val="a0"/>
    <w:qFormat/>
    <w:pPr>
      <w:spacing w:before="0" w:line="288" w:lineRule="auto"/>
      <w:outlineLvl w:val="5"/>
    </w:pPr>
  </w:style>
  <w:style w:type="paragraph" w:styleId="7">
    <w:name w:val="heading 7"/>
    <w:basedOn w:val="a0"/>
    <w:qFormat/>
    <w:pPr>
      <w:spacing w:before="0" w:line="288" w:lineRule="auto"/>
      <w:outlineLvl w:val="6"/>
    </w:pPr>
  </w:style>
  <w:style w:type="paragraph" w:styleId="8">
    <w:name w:val="heading 8"/>
    <w:basedOn w:val="a0"/>
    <w:qFormat/>
    <w:pPr>
      <w:spacing w:line="288" w:lineRule="auto"/>
      <w:outlineLvl w:val="7"/>
    </w:pPr>
  </w:style>
  <w:style w:type="paragraph" w:styleId="9">
    <w:name w:val="heading 9"/>
    <w:basedOn w:val="a0"/>
    <w:qFormat/>
    <w:pPr>
      <w:spacing w:line="288" w:lineRule="auto"/>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פסקה רג"/>
    <w:basedOn w:val="a5"/>
    <w:link w:val="a6"/>
    <w:uiPriority w:val="99"/>
    <w:rsid w:val="00F824D5"/>
    <w:pPr>
      <w:ind w:left="0"/>
    </w:pPr>
    <w:rPr>
      <w:sz w:val="22"/>
    </w:rPr>
  </w:style>
  <w:style w:type="paragraph" w:customStyle="1" w:styleId="a5">
    <w:name w:val="דילוג"/>
    <w:basedOn w:val="a7"/>
    <w:link w:val="a8"/>
    <w:pPr>
      <w:ind w:firstLine="0"/>
    </w:pPr>
  </w:style>
  <w:style w:type="paragraph" w:customStyle="1" w:styleId="a7">
    <w:name w:val="פסקה#"/>
    <w:basedOn w:val="a0"/>
    <w:link w:val="a9"/>
    <w:pPr>
      <w:ind w:left="249" w:hanging="360"/>
    </w:pPr>
    <w:rPr>
      <w:lang w:eastAsia="en-US"/>
    </w:rPr>
  </w:style>
  <w:style w:type="paragraph" w:styleId="aa">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0"/>
    <w:link w:val="ab"/>
    <w:qFormat/>
    <w:rsid w:val="009C3CF0"/>
    <w:pPr>
      <w:tabs>
        <w:tab w:val="left" w:pos="210"/>
      </w:tabs>
      <w:spacing w:before="0" w:after="60" w:line="240" w:lineRule="auto"/>
      <w:ind w:left="227" w:right="227" w:hanging="227"/>
      <w:jc w:val="left"/>
    </w:pPr>
    <w:rPr>
      <w:spacing w:val="-4"/>
      <w:sz w:val="20"/>
      <w:szCs w:val="20"/>
      <w:lang w:val="x-none"/>
    </w:rPr>
  </w:style>
  <w:style w:type="character" w:styleId="ac">
    <w:name w:val="footnote reference"/>
    <w:aliases w:val="Footnote Reference"/>
    <w:qFormat/>
    <w:rPr>
      <w:vertAlign w:val="superscript"/>
    </w:rPr>
  </w:style>
  <w:style w:type="paragraph" w:styleId="ad">
    <w:name w:val="header"/>
    <w:basedOn w:val="a0"/>
    <w:pPr>
      <w:tabs>
        <w:tab w:val="center" w:pos="4153"/>
        <w:tab w:val="right" w:pos="8306"/>
      </w:tabs>
    </w:pPr>
  </w:style>
  <w:style w:type="character" w:styleId="ae">
    <w:name w:val="page number"/>
    <w:basedOn w:val="a1"/>
  </w:style>
  <w:style w:type="paragraph" w:customStyle="1" w:styleId="110">
    <w:name w:val="דילוג 1.1"/>
    <w:basedOn w:val="a0"/>
    <w:pPr>
      <w:tabs>
        <w:tab w:val="left" w:pos="567"/>
        <w:tab w:val="left" w:pos="1304"/>
        <w:tab w:val="left" w:pos="2268"/>
        <w:tab w:val="left" w:pos="3459"/>
        <w:tab w:val="left" w:pos="4876"/>
        <w:tab w:val="left" w:pos="6634"/>
      </w:tabs>
      <w:spacing w:line="288" w:lineRule="auto"/>
    </w:pPr>
  </w:style>
  <w:style w:type="paragraph" w:styleId="af">
    <w:name w:val="footer"/>
    <w:basedOn w:val="a0"/>
    <w:pPr>
      <w:tabs>
        <w:tab w:val="center" w:pos="4153"/>
        <w:tab w:val="right" w:pos="8306"/>
      </w:tabs>
    </w:pPr>
  </w:style>
  <w:style w:type="paragraph" w:customStyle="1" w:styleId="12">
    <w:name w:val="דילוג 1.א"/>
    <w:basedOn w:val="a0"/>
    <w:pPr>
      <w:tabs>
        <w:tab w:val="left" w:pos="567"/>
        <w:tab w:val="left" w:pos="1134"/>
        <w:tab w:val="left" w:pos="1701"/>
        <w:tab w:val="left" w:pos="2268"/>
        <w:tab w:val="left" w:pos="3005"/>
        <w:tab w:val="left" w:pos="3742"/>
        <w:tab w:val="left" w:pos="4139"/>
        <w:tab w:val="left" w:pos="4536"/>
        <w:tab w:val="left" w:pos="4933"/>
      </w:tabs>
      <w:spacing w:line="288" w:lineRule="auto"/>
    </w:pPr>
  </w:style>
  <w:style w:type="paragraph" w:customStyle="1" w:styleId="af0">
    <w:name w:val="ציטטה_עב"/>
    <w:basedOn w:val="a0"/>
    <w:uiPriority w:val="99"/>
    <w:pPr>
      <w:spacing w:before="60" w:after="60" w:line="288" w:lineRule="auto"/>
      <w:ind w:left="1134" w:right="1134"/>
    </w:pPr>
    <w:rPr>
      <w:b/>
      <w:bCs/>
      <w:sz w:val="22"/>
      <w:szCs w:val="22"/>
      <w:lang w:eastAsia="en-US"/>
    </w:rPr>
  </w:style>
  <w:style w:type="paragraph" w:styleId="20">
    <w:name w:val="Body Text 2"/>
    <w:basedOn w:val="a0"/>
    <w:pPr>
      <w:bidi w:val="0"/>
      <w:spacing w:line="288" w:lineRule="auto"/>
    </w:pPr>
    <w:rPr>
      <w:color w:val="000000"/>
      <w:sz w:val="23"/>
      <w:szCs w:val="23"/>
    </w:rPr>
  </w:style>
  <w:style w:type="paragraph" w:customStyle="1" w:styleId="af1">
    <w:name w:val="ישן"/>
    <w:basedOn w:val="a0"/>
    <w:pPr>
      <w:spacing w:before="0" w:after="0" w:line="240" w:lineRule="auto"/>
    </w:pPr>
  </w:style>
  <w:style w:type="paragraph" w:styleId="af2">
    <w:name w:val="endnote text"/>
    <w:basedOn w:val="a0"/>
    <w:semiHidden/>
    <w:qFormat/>
    <w:pPr>
      <w:spacing w:after="60" w:line="288" w:lineRule="auto"/>
      <w:ind w:left="249" w:hanging="249"/>
    </w:pPr>
    <w:rPr>
      <w:sz w:val="20"/>
      <w:szCs w:val="20"/>
    </w:rPr>
  </w:style>
  <w:style w:type="paragraph" w:styleId="af3">
    <w:name w:val="caption"/>
    <w:basedOn w:val="a0"/>
    <w:next w:val="a0"/>
    <w:qFormat/>
    <w:pPr>
      <w:spacing w:line="288" w:lineRule="auto"/>
    </w:pPr>
    <w:rPr>
      <w:b/>
      <w:bCs/>
      <w:sz w:val="20"/>
      <w:szCs w:val="20"/>
    </w:rPr>
  </w:style>
  <w:style w:type="paragraph" w:customStyle="1" w:styleId="xl75">
    <w:name w:val="xl75"/>
    <w:basedOn w:val="a0"/>
    <w:pPr>
      <w:shd w:val="clear" w:color="auto" w:fill="CCFFCC"/>
      <w:bidi w:val="0"/>
      <w:spacing w:before="100" w:beforeAutospacing="1" w:after="100" w:afterAutospacing="1" w:line="240" w:lineRule="auto"/>
    </w:pPr>
    <w:rPr>
      <w:rFonts w:ascii="Arial" w:hAnsi="Arial" w:cs="Arial"/>
    </w:rPr>
  </w:style>
  <w:style w:type="paragraph" w:customStyle="1" w:styleId="xl24">
    <w:name w:val="xl24"/>
    <w:basedOn w:val="a0"/>
    <w:pPr>
      <w:bidi w:val="0"/>
      <w:spacing w:before="100" w:beforeAutospacing="1" w:after="100" w:afterAutospacing="1" w:line="240" w:lineRule="auto"/>
    </w:pPr>
    <w:rPr>
      <w:rFonts w:ascii="Arial" w:hAnsi="Arial" w:cs="Arial"/>
      <w:b/>
      <w:bCs/>
    </w:rPr>
  </w:style>
  <w:style w:type="paragraph" w:customStyle="1" w:styleId="xl25">
    <w:name w:val="xl25"/>
    <w:basedOn w:val="a0"/>
    <w:pPr>
      <w:bidi w:val="0"/>
      <w:spacing w:before="100" w:beforeAutospacing="1" w:after="100" w:afterAutospacing="1" w:line="240" w:lineRule="auto"/>
      <w:jc w:val="center"/>
    </w:pPr>
    <w:rPr>
      <w:rFonts w:ascii="Arial" w:hAnsi="Arial" w:cs="Arial"/>
      <w:b/>
      <w:bCs/>
    </w:rPr>
  </w:style>
  <w:style w:type="paragraph" w:customStyle="1" w:styleId="xl26">
    <w:name w:val="xl26"/>
    <w:basedOn w:val="a0"/>
    <w:pPr>
      <w:bidi w:val="0"/>
      <w:spacing w:before="100" w:beforeAutospacing="1" w:after="100" w:afterAutospacing="1" w:line="240" w:lineRule="auto"/>
    </w:pPr>
    <w:rPr>
      <w:rFonts w:ascii="Arial" w:hAnsi="Arial" w:cs="Arial"/>
    </w:rPr>
  </w:style>
  <w:style w:type="paragraph" w:customStyle="1" w:styleId="xl27">
    <w:name w:val="xl27"/>
    <w:basedOn w:val="a0"/>
    <w:pPr>
      <w:shd w:val="clear" w:color="auto" w:fill="FFCC99"/>
      <w:bidi w:val="0"/>
      <w:spacing w:before="100" w:beforeAutospacing="1" w:after="100" w:afterAutospacing="1" w:line="240" w:lineRule="auto"/>
    </w:pPr>
    <w:rPr>
      <w:rFonts w:ascii="Arial" w:hAnsi="Arial" w:cs="Arial"/>
    </w:rPr>
  </w:style>
  <w:style w:type="paragraph" w:styleId="TOC1">
    <w:name w:val="toc 1"/>
    <w:basedOn w:val="a0"/>
    <w:next w:val="a0"/>
    <w:pPr>
      <w:tabs>
        <w:tab w:val="left" w:pos="607"/>
        <w:tab w:val="right" w:pos="8889"/>
      </w:tabs>
      <w:spacing w:after="160"/>
    </w:pPr>
    <w:rPr>
      <w:b/>
      <w:bCs/>
      <w:caps/>
      <w:sz w:val="28"/>
      <w:szCs w:val="28"/>
      <w:u w:val="single"/>
    </w:rPr>
  </w:style>
  <w:style w:type="paragraph" w:styleId="TOC2">
    <w:name w:val="toc 2"/>
    <w:basedOn w:val="a0"/>
    <w:next w:val="a0"/>
    <w:pPr>
      <w:tabs>
        <w:tab w:val="right" w:pos="8879"/>
      </w:tabs>
      <w:ind w:left="249"/>
    </w:pPr>
    <w:rPr>
      <w:b/>
      <w:bCs/>
      <w:smallCaps/>
      <w:sz w:val="28"/>
      <w:szCs w:val="28"/>
    </w:rPr>
  </w:style>
  <w:style w:type="paragraph" w:styleId="TOC3">
    <w:name w:val="toc 3"/>
    <w:basedOn w:val="a0"/>
    <w:next w:val="a0"/>
    <w:pPr>
      <w:tabs>
        <w:tab w:val="right" w:pos="8879"/>
      </w:tabs>
      <w:spacing w:before="80" w:after="0"/>
      <w:ind w:left="789"/>
      <w:jc w:val="left"/>
    </w:pPr>
    <w:rPr>
      <w:b/>
      <w:bCs/>
      <w:smallCaps/>
      <w:sz w:val="28"/>
      <w:szCs w:val="28"/>
    </w:rPr>
  </w:style>
  <w:style w:type="paragraph" w:styleId="TOC4">
    <w:name w:val="toc 4"/>
    <w:basedOn w:val="a0"/>
    <w:next w:val="a0"/>
    <w:autoRedefine/>
    <w:semiHidden/>
    <w:pPr>
      <w:spacing w:before="0" w:after="0"/>
      <w:jc w:val="left"/>
    </w:pPr>
    <w:rPr>
      <w:rFonts w:cs="Times New Roman"/>
      <w:szCs w:val="22"/>
    </w:rPr>
  </w:style>
  <w:style w:type="paragraph" w:styleId="TOC5">
    <w:name w:val="toc 5"/>
    <w:basedOn w:val="a0"/>
    <w:next w:val="a0"/>
    <w:autoRedefine/>
    <w:semiHidden/>
    <w:pPr>
      <w:spacing w:before="0" w:after="0"/>
      <w:jc w:val="left"/>
    </w:pPr>
    <w:rPr>
      <w:rFonts w:cs="Times New Roman"/>
      <w:szCs w:val="22"/>
    </w:rPr>
  </w:style>
  <w:style w:type="paragraph" w:styleId="TOC6">
    <w:name w:val="toc 6"/>
    <w:basedOn w:val="a0"/>
    <w:next w:val="a0"/>
    <w:autoRedefine/>
    <w:semiHidden/>
    <w:pPr>
      <w:spacing w:before="0" w:after="0"/>
      <w:jc w:val="left"/>
    </w:pPr>
    <w:rPr>
      <w:rFonts w:cs="Times New Roman"/>
      <w:szCs w:val="22"/>
    </w:rPr>
  </w:style>
  <w:style w:type="paragraph" w:styleId="TOC7">
    <w:name w:val="toc 7"/>
    <w:basedOn w:val="a0"/>
    <w:next w:val="a0"/>
    <w:autoRedefine/>
    <w:semiHidden/>
    <w:pPr>
      <w:spacing w:before="0" w:after="0"/>
      <w:jc w:val="left"/>
    </w:pPr>
    <w:rPr>
      <w:rFonts w:cs="Times New Roman"/>
      <w:szCs w:val="22"/>
    </w:rPr>
  </w:style>
  <w:style w:type="paragraph" w:styleId="TOC8">
    <w:name w:val="toc 8"/>
    <w:basedOn w:val="a0"/>
    <w:next w:val="a0"/>
    <w:autoRedefine/>
    <w:semiHidden/>
    <w:pPr>
      <w:spacing w:before="0" w:after="0"/>
      <w:jc w:val="left"/>
    </w:pPr>
    <w:rPr>
      <w:rFonts w:cs="Times New Roman"/>
      <w:szCs w:val="22"/>
    </w:rPr>
  </w:style>
  <w:style w:type="paragraph" w:styleId="TOC9">
    <w:name w:val="toc 9"/>
    <w:basedOn w:val="a0"/>
    <w:next w:val="a0"/>
    <w:autoRedefine/>
    <w:semiHidden/>
    <w:pPr>
      <w:spacing w:before="0" w:after="0"/>
      <w:jc w:val="left"/>
    </w:pPr>
    <w:rPr>
      <w:rFonts w:cs="Times New Roman"/>
      <w:szCs w:val="22"/>
    </w:rPr>
  </w:style>
  <w:style w:type="paragraph" w:customStyle="1" w:styleId="af4">
    <w:name w:val="יום"/>
    <w:basedOn w:val="a0"/>
    <w:pPr>
      <w:spacing w:line="288" w:lineRule="auto"/>
      <w:ind w:left="-256"/>
    </w:pPr>
    <w:rPr>
      <w:b/>
      <w:bCs/>
      <w:color w:val="CC0000"/>
      <w:sz w:val="28"/>
      <w:szCs w:val="28"/>
      <w:u w:val="single"/>
      <w:lang w:eastAsia="en-US"/>
    </w:rPr>
  </w:style>
  <w:style w:type="paragraph" w:customStyle="1" w:styleId="af5">
    <w:name w:val="גיל"/>
    <w:basedOn w:val="a0"/>
    <w:rPr>
      <w:b/>
      <w:bCs/>
      <w:u w:val="single"/>
    </w:rPr>
  </w:style>
  <w:style w:type="character" w:styleId="Hyperlink">
    <w:name w:val="Hyperlink"/>
    <w:rPr>
      <w:color w:val="0000FF"/>
      <w:u w:val="single"/>
    </w:rPr>
  </w:style>
  <w:style w:type="character" w:styleId="af6">
    <w:name w:val="endnote reference"/>
    <w:semiHidden/>
    <w:rPr>
      <w:vertAlign w:val="superscript"/>
    </w:rPr>
  </w:style>
  <w:style w:type="character" w:styleId="FollowedHyperlink">
    <w:name w:val="FollowedHyperlink"/>
    <w:rPr>
      <w:color w:val="800080"/>
      <w:u w:val="single"/>
    </w:rPr>
  </w:style>
  <w:style w:type="paragraph" w:customStyle="1" w:styleId="af7">
    <w:name w:val="כתיבה"/>
    <w:basedOn w:val="a0"/>
    <w:pPr>
      <w:framePr w:hSpace="180" w:wrap="notBeside" w:vAnchor="text" w:hAnchor="margin" w:xAlign="right" w:y="266"/>
      <w:spacing w:before="0" w:after="0"/>
    </w:pPr>
    <w:rPr>
      <w:b/>
      <w:bCs/>
      <w:sz w:val="28"/>
      <w:szCs w:val="28"/>
      <w:lang w:eastAsia="en-US"/>
    </w:rPr>
  </w:style>
  <w:style w:type="paragraph" w:customStyle="1" w:styleId="af8">
    <w:name w:val="אישור"/>
    <w:basedOn w:val="a0"/>
    <w:pPr>
      <w:framePr w:hSpace="180" w:wrap="notBeside" w:vAnchor="text" w:hAnchor="margin" w:xAlign="right" w:y="266"/>
      <w:spacing w:before="100" w:after="0" w:line="240" w:lineRule="auto"/>
    </w:pPr>
    <w:rPr>
      <w:lang w:eastAsia="en-US"/>
    </w:rPr>
  </w:style>
  <w:style w:type="paragraph" w:customStyle="1" w:styleId="af9">
    <w:name w:val="תאריך עברי"/>
    <w:basedOn w:val="a0"/>
    <w:pPr>
      <w:framePr w:hSpace="180" w:wrap="notBeside" w:vAnchor="text" w:hAnchor="margin" w:xAlign="right" w:y="266"/>
      <w:spacing w:before="0" w:after="0"/>
      <w:jc w:val="center"/>
    </w:pPr>
    <w:rPr>
      <w:lang w:eastAsia="en-US"/>
    </w:rPr>
  </w:style>
  <w:style w:type="paragraph" w:styleId="afa">
    <w:name w:val="Date"/>
    <w:basedOn w:val="a0"/>
    <w:pPr>
      <w:framePr w:hSpace="180" w:wrap="notBeside" w:vAnchor="text" w:hAnchor="margin" w:xAlign="right" w:y="266"/>
      <w:spacing w:before="0" w:after="0"/>
      <w:jc w:val="center"/>
    </w:pPr>
    <w:rPr>
      <w:lang w:eastAsia="en-US"/>
    </w:rPr>
  </w:style>
  <w:style w:type="paragraph" w:customStyle="1" w:styleId="afb">
    <w:name w:val="סוג מסמך"/>
    <w:basedOn w:val="a0"/>
    <w:pPr>
      <w:ind w:left="-142"/>
      <w:jc w:val="center"/>
    </w:pPr>
    <w:rPr>
      <w:sz w:val="32"/>
      <w:szCs w:val="32"/>
      <w:lang w:eastAsia="en-US"/>
    </w:rPr>
  </w:style>
  <w:style w:type="paragraph" w:customStyle="1" w:styleId="afc">
    <w:name w:val="שם מסמך"/>
    <w:basedOn w:val="a0"/>
    <w:next w:val="a4"/>
    <w:qFormat/>
    <w:rsid w:val="008D1FA1"/>
    <w:pPr>
      <w:jc w:val="center"/>
      <w:outlineLvl w:val="0"/>
    </w:pPr>
    <w:rPr>
      <w:b/>
      <w:bCs/>
      <w:spacing w:val="2"/>
      <w:sz w:val="34"/>
      <w:szCs w:val="36"/>
      <w:lang w:eastAsia="en-US"/>
    </w:rPr>
  </w:style>
  <w:style w:type="paragraph" w:customStyle="1" w:styleId="aFootnoteText">
    <w:name w:val="a_Footnote Text"/>
    <w:basedOn w:val="aa"/>
    <w:pPr>
      <w:spacing w:before="120" w:line="336" w:lineRule="auto"/>
    </w:pPr>
  </w:style>
  <w:style w:type="paragraph" w:customStyle="1" w:styleId="afd">
    <w:name w:val="ציטטה_אנ"/>
    <w:basedOn w:val="a0"/>
    <w:pPr>
      <w:tabs>
        <w:tab w:val="right" w:pos="10980"/>
      </w:tabs>
      <w:bidi w:val="0"/>
      <w:spacing w:before="60" w:after="60" w:line="288" w:lineRule="auto"/>
      <w:ind w:left="1077" w:right="1151"/>
    </w:pPr>
    <w:rPr>
      <w:b/>
      <w:sz w:val="22"/>
      <w:szCs w:val="22"/>
    </w:rPr>
  </w:style>
  <w:style w:type="paragraph" w:customStyle="1" w:styleId="afe">
    <w:name w:val="שם_פוטר"/>
    <w:basedOn w:val="afc"/>
    <w:pPr>
      <w:spacing w:before="0" w:after="0" w:line="240" w:lineRule="auto"/>
    </w:pPr>
    <w:rPr>
      <w:rFonts w:cs="Miriam"/>
      <w:b w:val="0"/>
      <w:bCs w:val="0"/>
      <w:sz w:val="14"/>
      <w:szCs w:val="14"/>
    </w:rPr>
  </w:style>
  <w:style w:type="paragraph" w:customStyle="1" w:styleId="aff">
    <w:name w:val="כותרת_רגילה"/>
    <w:basedOn w:val="a0"/>
    <w:pPr>
      <w:ind w:left="-111"/>
    </w:pPr>
  </w:style>
  <w:style w:type="paragraph" w:customStyle="1" w:styleId="aff0">
    <w:name w:val="כות_ללא מספור"/>
    <w:basedOn w:val="a0"/>
    <w:uiPriority w:val="99"/>
    <w:qFormat/>
    <w:rsid w:val="007D37E8"/>
    <w:pPr>
      <w:spacing w:line="360" w:lineRule="auto"/>
      <w:outlineLvl w:val="0"/>
    </w:pPr>
    <w:rPr>
      <w:b/>
      <w:bCs/>
      <w:sz w:val="28"/>
      <w:szCs w:val="28"/>
    </w:rPr>
  </w:style>
  <w:style w:type="paragraph" w:customStyle="1" w:styleId="13">
    <w:name w:val="כות1"/>
    <w:basedOn w:val="aff0"/>
  </w:style>
  <w:style w:type="paragraph" w:customStyle="1" w:styleId="1">
    <w:name w:val="כות_1"/>
    <w:basedOn w:val="a0"/>
    <w:next w:val="a4"/>
    <w:link w:val="14"/>
    <w:qFormat/>
    <w:rsid w:val="007D37E8"/>
    <w:pPr>
      <w:numPr>
        <w:numId w:val="1"/>
      </w:numPr>
      <w:spacing w:line="360" w:lineRule="auto"/>
      <w:outlineLvl w:val="0"/>
    </w:pPr>
    <w:rPr>
      <w:b/>
      <w:bCs/>
      <w:sz w:val="28"/>
      <w:szCs w:val="28"/>
    </w:rPr>
  </w:style>
  <w:style w:type="paragraph" w:customStyle="1" w:styleId="11">
    <w:name w:val="כות_1.1"/>
    <w:basedOn w:val="1"/>
    <w:next w:val="a4"/>
    <w:link w:val="112"/>
    <w:qFormat/>
    <w:rsid w:val="007D37E8"/>
    <w:pPr>
      <w:numPr>
        <w:ilvl w:val="1"/>
        <w:numId w:val="2"/>
      </w:numPr>
      <w:ind w:right="0"/>
      <w:outlineLvl w:val="1"/>
    </w:pPr>
  </w:style>
  <w:style w:type="paragraph" w:customStyle="1" w:styleId="111">
    <w:name w:val="כות_1.1.1"/>
    <w:basedOn w:val="11"/>
    <w:next w:val="a4"/>
    <w:uiPriority w:val="99"/>
    <w:qFormat/>
    <w:rsid w:val="007D37E8"/>
    <w:pPr>
      <w:numPr>
        <w:ilvl w:val="2"/>
        <w:numId w:val="3"/>
      </w:numPr>
      <w:outlineLvl w:val="2"/>
    </w:pPr>
  </w:style>
  <w:style w:type="paragraph" w:customStyle="1" w:styleId="a">
    <w:name w:val="פסקה ממוספרת"/>
    <w:basedOn w:val="a0"/>
    <w:pPr>
      <w:numPr>
        <w:numId w:val="4"/>
      </w:numPr>
      <w:tabs>
        <w:tab w:val="clear" w:pos="720"/>
        <w:tab w:val="left" w:pos="14"/>
      </w:tabs>
      <w:ind w:left="0" w:right="0" w:hanging="291"/>
    </w:pPr>
    <w:rPr>
      <w:lang w:eastAsia="en-US"/>
    </w:rPr>
  </w:style>
  <w:style w:type="paragraph" w:customStyle="1" w:styleId="aff1">
    <w:name w:val="תוכן_עניינים"/>
    <w:basedOn w:val="a0"/>
    <w:pPr>
      <w:spacing w:before="0" w:after="240"/>
      <w:ind w:left="-11"/>
      <w:jc w:val="center"/>
    </w:pPr>
    <w:rPr>
      <w:b/>
      <w:bCs/>
      <w:sz w:val="28"/>
      <w:szCs w:val="28"/>
      <w:u w:val="single"/>
      <w:lang w:eastAsia="en-US"/>
    </w:rPr>
  </w:style>
  <w:style w:type="paragraph" w:customStyle="1" w:styleId="aff2">
    <w:name w:val="סוג_מסמך"/>
    <w:basedOn w:val="a0"/>
    <w:pPr>
      <w:jc w:val="center"/>
    </w:pPr>
    <w:rPr>
      <w:b/>
      <w:bCs/>
      <w:sz w:val="32"/>
      <w:szCs w:val="32"/>
    </w:rPr>
  </w:style>
  <w:style w:type="paragraph" w:customStyle="1" w:styleId="aff3">
    <w:name w:val="יעד מסמך"/>
    <w:basedOn w:val="a0"/>
    <w:pPr>
      <w:jc w:val="center"/>
    </w:pPr>
    <w:rPr>
      <w:b/>
      <w:bCs/>
      <w:sz w:val="32"/>
      <w:szCs w:val="32"/>
    </w:rPr>
  </w:style>
  <w:style w:type="paragraph" w:customStyle="1" w:styleId="aff4">
    <w:name w:val="תאריך_עברי_פוטר"/>
    <w:basedOn w:val="afe"/>
    <w:pPr>
      <w:jc w:val="right"/>
    </w:pPr>
  </w:style>
  <w:style w:type="paragraph" w:customStyle="1" w:styleId="aff5">
    <w:name w:val="תאריך עברי_שער"/>
    <w:basedOn w:val="af3"/>
    <w:pPr>
      <w:jc w:val="center"/>
    </w:pPr>
    <w:rPr>
      <w:b w:val="0"/>
      <w:bCs w:val="0"/>
      <w:sz w:val="24"/>
      <w:szCs w:val="24"/>
    </w:rPr>
  </w:style>
  <w:style w:type="paragraph" w:customStyle="1" w:styleId="aff6">
    <w:name w:val="תאריך_לועזי_שער"/>
    <w:basedOn w:val="a0"/>
    <w:pPr>
      <w:framePr w:hSpace="180" w:wrap="notBeside" w:vAnchor="text" w:hAnchor="margin" w:xAlign="right" w:y="266"/>
      <w:jc w:val="center"/>
    </w:pPr>
    <w:rPr>
      <w:lang w:eastAsia="en-US"/>
    </w:rPr>
  </w:style>
  <w:style w:type="paragraph" w:customStyle="1" w:styleId="aff7">
    <w:name w:val="כותרת גרף"/>
    <w:basedOn w:val="a0"/>
    <w:pPr>
      <w:spacing w:before="0" w:after="0" w:line="240" w:lineRule="auto"/>
      <w:ind w:right="210"/>
    </w:pPr>
    <w:rPr>
      <w:rFonts w:ascii="Arial" w:hAnsi="Arial" w:cs="Arial"/>
      <w:spacing w:val="10"/>
      <w:sz w:val="22"/>
      <w:szCs w:val="22"/>
    </w:rPr>
  </w:style>
  <w:style w:type="paragraph" w:customStyle="1" w:styleId="aff8">
    <w:name w:val="כותרת גרף ירוקה"/>
    <w:basedOn w:val="a0"/>
    <w:pPr>
      <w:spacing w:before="60" w:after="60" w:line="240" w:lineRule="auto"/>
      <w:ind w:right="210"/>
    </w:pPr>
    <w:rPr>
      <w:rFonts w:ascii="Arial" w:hAnsi="Arial" w:cs="Arial"/>
      <w:b/>
      <w:bCs/>
      <w:color w:val="008000"/>
      <w:spacing w:val="10"/>
      <w:sz w:val="22"/>
      <w:szCs w:val="22"/>
    </w:rPr>
  </w:style>
  <w:style w:type="paragraph" w:customStyle="1" w:styleId="aff9">
    <w:name w:val="שם_מסמך"/>
    <w:basedOn w:val="a0"/>
    <w:pPr>
      <w:jc w:val="center"/>
    </w:pPr>
    <w:rPr>
      <w:b/>
      <w:bCs/>
      <w:sz w:val="40"/>
      <w:szCs w:val="40"/>
    </w:rPr>
  </w:style>
  <w:style w:type="paragraph" w:customStyle="1" w:styleId="affa">
    <w:name w:val="יעוד_מסמך"/>
    <w:basedOn w:val="a4"/>
    <w:pPr>
      <w:ind w:left="-14"/>
      <w:jc w:val="center"/>
    </w:pPr>
    <w:rPr>
      <w:b/>
      <w:bCs/>
      <w:sz w:val="32"/>
      <w:szCs w:val="32"/>
    </w:rPr>
  </w:style>
  <w:style w:type="paragraph" w:customStyle="1" w:styleId="affb">
    <w:name w:val="כתיבה_שער"/>
    <w:basedOn w:val="af1"/>
    <w:rPr>
      <w:b/>
      <w:bCs/>
      <w:sz w:val="28"/>
      <w:szCs w:val="28"/>
    </w:rPr>
  </w:style>
  <w:style w:type="paragraph" w:customStyle="1" w:styleId="affc">
    <w:name w:val="אישור_שער"/>
    <w:basedOn w:val="af2"/>
    <w:pPr>
      <w:spacing w:before="80"/>
    </w:pPr>
  </w:style>
  <w:style w:type="paragraph" w:customStyle="1" w:styleId="affd">
    <w:name w:val="סימוכין_שער"/>
    <w:basedOn w:val="aff6"/>
    <w:pPr>
      <w:framePr w:wrap="notBeside"/>
      <w:spacing w:before="0" w:after="0" w:line="240" w:lineRule="auto"/>
      <w:jc w:val="left"/>
    </w:pPr>
    <w:rPr>
      <w:sz w:val="16"/>
      <w:szCs w:val="16"/>
    </w:rPr>
  </w:style>
  <w:style w:type="paragraph" w:customStyle="1" w:styleId="affe">
    <w:name w:val="תאריך_לועזי_פוטר"/>
    <w:basedOn w:val="afe"/>
    <w:pPr>
      <w:framePr w:hSpace="180" w:wrap="around" w:vAnchor="text" w:hAnchor="margin" w:xAlign="right" w:y="1"/>
      <w:suppressOverlap/>
      <w:jc w:val="left"/>
    </w:pPr>
  </w:style>
  <w:style w:type="paragraph" w:styleId="afff">
    <w:name w:val="Body Text"/>
    <w:basedOn w:val="a0"/>
    <w:rPr>
      <w:b/>
      <w:bCs/>
      <w:spacing w:val="-4"/>
      <w:szCs w:val="20"/>
    </w:rPr>
  </w:style>
  <w:style w:type="character" w:customStyle="1" w:styleId="apple-style-span">
    <w:name w:val="apple-style-span"/>
    <w:basedOn w:val="a1"/>
    <w:rsid w:val="00976764"/>
  </w:style>
  <w:style w:type="character" w:customStyle="1" w:styleId="mw-headline">
    <w:name w:val="mw-headline"/>
    <w:basedOn w:val="a1"/>
    <w:rsid w:val="00D1208A"/>
  </w:style>
  <w:style w:type="character" w:customStyle="1" w:styleId="enumlstr">
    <w:name w:val="enumlstr"/>
    <w:rsid w:val="00CE75FE"/>
    <w:rPr>
      <w:b/>
      <w:bCs/>
      <w:color w:val="000066"/>
    </w:rPr>
  </w:style>
  <w:style w:type="character" w:customStyle="1" w:styleId="giladn">
    <w:name w:val="giladn"/>
    <w:semiHidden/>
    <w:rsid w:val="00C33835"/>
    <w:rPr>
      <w:rFonts w:ascii="Arial" w:hAnsi="Arial" w:cs="Arial"/>
      <w:color w:val="auto"/>
      <w:sz w:val="20"/>
      <w:szCs w:val="20"/>
    </w:rPr>
  </w:style>
  <w:style w:type="paragraph" w:styleId="afff0">
    <w:name w:val="Balloon Text"/>
    <w:basedOn w:val="a0"/>
    <w:link w:val="afff1"/>
    <w:rsid w:val="008345DE"/>
    <w:rPr>
      <w:rFonts w:ascii="Tahoma" w:hAnsi="Tahoma" w:cs="Tahoma"/>
      <w:sz w:val="16"/>
      <w:szCs w:val="16"/>
    </w:rPr>
  </w:style>
  <w:style w:type="character" w:customStyle="1" w:styleId="a9">
    <w:name w:val="פסקה# תו"/>
    <w:link w:val="a7"/>
    <w:rsid w:val="00470980"/>
    <w:rPr>
      <w:rFonts w:cs="David"/>
      <w:sz w:val="24"/>
      <w:szCs w:val="24"/>
      <w:lang w:val="en-US" w:eastAsia="en-US" w:bidi="he-IL"/>
    </w:rPr>
  </w:style>
  <w:style w:type="character" w:customStyle="1" w:styleId="a8">
    <w:name w:val="דילוג תו"/>
    <w:basedOn w:val="a9"/>
    <w:link w:val="a5"/>
    <w:rsid w:val="00470980"/>
    <w:rPr>
      <w:rFonts w:cs="David"/>
      <w:sz w:val="24"/>
      <w:szCs w:val="24"/>
      <w:lang w:val="en-US" w:eastAsia="en-US" w:bidi="he-IL"/>
    </w:rPr>
  </w:style>
  <w:style w:type="character" w:customStyle="1" w:styleId="a6">
    <w:name w:val="פסקה רג תו"/>
    <w:basedOn w:val="a8"/>
    <w:link w:val="a4"/>
    <w:uiPriority w:val="99"/>
    <w:rsid w:val="00F824D5"/>
    <w:rPr>
      <w:rFonts w:cs="David"/>
      <w:sz w:val="22"/>
      <w:szCs w:val="24"/>
      <w:lang w:val="en-US" w:eastAsia="en-US" w:bidi="he-IL"/>
    </w:rPr>
  </w:style>
  <w:style w:type="paragraph" w:styleId="NormalWeb">
    <w:name w:val="Normal (Web)"/>
    <w:basedOn w:val="a0"/>
    <w:uiPriority w:val="99"/>
    <w:rsid w:val="00EB6BF1"/>
    <w:pPr>
      <w:bidi w:val="0"/>
      <w:spacing w:before="100" w:beforeAutospacing="1" w:after="100" w:afterAutospacing="1" w:line="240" w:lineRule="auto"/>
      <w:jc w:val="left"/>
    </w:pPr>
    <w:rPr>
      <w:rFonts w:cs="Times New Roman"/>
      <w:lang w:eastAsia="en-US"/>
    </w:rPr>
  </w:style>
  <w:style w:type="character" w:customStyle="1" w:styleId="runningglos1">
    <w:name w:val="runningglos1"/>
    <w:rsid w:val="003A16DD"/>
    <w:rPr>
      <w:rFonts w:ascii="Arial" w:hAnsi="Arial" w:cs="Arial" w:hint="default"/>
      <w:sz w:val="20"/>
      <w:szCs w:val="20"/>
    </w:rPr>
  </w:style>
  <w:style w:type="paragraph" w:customStyle="1" w:styleId="western">
    <w:name w:val="western"/>
    <w:basedOn w:val="a0"/>
    <w:rsid w:val="00273E2D"/>
    <w:pPr>
      <w:bidi w:val="0"/>
      <w:spacing w:before="100" w:beforeAutospacing="1" w:after="100" w:afterAutospacing="1" w:line="240" w:lineRule="auto"/>
      <w:jc w:val="left"/>
    </w:pPr>
    <w:rPr>
      <w:rFonts w:cs="Times New Roman"/>
      <w:lang w:eastAsia="en-US"/>
    </w:rPr>
  </w:style>
  <w:style w:type="paragraph" w:customStyle="1" w:styleId="P00">
    <w:name w:val="P00"/>
    <w:rsid w:val="00A356F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paragraph" w:customStyle="1" w:styleId="P22">
    <w:name w:val="P22"/>
    <w:basedOn w:val="P00"/>
    <w:rsid w:val="00A356F9"/>
    <w:pPr>
      <w:tabs>
        <w:tab w:val="clear" w:pos="624"/>
        <w:tab w:val="clear" w:pos="1021"/>
      </w:tabs>
      <w:ind w:right="1021"/>
    </w:pPr>
  </w:style>
  <w:style w:type="character" w:customStyle="1" w:styleId="default">
    <w:name w:val="default"/>
    <w:rsid w:val="00A356F9"/>
    <w:rPr>
      <w:rFonts w:ascii="Times New Roman" w:hAnsi="Times New Roman" w:cs="Times New Roman" w:hint="default"/>
      <w:sz w:val="26"/>
      <w:szCs w:val="26"/>
    </w:rPr>
  </w:style>
  <w:style w:type="paragraph" w:customStyle="1" w:styleId="ruller5">
    <w:name w:val="ruller5"/>
    <w:basedOn w:val="a0"/>
    <w:rsid w:val="004E2020"/>
    <w:pPr>
      <w:overflowPunct w:val="0"/>
      <w:autoSpaceDE w:val="0"/>
      <w:autoSpaceDN w:val="0"/>
      <w:spacing w:before="0" w:after="0" w:line="240" w:lineRule="auto"/>
      <w:ind w:left="1642" w:right="1282"/>
    </w:pPr>
    <w:rPr>
      <w:rFonts w:ascii="Arial TUR" w:hAnsi="Arial TUR" w:cs="Arial TUR"/>
      <w:spacing w:val="10"/>
      <w:sz w:val="22"/>
      <w:szCs w:val="22"/>
    </w:rPr>
  </w:style>
  <w:style w:type="character" w:customStyle="1" w:styleId="jnenbez">
    <w:name w:val="jnenbez"/>
    <w:basedOn w:val="a1"/>
    <w:rsid w:val="000C43DA"/>
  </w:style>
  <w:style w:type="character" w:customStyle="1" w:styleId="jnentitel">
    <w:name w:val="jnentitel"/>
    <w:basedOn w:val="a1"/>
    <w:rsid w:val="000C43DA"/>
  </w:style>
  <w:style w:type="character" w:customStyle="1" w:styleId="google-src-text1">
    <w:name w:val="google-src-text1"/>
    <w:rsid w:val="000C43DA"/>
    <w:rPr>
      <w:vanish/>
      <w:webHidden w:val="0"/>
      <w:specVanish w:val="0"/>
    </w:rPr>
  </w:style>
  <w:style w:type="character" w:customStyle="1" w:styleId="simfield1">
    <w:name w:val="simfield1"/>
    <w:rsid w:val="00676261"/>
    <w:rPr>
      <w:rFonts w:ascii="Arial" w:hAnsi="Arial" w:cs="Arial" w:hint="default"/>
      <w:vanish w:val="0"/>
      <w:webHidden w:val="0"/>
      <w:color w:val="003366"/>
      <w:bdr w:val="single" w:sz="4" w:space="1" w:color="CCCCCC" w:frame="1"/>
      <w:shd w:val="clear" w:color="auto" w:fill="F2F2F2"/>
      <w:specVanish w:val="0"/>
    </w:rPr>
  </w:style>
  <w:style w:type="character" w:customStyle="1" w:styleId="apple-converted-space">
    <w:name w:val="apple-converted-space"/>
    <w:basedOn w:val="a1"/>
    <w:rsid w:val="00725DCD"/>
  </w:style>
  <w:style w:type="paragraph" w:customStyle="1" w:styleId="shw">
    <w:name w:val="shw"/>
    <w:basedOn w:val="a0"/>
    <w:rsid w:val="00B7557D"/>
    <w:pPr>
      <w:bidi w:val="0"/>
      <w:spacing w:before="100" w:beforeAutospacing="1" w:after="100" w:afterAutospacing="1" w:line="240" w:lineRule="auto"/>
      <w:jc w:val="left"/>
    </w:pPr>
    <w:rPr>
      <w:rFonts w:cs="Times New Roman"/>
      <w:lang w:eastAsia="en-US"/>
    </w:rPr>
  </w:style>
  <w:style w:type="paragraph" w:customStyle="1" w:styleId="Level1">
    <w:name w:val="Level 1"/>
    <w:basedOn w:val="a0"/>
    <w:rsid w:val="005D7E30"/>
    <w:pPr>
      <w:widowControl w:val="0"/>
      <w:bidi w:val="0"/>
      <w:spacing w:before="0" w:after="0" w:line="240" w:lineRule="auto"/>
      <w:jc w:val="left"/>
    </w:pPr>
    <w:rPr>
      <w:rFonts w:cs="Times New Roman"/>
      <w:szCs w:val="20"/>
      <w:lang w:eastAsia="en-US"/>
    </w:rPr>
  </w:style>
  <w:style w:type="paragraph" w:customStyle="1" w:styleId="ListParagraph1">
    <w:name w:val="List Paragraph1"/>
    <w:basedOn w:val="a0"/>
    <w:uiPriority w:val="34"/>
    <w:qFormat/>
    <w:rsid w:val="00F60BC6"/>
    <w:pPr>
      <w:ind w:left="720"/>
    </w:pPr>
  </w:style>
  <w:style w:type="character" w:styleId="afff2">
    <w:name w:val="Strong"/>
    <w:uiPriority w:val="22"/>
    <w:qFormat/>
    <w:rsid w:val="00A91DA2"/>
    <w:rPr>
      <w:b/>
      <w:bCs/>
    </w:rPr>
  </w:style>
  <w:style w:type="character" w:customStyle="1" w:styleId="ptext-2">
    <w:name w:val="ptext-2"/>
    <w:basedOn w:val="a1"/>
    <w:rsid w:val="003A0FBD"/>
  </w:style>
  <w:style w:type="character" w:customStyle="1" w:styleId="ptext-3">
    <w:name w:val="ptext-3"/>
    <w:basedOn w:val="a1"/>
    <w:rsid w:val="003A0FBD"/>
  </w:style>
  <w:style w:type="character" w:customStyle="1" w:styleId="enumbell">
    <w:name w:val="enumbell"/>
    <w:rsid w:val="003A0FBD"/>
    <w:rPr>
      <w:b/>
      <w:bCs/>
    </w:rPr>
  </w:style>
  <w:style w:type="character" w:styleId="afff3">
    <w:name w:val="Emphasis"/>
    <w:uiPriority w:val="20"/>
    <w:qFormat/>
    <w:rsid w:val="004F0366"/>
    <w:rPr>
      <w:i/>
      <w:iCs/>
    </w:rPr>
  </w:style>
  <w:style w:type="character" w:customStyle="1" w:styleId="searchword">
    <w:name w:val="searchword"/>
    <w:rsid w:val="000A755B"/>
    <w:rPr>
      <w:shd w:val="clear" w:color="auto" w:fill="FFFF00"/>
    </w:rPr>
  </w:style>
  <w:style w:type="paragraph" w:customStyle="1" w:styleId="legp1paratext1">
    <w:name w:val="legp1paratext1"/>
    <w:basedOn w:val="a0"/>
    <w:rsid w:val="00552131"/>
    <w:pPr>
      <w:shd w:val="clear" w:color="auto" w:fill="FFFFFF"/>
      <w:bidi w:val="0"/>
      <w:spacing w:before="0" w:line="360" w:lineRule="atLeast"/>
      <w:ind w:firstLine="240"/>
    </w:pPr>
    <w:rPr>
      <w:rFonts w:cs="Times New Roman"/>
      <w:color w:val="000000"/>
      <w:sz w:val="19"/>
      <w:szCs w:val="19"/>
      <w:lang w:eastAsia="en-US"/>
    </w:rPr>
  </w:style>
  <w:style w:type="paragraph" w:customStyle="1" w:styleId="legp2paratext1">
    <w:name w:val="legp2paratext1"/>
    <w:basedOn w:val="a0"/>
    <w:rsid w:val="00552131"/>
    <w:pPr>
      <w:shd w:val="clear" w:color="auto" w:fill="FFFFFF"/>
      <w:bidi w:val="0"/>
      <w:spacing w:before="0" w:line="360" w:lineRule="atLeast"/>
      <w:ind w:firstLine="240"/>
    </w:pPr>
    <w:rPr>
      <w:rFonts w:cs="Times New Roman"/>
      <w:color w:val="000000"/>
      <w:sz w:val="19"/>
      <w:szCs w:val="19"/>
      <w:lang w:eastAsia="en-US"/>
    </w:rPr>
  </w:style>
  <w:style w:type="character" w:customStyle="1" w:styleId="legp1no3">
    <w:name w:val="legp1no3"/>
    <w:rsid w:val="00552131"/>
    <w:rPr>
      <w:b/>
      <w:bCs/>
    </w:rPr>
  </w:style>
  <w:style w:type="character" w:customStyle="1" w:styleId="legdsleglhslegp3no">
    <w:name w:val="legds leglhs legp3no"/>
    <w:basedOn w:val="a1"/>
    <w:rsid w:val="00552131"/>
  </w:style>
  <w:style w:type="character" w:customStyle="1" w:styleId="legdslegrhslegp3text">
    <w:name w:val="legds legrhs legp3text"/>
    <w:basedOn w:val="a1"/>
    <w:rsid w:val="00552131"/>
  </w:style>
  <w:style w:type="character" w:customStyle="1" w:styleId="code">
    <w:name w:val="code"/>
    <w:basedOn w:val="a1"/>
    <w:rsid w:val="00FB0680"/>
  </w:style>
  <w:style w:type="character" w:customStyle="1" w:styleId="st1">
    <w:name w:val="st1"/>
    <w:basedOn w:val="a1"/>
    <w:rsid w:val="00871CED"/>
  </w:style>
  <w:style w:type="paragraph" w:customStyle="1" w:styleId="Default0">
    <w:name w:val="Default"/>
    <w:rsid w:val="000E2616"/>
    <w:pPr>
      <w:autoSpaceDE w:val="0"/>
      <w:autoSpaceDN w:val="0"/>
      <w:adjustRightInd w:val="0"/>
    </w:pPr>
    <w:rPr>
      <w:rFonts w:ascii="Book Antiqua" w:hAnsi="Book Antiqua" w:cs="Book Antiqua"/>
      <w:color w:val="000000"/>
      <w:sz w:val="24"/>
      <w:szCs w:val="24"/>
    </w:rPr>
  </w:style>
  <w:style w:type="paragraph" w:customStyle="1" w:styleId="gufpsak">
    <w:name w:val="gufpsak"/>
    <w:basedOn w:val="a0"/>
    <w:rsid w:val="006971B1"/>
    <w:pPr>
      <w:autoSpaceDE w:val="0"/>
      <w:autoSpaceDN w:val="0"/>
      <w:spacing w:before="0" w:after="0" w:line="300" w:lineRule="atLeast"/>
    </w:pPr>
    <w:rPr>
      <w:rFonts w:ascii="Arial" w:hAnsi="Arial" w:cs="Arial"/>
      <w:sz w:val="20"/>
      <w:szCs w:val="20"/>
      <w:lang w:eastAsia="en-US"/>
    </w:rPr>
  </w:style>
  <w:style w:type="paragraph" w:customStyle="1" w:styleId="CharChar">
    <w:name w:val="Char Char"/>
    <w:basedOn w:val="Default0"/>
    <w:next w:val="Default0"/>
    <w:uiPriority w:val="99"/>
    <w:rsid w:val="00BA5A99"/>
    <w:rPr>
      <w:rFonts w:ascii="Arial" w:hAnsi="Arial" w:cs="Arial"/>
      <w:color w:val="auto"/>
    </w:rPr>
  </w:style>
  <w:style w:type="character" w:styleId="HTML">
    <w:name w:val="HTML Acronym"/>
    <w:basedOn w:val="a1"/>
    <w:uiPriority w:val="99"/>
    <w:unhideWhenUsed/>
    <w:rsid w:val="00FC2CBB"/>
  </w:style>
  <w:style w:type="paragraph" w:customStyle="1" w:styleId="subsection">
    <w:name w:val="subsection"/>
    <w:basedOn w:val="a0"/>
    <w:rsid w:val="002D26E0"/>
    <w:pPr>
      <w:bidi w:val="0"/>
      <w:spacing w:before="100" w:beforeAutospacing="1" w:after="100" w:afterAutospacing="1" w:line="240" w:lineRule="auto"/>
      <w:jc w:val="left"/>
    </w:pPr>
    <w:rPr>
      <w:rFonts w:cs="Times New Roman"/>
      <w:lang w:eastAsia="en-US"/>
    </w:rPr>
  </w:style>
  <w:style w:type="paragraph" w:customStyle="1" w:styleId="paragraph">
    <w:name w:val="paragraph"/>
    <w:basedOn w:val="a0"/>
    <w:rsid w:val="002D26E0"/>
    <w:pPr>
      <w:bidi w:val="0"/>
      <w:spacing w:before="100" w:beforeAutospacing="1" w:after="100" w:afterAutospacing="1" w:line="240" w:lineRule="auto"/>
      <w:jc w:val="left"/>
    </w:pPr>
    <w:rPr>
      <w:rFonts w:cs="Times New Roman"/>
      <w:lang w:eastAsia="en-US"/>
    </w:rPr>
  </w:style>
  <w:style w:type="paragraph" w:customStyle="1" w:styleId="subsection2">
    <w:name w:val="subsection2"/>
    <w:basedOn w:val="a0"/>
    <w:rsid w:val="002D26E0"/>
    <w:pPr>
      <w:bidi w:val="0"/>
      <w:spacing w:before="100" w:beforeAutospacing="1" w:after="100" w:afterAutospacing="1" w:line="240" w:lineRule="auto"/>
      <w:jc w:val="left"/>
    </w:pPr>
    <w:rPr>
      <w:rFonts w:cs="Times New Roman"/>
      <w:lang w:eastAsia="en-US"/>
    </w:rPr>
  </w:style>
  <w:style w:type="paragraph" w:customStyle="1" w:styleId="notetext">
    <w:name w:val="notetext"/>
    <w:basedOn w:val="a0"/>
    <w:rsid w:val="002D26E0"/>
    <w:pPr>
      <w:bidi w:val="0"/>
      <w:spacing w:before="100" w:beforeAutospacing="1" w:after="100" w:afterAutospacing="1" w:line="240" w:lineRule="auto"/>
      <w:jc w:val="left"/>
    </w:pPr>
    <w:rPr>
      <w:rFonts w:cs="Times New Roman"/>
      <w:lang w:eastAsia="en-US"/>
    </w:rPr>
  </w:style>
  <w:style w:type="paragraph" w:customStyle="1" w:styleId="definition">
    <w:name w:val="definition"/>
    <w:basedOn w:val="a0"/>
    <w:rsid w:val="00991971"/>
    <w:pPr>
      <w:bidi w:val="0"/>
      <w:spacing w:before="100" w:beforeAutospacing="1" w:after="100" w:afterAutospacing="1" w:line="240" w:lineRule="auto"/>
      <w:jc w:val="left"/>
    </w:pPr>
    <w:rPr>
      <w:rFonts w:cs="Times New Roman"/>
      <w:lang w:eastAsia="en-US"/>
    </w:rPr>
  </w:style>
  <w:style w:type="paragraph" w:customStyle="1" w:styleId="paragraphsub">
    <w:name w:val="paragraphsub"/>
    <w:basedOn w:val="a0"/>
    <w:rsid w:val="00991971"/>
    <w:pPr>
      <w:bidi w:val="0"/>
      <w:spacing w:before="100" w:beforeAutospacing="1" w:after="100" w:afterAutospacing="1" w:line="240" w:lineRule="auto"/>
      <w:jc w:val="left"/>
    </w:pPr>
    <w:rPr>
      <w:rFonts w:cs="Times New Roman"/>
      <w:lang w:eastAsia="en-US"/>
    </w:rPr>
  </w:style>
  <w:style w:type="paragraph" w:customStyle="1" w:styleId="acthead5">
    <w:name w:val="acthead5"/>
    <w:basedOn w:val="a0"/>
    <w:rsid w:val="003D1BBD"/>
    <w:pPr>
      <w:bidi w:val="0"/>
      <w:spacing w:before="100" w:beforeAutospacing="1" w:after="100" w:afterAutospacing="1" w:line="240" w:lineRule="auto"/>
      <w:jc w:val="left"/>
    </w:pPr>
    <w:rPr>
      <w:rFonts w:cs="Times New Roman"/>
      <w:lang w:eastAsia="en-US"/>
    </w:rPr>
  </w:style>
  <w:style w:type="character" w:customStyle="1" w:styleId="plainlinksneverexpand">
    <w:name w:val="plainlinksneverexpand"/>
    <w:basedOn w:val="a1"/>
    <w:rsid w:val="00111A86"/>
  </w:style>
  <w:style w:type="character" w:customStyle="1" w:styleId="ptext-4">
    <w:name w:val="ptext-4"/>
    <w:basedOn w:val="a1"/>
    <w:rsid w:val="00E51F32"/>
  </w:style>
  <w:style w:type="character" w:styleId="HTMLCite">
    <w:name w:val="HTML Cite"/>
    <w:uiPriority w:val="99"/>
    <w:rsid w:val="00FA6DE4"/>
    <w:rPr>
      <w:i/>
      <w:iCs/>
    </w:rPr>
  </w:style>
  <w:style w:type="character" w:customStyle="1" w:styleId="term1">
    <w:name w:val="term1"/>
    <w:rsid w:val="009232B0"/>
    <w:rPr>
      <w:b/>
      <w:bCs/>
    </w:rPr>
  </w:style>
  <w:style w:type="character" w:customStyle="1" w:styleId="pmterms11">
    <w:name w:val="pmterms11"/>
    <w:rsid w:val="009232B0"/>
    <w:rPr>
      <w:b/>
      <w:bCs/>
      <w:i w:val="0"/>
      <w:iCs w:val="0"/>
      <w:color w:val="000000"/>
    </w:rPr>
  </w:style>
  <w:style w:type="character" w:customStyle="1" w:styleId="smallital">
    <w:name w:val="smallital"/>
    <w:basedOn w:val="a1"/>
    <w:rsid w:val="005E7EF9"/>
  </w:style>
  <w:style w:type="paragraph" w:customStyle="1" w:styleId="startjustify">
    <w:name w:val="start justify"/>
    <w:basedOn w:val="a0"/>
    <w:rsid w:val="00584533"/>
    <w:pPr>
      <w:bidi w:val="0"/>
      <w:spacing w:before="100" w:beforeAutospacing="1" w:after="100" w:afterAutospacing="1" w:line="240" w:lineRule="auto"/>
      <w:jc w:val="left"/>
    </w:pPr>
    <w:rPr>
      <w:rFonts w:cs="Times New Roman"/>
      <w:lang w:eastAsia="en-US"/>
    </w:rPr>
  </w:style>
  <w:style w:type="character" w:customStyle="1" w:styleId="14">
    <w:name w:val="כות_1 תו"/>
    <w:link w:val="1"/>
    <w:rsid w:val="007D37E8"/>
    <w:rPr>
      <w:rFonts w:cs="David"/>
      <w:b/>
      <w:bCs/>
      <w:sz w:val="28"/>
      <w:szCs w:val="28"/>
      <w:lang w:eastAsia="he-IL"/>
    </w:rPr>
  </w:style>
  <w:style w:type="character" w:customStyle="1" w:styleId="112">
    <w:name w:val="כות_1.1 תו"/>
    <w:basedOn w:val="14"/>
    <w:link w:val="11"/>
    <w:rsid w:val="007D37E8"/>
    <w:rPr>
      <w:rFonts w:cs="David"/>
      <w:b/>
      <w:bCs/>
      <w:sz w:val="28"/>
      <w:szCs w:val="28"/>
      <w:lang w:eastAsia="he-IL"/>
    </w:rPr>
  </w:style>
  <w:style w:type="paragraph" w:customStyle="1" w:styleId="1113">
    <w:name w:val="סגנון כות_1.1 + (עברית ושפות אחרות) ‏13 נק'"/>
    <w:basedOn w:val="11"/>
    <w:rsid w:val="004E0EDC"/>
    <w:pPr>
      <w:keepNext/>
      <w:keepLines/>
    </w:pPr>
    <w:rPr>
      <w:sz w:val="24"/>
      <w:szCs w:val="26"/>
    </w:rPr>
  </w:style>
  <w:style w:type="paragraph" w:styleId="afff4">
    <w:name w:val="List Paragraph"/>
    <w:basedOn w:val="a0"/>
    <w:uiPriority w:val="34"/>
    <w:qFormat/>
    <w:rsid w:val="00EF0682"/>
    <w:pPr>
      <w:ind w:left="720"/>
    </w:pPr>
  </w:style>
  <w:style w:type="character" w:customStyle="1" w:styleId="ab">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link w:val="aa"/>
    <w:rsid w:val="009C3CF0"/>
    <w:rPr>
      <w:rFonts w:cs="David"/>
      <w:spacing w:val="-4"/>
      <w:lang w:val="x-none" w:eastAsia="he-IL"/>
    </w:rPr>
  </w:style>
  <w:style w:type="paragraph" w:customStyle="1" w:styleId="p000">
    <w:name w:val="p00"/>
    <w:basedOn w:val="a0"/>
    <w:rsid w:val="00DC19DA"/>
    <w:pPr>
      <w:bidi w:val="0"/>
      <w:spacing w:before="100" w:beforeAutospacing="1" w:after="100" w:afterAutospacing="1" w:line="240" w:lineRule="auto"/>
      <w:jc w:val="left"/>
    </w:pPr>
    <w:rPr>
      <w:rFonts w:cs="Times New Roman"/>
      <w:lang w:eastAsia="en-US"/>
    </w:rPr>
  </w:style>
  <w:style w:type="character" w:customStyle="1" w:styleId="big-number">
    <w:name w:val="big-number"/>
    <w:basedOn w:val="a1"/>
    <w:rsid w:val="00DC19DA"/>
  </w:style>
  <w:style w:type="paragraph" w:customStyle="1" w:styleId="header-2">
    <w:name w:val="header-2"/>
    <w:basedOn w:val="a0"/>
    <w:rsid w:val="00DC19DA"/>
    <w:pPr>
      <w:bidi w:val="0"/>
      <w:spacing w:before="100" w:beforeAutospacing="1" w:after="100" w:afterAutospacing="1" w:line="240" w:lineRule="auto"/>
      <w:jc w:val="left"/>
    </w:pPr>
    <w:rPr>
      <w:rFonts w:cs="Times New Roman"/>
      <w:lang w:eastAsia="en-US"/>
    </w:rPr>
  </w:style>
  <w:style w:type="paragraph" w:customStyle="1" w:styleId="p11">
    <w:name w:val="p11"/>
    <w:basedOn w:val="a0"/>
    <w:rsid w:val="00DC19DA"/>
    <w:pPr>
      <w:bidi w:val="0"/>
      <w:spacing w:before="100" w:beforeAutospacing="1" w:after="100" w:afterAutospacing="1" w:line="240" w:lineRule="auto"/>
      <w:jc w:val="left"/>
    </w:pPr>
    <w:rPr>
      <w:rFonts w:cs="Times New Roman"/>
      <w:lang w:eastAsia="en-US"/>
    </w:rPr>
  </w:style>
  <w:style w:type="paragraph" w:customStyle="1" w:styleId="p220">
    <w:name w:val="p22"/>
    <w:basedOn w:val="a0"/>
    <w:rsid w:val="00DC19DA"/>
    <w:pPr>
      <w:bidi w:val="0"/>
      <w:spacing w:before="100" w:beforeAutospacing="1" w:after="100" w:afterAutospacing="1" w:line="240" w:lineRule="auto"/>
      <w:jc w:val="left"/>
    </w:pPr>
    <w:rPr>
      <w:rFonts w:cs="Times New Roman"/>
      <w:lang w:eastAsia="en-US"/>
    </w:rPr>
  </w:style>
  <w:style w:type="paragraph" w:customStyle="1" w:styleId="medium2-header">
    <w:name w:val="medium2-header"/>
    <w:basedOn w:val="a0"/>
    <w:rsid w:val="00DC19DA"/>
    <w:pPr>
      <w:bidi w:val="0"/>
      <w:spacing w:before="100" w:beforeAutospacing="1" w:after="100" w:afterAutospacing="1" w:line="240" w:lineRule="auto"/>
      <w:jc w:val="left"/>
    </w:pPr>
    <w:rPr>
      <w:rFonts w:cs="Times New Roman"/>
      <w:lang w:eastAsia="en-US"/>
    </w:rPr>
  </w:style>
  <w:style w:type="character" w:customStyle="1" w:styleId="mw-editsection">
    <w:name w:val="mw-editsection"/>
    <w:rsid w:val="00135DE5"/>
  </w:style>
  <w:style w:type="character" w:customStyle="1" w:styleId="mw-editsection-bracket">
    <w:name w:val="mw-editsection-bracket"/>
    <w:rsid w:val="00135DE5"/>
  </w:style>
  <w:style w:type="paragraph" w:styleId="HTML0">
    <w:name w:val="HTML Preformatted"/>
    <w:basedOn w:val="a0"/>
    <w:link w:val="HTML1"/>
    <w:uiPriority w:val="99"/>
    <w:unhideWhenUsed/>
    <w:rsid w:val="009965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before="0" w:after="0" w:line="240" w:lineRule="auto"/>
      <w:jc w:val="left"/>
    </w:pPr>
    <w:rPr>
      <w:rFonts w:ascii="Courier New" w:hAnsi="Courier New" w:cs="Times New Roman"/>
      <w:sz w:val="20"/>
      <w:szCs w:val="20"/>
      <w:lang w:val="x-none" w:eastAsia="x-none"/>
    </w:rPr>
  </w:style>
  <w:style w:type="character" w:customStyle="1" w:styleId="HTML1">
    <w:name w:val="HTML מעוצב מראש תו"/>
    <w:link w:val="HTML0"/>
    <w:uiPriority w:val="99"/>
    <w:rsid w:val="0099653B"/>
    <w:rPr>
      <w:rFonts w:ascii="Courier New" w:hAnsi="Courier New" w:cs="Courier New"/>
    </w:rPr>
  </w:style>
  <w:style w:type="paragraph" w:customStyle="1" w:styleId="section-label">
    <w:name w:val="section-label"/>
    <w:basedOn w:val="a0"/>
    <w:rsid w:val="00E3267F"/>
    <w:pPr>
      <w:bidi w:val="0"/>
      <w:spacing w:before="100" w:beforeAutospacing="1" w:after="100" w:afterAutospacing="1" w:line="240" w:lineRule="auto"/>
      <w:jc w:val="left"/>
    </w:pPr>
    <w:rPr>
      <w:rFonts w:cs="Times New Roman"/>
      <w:lang w:eastAsia="en-US"/>
    </w:rPr>
  </w:style>
  <w:style w:type="paragraph" w:customStyle="1" w:styleId="section-para">
    <w:name w:val="section-para"/>
    <w:basedOn w:val="a0"/>
    <w:rsid w:val="00E3267F"/>
    <w:pPr>
      <w:bidi w:val="0"/>
      <w:spacing w:before="100" w:beforeAutospacing="1" w:after="100" w:afterAutospacing="1" w:line="240" w:lineRule="auto"/>
      <w:jc w:val="left"/>
    </w:pPr>
    <w:rPr>
      <w:rFonts w:cs="Times New Roman"/>
      <w:lang w:eastAsia="en-US"/>
    </w:rPr>
  </w:style>
  <w:style w:type="paragraph" w:customStyle="1" w:styleId="section-history">
    <w:name w:val="section-history"/>
    <w:basedOn w:val="a0"/>
    <w:rsid w:val="00E3267F"/>
    <w:pPr>
      <w:bidi w:val="0"/>
      <w:spacing w:before="100" w:beforeAutospacing="1" w:after="100" w:afterAutospacing="1" w:line="240" w:lineRule="auto"/>
      <w:jc w:val="left"/>
    </w:pPr>
    <w:rPr>
      <w:rFonts w:cs="Times New Roman"/>
      <w:lang w:eastAsia="en-US"/>
    </w:rPr>
  </w:style>
  <w:style w:type="character" w:customStyle="1" w:styleId="hit-highlight">
    <w:name w:val="hit-highlight"/>
    <w:rsid w:val="005E2EE4"/>
    <w:rPr>
      <w:b/>
      <w:bCs/>
      <w:shd w:val="clear" w:color="auto" w:fill="CCCCCC"/>
    </w:rPr>
  </w:style>
  <w:style w:type="paragraph" w:customStyle="1" w:styleId="ol-1">
    <w:name w:val="ol-1"/>
    <w:basedOn w:val="a0"/>
    <w:rsid w:val="005E2EE4"/>
    <w:pPr>
      <w:bidi w:val="0"/>
      <w:spacing w:before="15" w:after="100" w:afterAutospacing="1" w:line="240" w:lineRule="atLeast"/>
      <w:jc w:val="left"/>
    </w:pPr>
    <w:rPr>
      <w:rFonts w:ascii="Verdana" w:hAnsi="Verdana" w:cs="Times New Roman"/>
      <w:sz w:val="18"/>
      <w:szCs w:val="18"/>
      <w:lang w:eastAsia="en-US"/>
    </w:rPr>
  </w:style>
  <w:style w:type="paragraph" w:customStyle="1" w:styleId="ol-2">
    <w:name w:val="ol-2"/>
    <w:basedOn w:val="a0"/>
    <w:rsid w:val="005E2EE4"/>
    <w:pPr>
      <w:bidi w:val="0"/>
      <w:spacing w:before="15" w:after="100" w:afterAutospacing="1" w:line="240" w:lineRule="atLeast"/>
      <w:jc w:val="left"/>
    </w:pPr>
    <w:rPr>
      <w:rFonts w:ascii="Verdana" w:hAnsi="Verdana" w:cs="Times New Roman"/>
      <w:sz w:val="18"/>
      <w:szCs w:val="18"/>
      <w:lang w:eastAsia="en-US"/>
    </w:rPr>
  </w:style>
  <w:style w:type="paragraph" w:customStyle="1" w:styleId="ol-3">
    <w:name w:val="ol-3"/>
    <w:basedOn w:val="a0"/>
    <w:rsid w:val="005E2EE4"/>
    <w:pPr>
      <w:bidi w:val="0"/>
      <w:spacing w:before="15" w:after="100" w:afterAutospacing="1" w:line="240" w:lineRule="atLeast"/>
      <w:jc w:val="left"/>
    </w:pPr>
    <w:rPr>
      <w:rFonts w:ascii="Verdana" w:hAnsi="Verdana" w:cs="Times New Roman"/>
      <w:sz w:val="18"/>
      <w:szCs w:val="18"/>
      <w:lang w:eastAsia="en-US"/>
    </w:rPr>
  </w:style>
  <w:style w:type="character" w:customStyle="1" w:styleId="contents">
    <w:name w:val="contents"/>
    <w:rsid w:val="007A0EA9"/>
  </w:style>
  <w:style w:type="character" w:customStyle="1" w:styleId="sectno">
    <w:name w:val="sectno"/>
    <w:rsid w:val="007A0EA9"/>
  </w:style>
  <w:style w:type="character" w:customStyle="1" w:styleId="subject">
    <w:name w:val="subject"/>
    <w:rsid w:val="007A0EA9"/>
  </w:style>
  <w:style w:type="character" w:customStyle="1" w:styleId="enumxml1">
    <w:name w:val="enumxml1"/>
    <w:rsid w:val="007A0EA9"/>
    <w:rPr>
      <w:b/>
      <w:bCs/>
    </w:rPr>
  </w:style>
  <w:style w:type="character" w:customStyle="1" w:styleId="labelleader1">
    <w:name w:val="labelleader1"/>
    <w:rsid w:val="007A0EA9"/>
    <w:rPr>
      <w:b/>
      <w:bCs/>
    </w:rPr>
  </w:style>
  <w:style w:type="character" w:customStyle="1" w:styleId="ptext-18">
    <w:name w:val="ptext-18"/>
    <w:rsid w:val="007A0EA9"/>
  </w:style>
  <w:style w:type="character" w:customStyle="1" w:styleId="ptext-23">
    <w:name w:val="ptext-23"/>
    <w:rsid w:val="007A0EA9"/>
  </w:style>
  <w:style w:type="character" w:customStyle="1" w:styleId="ptext-33">
    <w:name w:val="ptext-33"/>
    <w:rsid w:val="007A0EA9"/>
  </w:style>
  <w:style w:type="character" w:customStyle="1" w:styleId="ptext-43">
    <w:name w:val="ptext-43"/>
    <w:rsid w:val="00E353F5"/>
  </w:style>
  <w:style w:type="paragraph" w:customStyle="1" w:styleId="norm">
    <w:name w:val="norm"/>
    <w:basedOn w:val="a0"/>
    <w:rsid w:val="00C039C2"/>
    <w:pPr>
      <w:bidi w:val="0"/>
      <w:spacing w:before="100" w:beforeAutospacing="1" w:after="100" w:afterAutospacing="1" w:line="240" w:lineRule="auto"/>
      <w:jc w:val="left"/>
    </w:pPr>
    <w:rPr>
      <w:rFonts w:cs="Times New Roman"/>
      <w:lang w:eastAsia="en-US"/>
    </w:rPr>
  </w:style>
  <w:style w:type="character" w:customStyle="1" w:styleId="mb">
    <w:name w:val="mb"/>
    <w:rsid w:val="00C039C2"/>
  </w:style>
  <w:style w:type="paragraph" w:customStyle="1" w:styleId="abs">
    <w:name w:val="abs"/>
    <w:basedOn w:val="a0"/>
    <w:rsid w:val="00C039C2"/>
    <w:pPr>
      <w:bidi w:val="0"/>
      <w:spacing w:before="100" w:beforeAutospacing="1" w:after="100" w:afterAutospacing="1" w:line="240" w:lineRule="auto"/>
      <w:jc w:val="left"/>
    </w:pPr>
    <w:rPr>
      <w:rFonts w:cs="Times New Roman"/>
      <w:lang w:eastAsia="en-US"/>
    </w:rPr>
  </w:style>
  <w:style w:type="paragraph" w:customStyle="1" w:styleId="follows-h4">
    <w:name w:val="follows-h4"/>
    <w:basedOn w:val="a0"/>
    <w:rsid w:val="00C039C2"/>
    <w:pPr>
      <w:bidi w:val="0"/>
      <w:spacing w:before="100" w:beforeAutospacing="1" w:after="100" w:afterAutospacing="1" w:line="240" w:lineRule="auto"/>
      <w:jc w:val="left"/>
    </w:pPr>
    <w:rPr>
      <w:rFonts w:cs="Times New Roman"/>
      <w:lang w:eastAsia="en-US"/>
    </w:rPr>
  </w:style>
  <w:style w:type="paragraph" w:customStyle="1" w:styleId="P01">
    <w:name w:val="P01"/>
    <w:basedOn w:val="P00"/>
    <w:rsid w:val="00B32465"/>
    <w:pPr>
      <w:ind w:right="624" w:hanging="624"/>
    </w:pPr>
    <w:rPr>
      <w:rFonts w:cs="FrankRuehl"/>
    </w:rPr>
  </w:style>
  <w:style w:type="paragraph" w:styleId="afff5">
    <w:name w:val="Block Text"/>
    <w:basedOn w:val="a0"/>
    <w:uiPriority w:val="99"/>
    <w:unhideWhenUsed/>
    <w:rsid w:val="00D73315"/>
    <w:pPr>
      <w:spacing w:before="0" w:after="0" w:line="240" w:lineRule="auto"/>
      <w:ind w:left="791" w:right="981" w:firstLine="654"/>
      <w:jc w:val="left"/>
    </w:pPr>
  </w:style>
  <w:style w:type="paragraph" w:customStyle="1" w:styleId="legp1paratext">
    <w:name w:val="legp1paratext"/>
    <w:basedOn w:val="a0"/>
    <w:rsid w:val="006D3CE4"/>
    <w:pPr>
      <w:bidi w:val="0"/>
      <w:spacing w:before="100" w:beforeAutospacing="1" w:after="100" w:afterAutospacing="1" w:line="240" w:lineRule="auto"/>
      <w:jc w:val="left"/>
    </w:pPr>
    <w:rPr>
      <w:rFonts w:cs="Times New Roman"/>
      <w:lang w:eastAsia="en-US"/>
    </w:rPr>
  </w:style>
  <w:style w:type="character" w:customStyle="1" w:styleId="legp1no">
    <w:name w:val="legp1no"/>
    <w:rsid w:val="006D3CE4"/>
  </w:style>
  <w:style w:type="paragraph" w:customStyle="1" w:styleId="legclearfix">
    <w:name w:val="legclearfix"/>
    <w:basedOn w:val="a0"/>
    <w:rsid w:val="006D3CE4"/>
    <w:pPr>
      <w:bidi w:val="0"/>
      <w:spacing w:before="100" w:beforeAutospacing="1" w:after="100" w:afterAutospacing="1" w:line="240" w:lineRule="auto"/>
      <w:jc w:val="left"/>
    </w:pPr>
    <w:rPr>
      <w:rFonts w:cs="Times New Roman"/>
      <w:lang w:eastAsia="en-US"/>
    </w:rPr>
  </w:style>
  <w:style w:type="character" w:customStyle="1" w:styleId="legds">
    <w:name w:val="legds"/>
    <w:rsid w:val="006D3CE4"/>
  </w:style>
  <w:style w:type="paragraph" w:customStyle="1" w:styleId="legp2paratext">
    <w:name w:val="legp2paratext"/>
    <w:basedOn w:val="a0"/>
    <w:rsid w:val="006D3CE4"/>
    <w:pPr>
      <w:bidi w:val="0"/>
      <w:spacing w:before="100" w:beforeAutospacing="1" w:after="100" w:afterAutospacing="1" w:line="240" w:lineRule="auto"/>
      <w:jc w:val="left"/>
    </w:pPr>
    <w:rPr>
      <w:rFonts w:cs="Times New Roman"/>
      <w:lang w:eastAsia="en-US"/>
    </w:rPr>
  </w:style>
  <w:style w:type="character" w:customStyle="1" w:styleId="black">
    <w:name w:val="black"/>
    <w:rsid w:val="00D60E72"/>
    <w:rPr>
      <w:color w:val="000000"/>
    </w:rPr>
  </w:style>
  <w:style w:type="character" w:customStyle="1" w:styleId="sectionnumber">
    <w:name w:val="sectionnumber"/>
    <w:rsid w:val="008341ED"/>
  </w:style>
  <w:style w:type="character" w:customStyle="1" w:styleId="catchlinetext">
    <w:name w:val="catchlinetext"/>
    <w:rsid w:val="008341ED"/>
  </w:style>
  <w:style w:type="character" w:customStyle="1" w:styleId="emdash">
    <w:name w:val="emdash"/>
    <w:rsid w:val="008341ED"/>
  </w:style>
  <w:style w:type="character" w:customStyle="1" w:styleId="sectionbody">
    <w:name w:val="sectionbody"/>
    <w:rsid w:val="008341ED"/>
  </w:style>
  <w:style w:type="character" w:customStyle="1" w:styleId="number">
    <w:name w:val="number"/>
    <w:rsid w:val="008341ED"/>
  </w:style>
  <w:style w:type="character" w:customStyle="1" w:styleId="text">
    <w:name w:val="text"/>
    <w:rsid w:val="008341ED"/>
  </w:style>
  <w:style w:type="character" w:customStyle="1" w:styleId="italic">
    <w:name w:val="italic"/>
    <w:rsid w:val="008341ED"/>
  </w:style>
  <w:style w:type="character" w:customStyle="1" w:styleId="directions">
    <w:name w:val="directions"/>
    <w:rsid w:val="008341ED"/>
  </w:style>
  <w:style w:type="paragraph" w:customStyle="1" w:styleId="indent">
    <w:name w:val="indent"/>
    <w:basedOn w:val="a0"/>
    <w:rsid w:val="008341ED"/>
    <w:pPr>
      <w:bidi w:val="0"/>
      <w:spacing w:before="100" w:beforeAutospacing="1" w:after="100" w:afterAutospacing="1" w:line="240" w:lineRule="auto"/>
      <w:jc w:val="left"/>
    </w:pPr>
    <w:rPr>
      <w:rFonts w:ascii="Trebuchet MS" w:hAnsi="Trebuchet MS" w:cs="Times New Roman"/>
      <w:color w:val="000080"/>
      <w:sz w:val="20"/>
      <w:szCs w:val="20"/>
      <w:lang w:eastAsia="en-US"/>
    </w:rPr>
  </w:style>
  <w:style w:type="character" w:customStyle="1" w:styleId="historytitle">
    <w:name w:val="historytitle"/>
    <w:rsid w:val="008341ED"/>
  </w:style>
  <w:style w:type="character" w:customStyle="1" w:styleId="historytext">
    <w:name w:val="historytext"/>
    <w:rsid w:val="008341ED"/>
  </w:style>
  <w:style w:type="paragraph" w:customStyle="1" w:styleId="flush">
    <w:name w:val="flush"/>
    <w:basedOn w:val="a0"/>
    <w:rsid w:val="008341ED"/>
    <w:pPr>
      <w:bidi w:val="0"/>
      <w:spacing w:before="100" w:beforeAutospacing="1" w:after="100" w:afterAutospacing="1" w:line="240" w:lineRule="auto"/>
      <w:jc w:val="left"/>
    </w:pPr>
    <w:rPr>
      <w:rFonts w:ascii="Trebuchet MS" w:hAnsi="Trebuchet MS" w:cs="Times New Roman"/>
      <w:color w:val="000080"/>
      <w:sz w:val="20"/>
      <w:szCs w:val="20"/>
      <w:lang w:eastAsia="en-US"/>
    </w:rPr>
  </w:style>
  <w:style w:type="character" w:customStyle="1" w:styleId="horizontalrule">
    <w:name w:val="horizontalrule"/>
    <w:rsid w:val="008341ED"/>
  </w:style>
  <w:style w:type="paragraph" w:customStyle="1" w:styleId="reversion">
    <w:name w:val="reversion"/>
    <w:basedOn w:val="a0"/>
    <w:rsid w:val="00AE1542"/>
    <w:pPr>
      <w:bidi w:val="0"/>
      <w:spacing w:before="100" w:beforeAutospacing="1" w:after="100" w:afterAutospacing="1" w:line="240" w:lineRule="auto"/>
      <w:jc w:val="left"/>
    </w:pPr>
    <w:rPr>
      <w:rFonts w:cs="Times New Roman"/>
      <w:lang w:eastAsia="en-US"/>
    </w:rPr>
  </w:style>
  <w:style w:type="paragraph" w:customStyle="1" w:styleId="sectbody">
    <w:name w:val="sectbody"/>
    <w:basedOn w:val="a0"/>
    <w:rsid w:val="00FA7F0C"/>
    <w:pPr>
      <w:bidi w:val="0"/>
      <w:spacing w:before="100" w:beforeAutospacing="1" w:after="100" w:afterAutospacing="1" w:line="240" w:lineRule="auto"/>
      <w:jc w:val="left"/>
    </w:pPr>
    <w:rPr>
      <w:rFonts w:cs="Times New Roman"/>
      <w:lang w:eastAsia="en-US"/>
    </w:rPr>
  </w:style>
  <w:style w:type="character" w:customStyle="1" w:styleId="empty">
    <w:name w:val="empty"/>
    <w:basedOn w:val="a1"/>
    <w:rsid w:val="00FA7F0C"/>
  </w:style>
  <w:style w:type="character" w:customStyle="1" w:styleId="section">
    <w:name w:val="section"/>
    <w:basedOn w:val="a1"/>
    <w:rsid w:val="00FA7F0C"/>
  </w:style>
  <w:style w:type="character" w:customStyle="1" w:styleId="leadline">
    <w:name w:val="leadline"/>
    <w:basedOn w:val="a1"/>
    <w:rsid w:val="00FA7F0C"/>
  </w:style>
  <w:style w:type="paragraph" w:customStyle="1" w:styleId="sourcenote">
    <w:name w:val="sourcenote"/>
    <w:basedOn w:val="a0"/>
    <w:rsid w:val="00FA7F0C"/>
    <w:pPr>
      <w:bidi w:val="0"/>
      <w:spacing w:before="100" w:beforeAutospacing="1" w:after="100" w:afterAutospacing="1" w:line="240" w:lineRule="auto"/>
      <w:jc w:val="left"/>
    </w:pPr>
    <w:rPr>
      <w:rFonts w:cs="Times New Roman"/>
      <w:lang w:eastAsia="en-US"/>
    </w:rPr>
  </w:style>
  <w:style w:type="character" w:customStyle="1" w:styleId="qsnumsectnum">
    <w:name w:val="qs_num_sectnum_"/>
    <w:basedOn w:val="a1"/>
    <w:rsid w:val="00F2149E"/>
  </w:style>
  <w:style w:type="character" w:customStyle="1" w:styleId="qstitlesection">
    <w:name w:val="qs_title_section_"/>
    <w:basedOn w:val="a1"/>
    <w:rsid w:val="00F2149E"/>
  </w:style>
  <w:style w:type="character" w:customStyle="1" w:styleId="qsnumsubsecnum">
    <w:name w:val="qs_num_subsecnum_"/>
    <w:basedOn w:val="a1"/>
    <w:rsid w:val="00F2149E"/>
  </w:style>
  <w:style w:type="character" w:customStyle="1" w:styleId="qstitlesubsection">
    <w:name w:val="qs_title_sub_section_"/>
    <w:basedOn w:val="a1"/>
    <w:rsid w:val="00F2149E"/>
  </w:style>
  <w:style w:type="character" w:customStyle="1" w:styleId="qsnumparanum">
    <w:name w:val="qs_num_paranum_"/>
    <w:basedOn w:val="a1"/>
    <w:rsid w:val="00F2149E"/>
  </w:style>
  <w:style w:type="character" w:customStyle="1" w:styleId="qsrefstatnuma">
    <w:name w:val="qs_ref_statnuma_"/>
    <w:basedOn w:val="a1"/>
    <w:rsid w:val="00F2149E"/>
  </w:style>
  <w:style w:type="character" w:customStyle="1" w:styleId="qsnumsubdnum">
    <w:name w:val="qs_num_subdnum_"/>
    <w:basedOn w:val="a1"/>
    <w:rsid w:val="00F2149E"/>
  </w:style>
  <w:style w:type="character" w:customStyle="1" w:styleId="qsnotehistory">
    <w:name w:val="qs___note_history_"/>
    <w:basedOn w:val="a1"/>
    <w:rsid w:val="00F2149E"/>
  </w:style>
  <w:style w:type="paragraph" w:customStyle="1" w:styleId="p02">
    <w:name w:val="p02"/>
    <w:basedOn w:val="a0"/>
    <w:rsid w:val="009A559A"/>
    <w:pPr>
      <w:bidi w:val="0"/>
      <w:spacing w:before="100" w:beforeAutospacing="1" w:after="100" w:afterAutospacing="1" w:line="240" w:lineRule="auto"/>
      <w:jc w:val="left"/>
    </w:pPr>
    <w:rPr>
      <w:rFonts w:cs="Times New Roman"/>
      <w:lang w:eastAsia="en-US"/>
    </w:rPr>
  </w:style>
  <w:style w:type="paragraph" w:customStyle="1" w:styleId="p33">
    <w:name w:val="p33"/>
    <w:basedOn w:val="a0"/>
    <w:rsid w:val="009A559A"/>
    <w:pPr>
      <w:bidi w:val="0"/>
      <w:spacing w:before="100" w:beforeAutospacing="1" w:after="100" w:afterAutospacing="1" w:line="240" w:lineRule="auto"/>
      <w:jc w:val="left"/>
    </w:pPr>
    <w:rPr>
      <w:rFonts w:cs="Times New Roman"/>
      <w:lang w:eastAsia="en-US"/>
    </w:rPr>
  </w:style>
  <w:style w:type="paragraph" w:customStyle="1" w:styleId="legcontentsno">
    <w:name w:val="legcontentsno"/>
    <w:basedOn w:val="a0"/>
    <w:rsid w:val="00FD73C0"/>
    <w:pPr>
      <w:bidi w:val="0"/>
      <w:spacing w:before="100" w:beforeAutospacing="1" w:after="100" w:afterAutospacing="1" w:line="240" w:lineRule="auto"/>
      <w:jc w:val="left"/>
    </w:pPr>
    <w:rPr>
      <w:rFonts w:cs="Times New Roman"/>
      <w:lang w:eastAsia="en-US"/>
    </w:rPr>
  </w:style>
  <w:style w:type="paragraph" w:customStyle="1" w:styleId="legcontentstitle">
    <w:name w:val="legcontentstitle"/>
    <w:basedOn w:val="a0"/>
    <w:rsid w:val="00FD73C0"/>
    <w:pPr>
      <w:bidi w:val="0"/>
      <w:spacing w:before="100" w:beforeAutospacing="1" w:after="100" w:afterAutospacing="1" w:line="240" w:lineRule="auto"/>
      <w:jc w:val="left"/>
    </w:pPr>
    <w:rPr>
      <w:rFonts w:cs="Times New Roman"/>
      <w:lang w:eastAsia="en-US"/>
    </w:rPr>
  </w:style>
  <w:style w:type="paragraph" w:customStyle="1" w:styleId="legcontentsitem">
    <w:name w:val="legcontentsitem"/>
    <w:basedOn w:val="a0"/>
    <w:rsid w:val="00FD73C0"/>
    <w:pPr>
      <w:bidi w:val="0"/>
      <w:spacing w:before="100" w:beforeAutospacing="1" w:after="100" w:afterAutospacing="1" w:line="240" w:lineRule="auto"/>
      <w:jc w:val="left"/>
    </w:pPr>
    <w:rPr>
      <w:rFonts w:cs="Times New Roman"/>
      <w:lang w:eastAsia="en-US"/>
    </w:rPr>
  </w:style>
  <w:style w:type="character" w:customStyle="1" w:styleId="legpblocktitle">
    <w:name w:val="legpblocktitle"/>
    <w:rsid w:val="00C31CBA"/>
  </w:style>
  <w:style w:type="paragraph" w:customStyle="1" w:styleId="legrhs">
    <w:name w:val="legrhs"/>
    <w:basedOn w:val="a0"/>
    <w:rsid w:val="00C31CBA"/>
    <w:pPr>
      <w:bidi w:val="0"/>
      <w:spacing w:before="100" w:beforeAutospacing="1" w:after="100" w:afterAutospacing="1" w:line="240" w:lineRule="auto"/>
      <w:jc w:val="left"/>
    </w:pPr>
    <w:rPr>
      <w:rFonts w:cs="Times New Roman"/>
      <w:lang w:eastAsia="en-US"/>
    </w:rPr>
  </w:style>
  <w:style w:type="character" w:customStyle="1" w:styleId="legchangedelimiter">
    <w:name w:val="legchangedelimiter"/>
    <w:rsid w:val="00C31CBA"/>
  </w:style>
  <w:style w:type="character" w:customStyle="1" w:styleId="legaddition">
    <w:name w:val="legaddition"/>
    <w:rsid w:val="00C31CBA"/>
  </w:style>
  <w:style w:type="table" w:styleId="afff6">
    <w:name w:val="Table Grid"/>
    <w:basedOn w:val="a2"/>
    <w:rsid w:val="004978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gterm">
    <w:name w:val="legterm"/>
    <w:rsid w:val="00BE509E"/>
  </w:style>
  <w:style w:type="paragraph" w:customStyle="1" w:styleId="leglisttextstandard">
    <w:name w:val="leglisttextstandard"/>
    <w:basedOn w:val="a0"/>
    <w:rsid w:val="00BE509E"/>
    <w:pPr>
      <w:bidi w:val="0"/>
      <w:spacing w:before="100" w:beforeAutospacing="1" w:after="100" w:afterAutospacing="1" w:line="240" w:lineRule="auto"/>
      <w:jc w:val="left"/>
    </w:pPr>
    <w:rPr>
      <w:rFonts w:cs="Times New Roman"/>
      <w:lang w:eastAsia="en-US"/>
    </w:rPr>
  </w:style>
  <w:style w:type="paragraph" w:customStyle="1" w:styleId="legannotationsgroupheading">
    <w:name w:val="legannotationsgroupheading"/>
    <w:basedOn w:val="a0"/>
    <w:rsid w:val="00BE509E"/>
    <w:pPr>
      <w:bidi w:val="0"/>
      <w:spacing w:before="100" w:beforeAutospacing="1" w:after="100" w:afterAutospacing="1" w:line="240" w:lineRule="auto"/>
      <w:jc w:val="left"/>
    </w:pPr>
    <w:rPr>
      <w:rFonts w:cs="Times New Roman"/>
      <w:lang w:eastAsia="en-US"/>
    </w:rPr>
  </w:style>
  <w:style w:type="paragraph" w:customStyle="1" w:styleId="legcommentarypara">
    <w:name w:val="legcommentarypara"/>
    <w:basedOn w:val="a0"/>
    <w:rsid w:val="00BE509E"/>
    <w:pPr>
      <w:bidi w:val="0"/>
      <w:spacing w:before="100" w:beforeAutospacing="1" w:after="100" w:afterAutospacing="1" w:line="240" w:lineRule="auto"/>
      <w:jc w:val="left"/>
    </w:pPr>
    <w:rPr>
      <w:rFonts w:cs="Times New Roman"/>
      <w:lang w:eastAsia="en-US"/>
    </w:rPr>
  </w:style>
  <w:style w:type="character" w:customStyle="1" w:styleId="legcommentarytype">
    <w:name w:val="legcommentarytype"/>
    <w:rsid w:val="00BE509E"/>
  </w:style>
  <w:style w:type="character" w:customStyle="1" w:styleId="legcommentarytext">
    <w:name w:val="legcommentarytext"/>
    <w:rsid w:val="00BE509E"/>
  </w:style>
  <w:style w:type="character" w:customStyle="1" w:styleId="legsubstitution">
    <w:name w:val="legsubstitution"/>
    <w:rsid w:val="00BE509E"/>
  </w:style>
  <w:style w:type="character" w:customStyle="1" w:styleId="charsectno">
    <w:name w:val="charsectno"/>
    <w:rsid w:val="00CF2928"/>
  </w:style>
  <w:style w:type="paragraph" w:customStyle="1" w:styleId="penalty">
    <w:name w:val="penalty"/>
    <w:basedOn w:val="a0"/>
    <w:rsid w:val="001E62DB"/>
    <w:pPr>
      <w:bidi w:val="0"/>
      <w:spacing w:before="100" w:beforeAutospacing="1" w:after="100" w:afterAutospacing="1" w:line="240" w:lineRule="auto"/>
      <w:jc w:val="left"/>
    </w:pPr>
    <w:rPr>
      <w:rFonts w:cs="Times New Roman"/>
      <w:lang w:eastAsia="en-US"/>
    </w:rPr>
  </w:style>
  <w:style w:type="character" w:customStyle="1" w:styleId="legamendingtext">
    <w:name w:val="legamendingtext"/>
    <w:rsid w:val="00DD1D5A"/>
  </w:style>
  <w:style w:type="character" w:customStyle="1" w:styleId="legchapterno">
    <w:name w:val="legchapterno"/>
    <w:rsid w:val="00DD1D5A"/>
  </w:style>
  <w:style w:type="character" w:customStyle="1" w:styleId="legchaptertitle">
    <w:name w:val="legchaptertitle"/>
    <w:rsid w:val="00DD1D5A"/>
  </w:style>
  <w:style w:type="character" w:customStyle="1" w:styleId="legpartno">
    <w:name w:val="legpartno"/>
    <w:rsid w:val="00ED56B1"/>
  </w:style>
  <w:style w:type="character" w:customStyle="1" w:styleId="legparttitle">
    <w:name w:val="legparttitle"/>
    <w:rsid w:val="00ED56B1"/>
  </w:style>
  <w:style w:type="paragraph" w:customStyle="1" w:styleId="leglevel3">
    <w:name w:val="leglevel3"/>
    <w:basedOn w:val="a0"/>
    <w:rsid w:val="007004D3"/>
    <w:pPr>
      <w:bidi w:val="0"/>
      <w:spacing w:before="100" w:beforeAutospacing="1" w:after="100" w:afterAutospacing="1" w:line="240" w:lineRule="auto"/>
      <w:jc w:val="left"/>
    </w:pPr>
    <w:rPr>
      <w:rFonts w:cs="Times New Roman"/>
      <w:lang w:eastAsia="en-US"/>
    </w:rPr>
  </w:style>
  <w:style w:type="character" w:customStyle="1" w:styleId="legamendquote">
    <w:name w:val="legamendquote"/>
    <w:rsid w:val="007F2B1C"/>
  </w:style>
  <w:style w:type="paragraph" w:customStyle="1" w:styleId="15">
    <w:name w:val="פיסקת רשימה1"/>
    <w:basedOn w:val="a0"/>
    <w:uiPriority w:val="34"/>
    <w:qFormat/>
    <w:rsid w:val="00701C4E"/>
    <w:pPr>
      <w:ind w:left="720"/>
    </w:pPr>
  </w:style>
  <w:style w:type="character" w:customStyle="1" w:styleId="hebrewoption">
    <w:name w:val="hebrew_option"/>
    <w:basedOn w:val="a1"/>
    <w:rsid w:val="00701C4E"/>
  </w:style>
  <w:style w:type="paragraph" w:customStyle="1" w:styleId="legcommentarypara1">
    <w:name w:val="legcommentarypara1"/>
    <w:basedOn w:val="a0"/>
    <w:rsid w:val="00701C4E"/>
    <w:pPr>
      <w:shd w:val="clear" w:color="auto" w:fill="FFFFFF"/>
      <w:bidi w:val="0"/>
      <w:spacing w:before="0" w:after="0" w:line="360" w:lineRule="atLeast"/>
      <w:jc w:val="left"/>
    </w:pPr>
    <w:rPr>
      <w:rFonts w:cs="Times New Roman"/>
      <w:color w:val="000000"/>
      <w:sz w:val="17"/>
      <w:szCs w:val="17"/>
      <w:lang w:eastAsia="en-US"/>
    </w:rPr>
  </w:style>
  <w:style w:type="paragraph" w:customStyle="1" w:styleId="legannotationsgroupheading1">
    <w:name w:val="legannotationsgroupheading1"/>
    <w:basedOn w:val="a0"/>
    <w:rsid w:val="00701C4E"/>
    <w:pPr>
      <w:pBdr>
        <w:top w:val="dotted" w:sz="4" w:space="6" w:color="999999"/>
      </w:pBdr>
      <w:shd w:val="clear" w:color="auto" w:fill="FFFFFF"/>
      <w:bidi w:val="0"/>
      <w:spacing w:after="0" w:line="360" w:lineRule="atLeast"/>
      <w:jc w:val="left"/>
    </w:pPr>
    <w:rPr>
      <w:rFonts w:cs="Times New Roman"/>
      <w:b/>
      <w:bCs/>
      <w:color w:val="333333"/>
      <w:sz w:val="19"/>
      <w:szCs w:val="19"/>
      <w:lang w:eastAsia="en-US"/>
    </w:rPr>
  </w:style>
  <w:style w:type="character" w:customStyle="1" w:styleId="legpblocktitle2">
    <w:name w:val="legpblocktitle2"/>
    <w:basedOn w:val="a1"/>
    <w:rsid w:val="00701C4E"/>
    <w:rPr>
      <w:b w:val="0"/>
      <w:bCs w:val="0"/>
      <w:i/>
      <w:iCs/>
      <w:vanish w:val="0"/>
      <w:webHidden w:val="0"/>
      <w:sz w:val="19"/>
      <w:szCs w:val="19"/>
      <w:specVanish w:val="0"/>
    </w:rPr>
  </w:style>
  <w:style w:type="character" w:customStyle="1" w:styleId="legextentrestriction7">
    <w:name w:val="legextentrestriction7"/>
    <w:basedOn w:val="a1"/>
    <w:rsid w:val="00701C4E"/>
    <w:rPr>
      <w:b/>
      <w:bCs/>
      <w:i w:val="0"/>
      <w:iCs w:val="0"/>
      <w:vanish/>
      <w:webHidden w:val="0"/>
      <w:color w:val="FFFFFF"/>
      <w:sz w:val="22"/>
      <w:szCs w:val="22"/>
      <w:shd w:val="clear" w:color="auto" w:fill="660066"/>
      <w:specVanish w:val="0"/>
    </w:rPr>
  </w:style>
  <w:style w:type="character" w:customStyle="1" w:styleId="legdslegp1no">
    <w:name w:val="legds legp1no"/>
    <w:basedOn w:val="a1"/>
    <w:rsid w:val="00701C4E"/>
  </w:style>
  <w:style w:type="character" w:customStyle="1" w:styleId="legdslegp1grouptitlefirst">
    <w:name w:val="legds legp1grouptitlefirst"/>
    <w:basedOn w:val="a1"/>
    <w:rsid w:val="00701C4E"/>
  </w:style>
  <w:style w:type="character" w:customStyle="1" w:styleId="legdsleglhslegp2no">
    <w:name w:val="legds leglhs legp2no"/>
    <w:basedOn w:val="a1"/>
    <w:rsid w:val="00701C4E"/>
  </w:style>
  <w:style w:type="character" w:customStyle="1" w:styleId="legdslegrhslegp2text">
    <w:name w:val="legds legrhs legp2text"/>
    <w:basedOn w:val="a1"/>
    <w:rsid w:val="00701C4E"/>
  </w:style>
  <w:style w:type="character" w:customStyle="1" w:styleId="legcommentarytype2">
    <w:name w:val="legcommentarytype2"/>
    <w:basedOn w:val="a1"/>
    <w:rsid w:val="00701C4E"/>
    <w:rPr>
      <w:b/>
      <w:bCs/>
      <w:color w:val="666666"/>
      <w:sz w:val="24"/>
      <w:szCs w:val="24"/>
    </w:rPr>
  </w:style>
  <w:style w:type="character" w:customStyle="1" w:styleId="legcommentarytext2">
    <w:name w:val="legcommentarytext2"/>
    <w:basedOn w:val="a1"/>
    <w:rsid w:val="00701C4E"/>
    <w:rPr>
      <w:vanish w:val="0"/>
      <w:webHidden w:val="0"/>
      <w:specVanish w:val="0"/>
    </w:rPr>
  </w:style>
  <w:style w:type="character" w:customStyle="1" w:styleId="legdslegp1grouptitle">
    <w:name w:val="legds legp1grouptitle"/>
    <w:basedOn w:val="a1"/>
    <w:rsid w:val="00701C4E"/>
  </w:style>
  <w:style w:type="character" w:customStyle="1" w:styleId="legdsleglhslegp4no">
    <w:name w:val="legds leglhs legp4no"/>
    <w:basedOn w:val="a1"/>
    <w:rsid w:val="00701C4E"/>
  </w:style>
  <w:style w:type="character" w:customStyle="1" w:styleId="legdslegrhslegp4text">
    <w:name w:val="legds legrhs legp4text"/>
    <w:basedOn w:val="a1"/>
    <w:rsid w:val="00701C4E"/>
  </w:style>
  <w:style w:type="paragraph" w:customStyle="1" w:styleId="16">
    <w:name w:val="רגיל1"/>
    <w:basedOn w:val="a0"/>
    <w:rsid w:val="00701C4E"/>
    <w:pPr>
      <w:bidi w:val="0"/>
      <w:spacing w:before="100" w:beforeAutospacing="1" w:after="100" w:afterAutospacing="1" w:line="240" w:lineRule="auto"/>
      <w:jc w:val="left"/>
    </w:pPr>
    <w:rPr>
      <w:rFonts w:cs="Times New Roman"/>
      <w:lang w:eastAsia="en-US"/>
    </w:rPr>
  </w:style>
  <w:style w:type="character" w:customStyle="1" w:styleId="legaddition5">
    <w:name w:val="legaddition5"/>
    <w:basedOn w:val="a1"/>
    <w:rsid w:val="00701C4E"/>
  </w:style>
  <w:style w:type="character" w:customStyle="1" w:styleId="legchangedelimiter2">
    <w:name w:val="legchangedelimiter2"/>
    <w:basedOn w:val="a1"/>
    <w:rsid w:val="00701C4E"/>
    <w:rPr>
      <w:b/>
      <w:bCs/>
      <w:i w:val="0"/>
      <w:iCs w:val="0"/>
      <w:color w:val="000000"/>
      <w:sz w:val="34"/>
      <w:szCs w:val="34"/>
    </w:rPr>
  </w:style>
  <w:style w:type="paragraph" w:customStyle="1" w:styleId="cf">
    <w:name w:val="cf"/>
    <w:basedOn w:val="a0"/>
    <w:rsid w:val="00701C4E"/>
    <w:pPr>
      <w:bidi w:val="0"/>
      <w:spacing w:before="0" w:after="0" w:line="240" w:lineRule="auto"/>
      <w:jc w:val="left"/>
    </w:pPr>
    <w:rPr>
      <w:rFonts w:cs="Times New Roman"/>
      <w:lang w:eastAsia="en-US"/>
    </w:rPr>
  </w:style>
  <w:style w:type="paragraph" w:customStyle="1" w:styleId="history-note">
    <w:name w:val="history-note"/>
    <w:basedOn w:val="a0"/>
    <w:rsid w:val="00701C4E"/>
    <w:pPr>
      <w:bidi w:val="0"/>
      <w:spacing w:before="0" w:after="0" w:line="240" w:lineRule="auto"/>
      <w:jc w:val="left"/>
    </w:pPr>
    <w:rPr>
      <w:rFonts w:cs="Times New Roman"/>
      <w:lang w:eastAsia="en-US"/>
    </w:rPr>
  </w:style>
  <w:style w:type="character" w:customStyle="1" w:styleId="spc">
    <w:name w:val="spc"/>
    <w:basedOn w:val="a1"/>
    <w:rsid w:val="00701C4E"/>
    <w:rPr>
      <w:strike w:val="0"/>
      <w:dstrike w:val="0"/>
      <w:u w:val="none"/>
      <w:effect w:val="none"/>
    </w:rPr>
  </w:style>
  <w:style w:type="character" w:customStyle="1" w:styleId="q">
    <w:name w:val="q"/>
    <w:basedOn w:val="a1"/>
    <w:rsid w:val="00701C4E"/>
  </w:style>
  <w:style w:type="character" w:customStyle="1" w:styleId="label">
    <w:name w:val="label"/>
    <w:basedOn w:val="a1"/>
    <w:rsid w:val="00701C4E"/>
  </w:style>
  <w:style w:type="paragraph" w:customStyle="1" w:styleId="label8">
    <w:name w:val="label8"/>
    <w:basedOn w:val="a0"/>
    <w:rsid w:val="00701C4E"/>
    <w:pPr>
      <w:bidi w:val="0"/>
      <w:spacing w:before="0" w:after="0" w:line="240" w:lineRule="auto"/>
      <w:jc w:val="left"/>
    </w:pPr>
    <w:rPr>
      <w:rFonts w:cs="Times New Roman"/>
      <w:lang w:eastAsia="en-US"/>
    </w:rPr>
  </w:style>
  <w:style w:type="paragraph" w:customStyle="1" w:styleId="labelledlabel">
    <w:name w:val="labelled label"/>
    <w:basedOn w:val="a0"/>
    <w:rsid w:val="00701C4E"/>
    <w:pPr>
      <w:bidi w:val="0"/>
      <w:spacing w:before="0" w:after="0" w:line="240" w:lineRule="auto"/>
      <w:jc w:val="left"/>
    </w:pPr>
    <w:rPr>
      <w:rFonts w:cs="Times New Roman"/>
      <w:lang w:eastAsia="en-US"/>
    </w:rPr>
  </w:style>
  <w:style w:type="character" w:customStyle="1" w:styleId="deletedlabel-deleted">
    <w:name w:val="deleted label-deleted"/>
    <w:basedOn w:val="a1"/>
    <w:rsid w:val="00701C4E"/>
  </w:style>
  <w:style w:type="character" w:customStyle="1" w:styleId="highlightedglossaryterm1">
    <w:name w:val="highlightedglossaryterm1"/>
    <w:basedOn w:val="a1"/>
    <w:rsid w:val="00701C4E"/>
    <w:rPr>
      <w:shd w:val="clear" w:color="auto" w:fill="EEF3F5"/>
    </w:rPr>
  </w:style>
  <w:style w:type="paragraph" w:customStyle="1" w:styleId="1106">
    <w:name w:val="סגנון כות_1.1 + אחרי:  0 ס''מ לפני:  6 נק'"/>
    <w:basedOn w:val="11"/>
    <w:rsid w:val="00701C4E"/>
    <w:pPr>
      <w:keepNext/>
      <w:keepLines/>
    </w:pPr>
    <w:rPr>
      <w:sz w:val="24"/>
      <w:szCs w:val="26"/>
    </w:rPr>
  </w:style>
  <w:style w:type="paragraph" w:customStyle="1" w:styleId="11061">
    <w:name w:val="סגנון כות_1.1 + אחרי:  0 ס''מ לפני:  6 נק'1"/>
    <w:basedOn w:val="11"/>
    <w:rsid w:val="00701C4E"/>
    <w:pPr>
      <w:keepNext/>
      <w:keepLines/>
    </w:pPr>
    <w:rPr>
      <w:sz w:val="24"/>
      <w:szCs w:val="26"/>
    </w:rPr>
  </w:style>
  <w:style w:type="paragraph" w:customStyle="1" w:styleId="11100">
    <w:name w:val="סגנון כות_1.1.1 + אחרי:  0 ס''מ לפני:  0 נק'"/>
    <w:basedOn w:val="111"/>
    <w:rsid w:val="00701C4E"/>
    <w:pPr>
      <w:keepNext/>
      <w:keepLines/>
      <w:spacing w:before="0"/>
    </w:pPr>
    <w:rPr>
      <w:sz w:val="22"/>
      <w:szCs w:val="24"/>
    </w:rPr>
  </w:style>
  <w:style w:type="table" w:styleId="17">
    <w:name w:val="Table Web 1"/>
    <w:basedOn w:val="a2"/>
    <w:rsid w:val="00701C4E"/>
    <w:pPr>
      <w:bidi/>
      <w:spacing w:before="120" w:after="120" w:line="336"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lawlabel">
    <w:name w:val="lawlabel"/>
    <w:basedOn w:val="a1"/>
    <w:rsid w:val="00701C4E"/>
  </w:style>
  <w:style w:type="character" w:customStyle="1" w:styleId="sectionlabel">
    <w:name w:val="sectionlabel"/>
    <w:basedOn w:val="a1"/>
    <w:rsid w:val="00701C4E"/>
  </w:style>
  <w:style w:type="character" w:customStyle="1" w:styleId="wb-invisible">
    <w:name w:val="wb-invisible"/>
    <w:basedOn w:val="a1"/>
    <w:rsid w:val="00701C4E"/>
  </w:style>
  <w:style w:type="character" w:styleId="HTMLDefinition">
    <w:name w:val="HTML Definition"/>
    <w:basedOn w:val="a1"/>
    <w:uiPriority w:val="99"/>
    <w:unhideWhenUsed/>
    <w:rsid w:val="00701C4E"/>
    <w:rPr>
      <w:i/>
      <w:iCs/>
    </w:rPr>
  </w:style>
  <w:style w:type="character" w:customStyle="1" w:styleId="definedtermlink">
    <w:name w:val="definedtermlink"/>
    <w:basedOn w:val="a1"/>
    <w:rsid w:val="00701C4E"/>
  </w:style>
  <w:style w:type="character" w:customStyle="1" w:styleId="htitletext2">
    <w:name w:val="htitletext2"/>
    <w:basedOn w:val="a1"/>
    <w:rsid w:val="00701C4E"/>
  </w:style>
  <w:style w:type="character" w:customStyle="1" w:styleId="htitletext4">
    <w:name w:val="htitletext4"/>
    <w:basedOn w:val="a1"/>
    <w:rsid w:val="00701C4E"/>
  </w:style>
  <w:style w:type="paragraph" w:customStyle="1" w:styleId="21">
    <w:name w:val="רגיל2"/>
    <w:basedOn w:val="a0"/>
    <w:rsid w:val="00652C86"/>
    <w:pPr>
      <w:bidi w:val="0"/>
      <w:spacing w:before="100" w:beforeAutospacing="1" w:after="100" w:afterAutospacing="1" w:line="240" w:lineRule="auto"/>
      <w:jc w:val="left"/>
    </w:pPr>
    <w:rPr>
      <w:rFonts w:cs="Times New Roman"/>
      <w:lang w:eastAsia="en-US"/>
    </w:rPr>
  </w:style>
  <w:style w:type="paragraph" w:customStyle="1" w:styleId="afff7">
    <w:name w:val="כותרת_הכנסת"/>
    <w:basedOn w:val="a0"/>
    <w:qFormat/>
    <w:rsid w:val="008D1FA1"/>
    <w:pPr>
      <w:spacing w:before="0" w:after="0" w:line="264" w:lineRule="auto"/>
      <w:jc w:val="center"/>
      <w:outlineLvl w:val="0"/>
    </w:pPr>
    <w:rPr>
      <w:rFonts w:cs="Guttman Keren"/>
      <w:bCs/>
      <w:color w:val="000060"/>
      <w:spacing w:val="30"/>
      <w:sz w:val="28"/>
      <w:szCs w:val="28"/>
    </w:rPr>
  </w:style>
  <w:style w:type="table" w:customStyle="1" w:styleId="afff8">
    <w:name w:val="טבלת רשת"/>
    <w:basedOn w:val="a2"/>
    <w:rsid w:val="00176AF5"/>
    <w:pPr>
      <w:bidi/>
      <w:spacing w:before="120" w:after="120" w:line="336"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1">
    <w:name w:val="טקסט בלונים תו"/>
    <w:link w:val="afff0"/>
    <w:rsid w:val="00176AF5"/>
    <w:rPr>
      <w:rFonts w:ascii="Tahoma" w:hAnsi="Tahoma" w:cs="Tahoma"/>
      <w:sz w:val="16"/>
      <w:szCs w:val="16"/>
      <w:lang w:eastAsia="he-IL"/>
    </w:rPr>
  </w:style>
  <w:style w:type="paragraph" w:customStyle="1" w:styleId="afff9">
    <w:name w:val="כותרת_המסמך"/>
    <w:basedOn w:val="aff0"/>
    <w:next w:val="a4"/>
    <w:qFormat/>
    <w:rsid w:val="00176AF5"/>
    <w:pPr>
      <w:keepNext/>
      <w:keepLines/>
      <w:spacing w:before="240" w:after="240"/>
      <w:jc w:val="center"/>
    </w:pPr>
    <w:rPr>
      <w:spacing w:val="2"/>
      <w:szCs w:val="30"/>
      <w:u w:val="single"/>
    </w:rPr>
  </w:style>
  <w:style w:type="paragraph" w:customStyle="1" w:styleId="afffa">
    <w:name w:val="תאריך_עברי_לועזי"/>
    <w:basedOn w:val="a4"/>
    <w:next w:val="a4"/>
    <w:qFormat/>
    <w:rsid w:val="00176AF5"/>
    <w:pPr>
      <w:spacing w:before="0" w:after="60" w:line="240" w:lineRule="auto"/>
      <w:jc w:val="right"/>
    </w:pPr>
  </w:style>
  <w:style w:type="character" w:customStyle="1" w:styleId="num">
    <w:name w:val="num"/>
    <w:basedOn w:val="a1"/>
    <w:rsid w:val="00176AF5"/>
  </w:style>
  <w:style w:type="character" w:customStyle="1" w:styleId="heading">
    <w:name w:val="heading"/>
    <w:basedOn w:val="a1"/>
    <w:rsid w:val="00176AF5"/>
  </w:style>
  <w:style w:type="character" w:customStyle="1" w:styleId="chapeau">
    <w:name w:val="chapeau"/>
    <w:basedOn w:val="a1"/>
    <w:rsid w:val="00176AF5"/>
  </w:style>
  <w:style w:type="character" w:customStyle="1" w:styleId="18">
    <w:name w:val="תאריך1"/>
    <w:basedOn w:val="a1"/>
    <w:rsid w:val="00176AF5"/>
  </w:style>
  <w:style w:type="character" w:customStyle="1" w:styleId="breadcrumbclass">
    <w:name w:val="breadcrumbclass"/>
    <w:basedOn w:val="a1"/>
    <w:rsid w:val="00A57B4D"/>
  </w:style>
  <w:style w:type="character" w:customStyle="1" w:styleId="ind">
    <w:name w:val="ind"/>
    <w:basedOn w:val="a1"/>
    <w:rsid w:val="005A6074"/>
  </w:style>
  <w:style w:type="character" w:customStyle="1" w:styleId="intro-colon">
    <w:name w:val="intro-colon"/>
    <w:basedOn w:val="a1"/>
    <w:rsid w:val="00382918"/>
  </w:style>
  <w:style w:type="character" w:customStyle="1" w:styleId="reference-accessdate">
    <w:name w:val="reference-accessdate"/>
    <w:basedOn w:val="a1"/>
    <w:rsid w:val="00C37AEA"/>
  </w:style>
  <w:style w:type="character" w:customStyle="1" w:styleId="nowrap">
    <w:name w:val="nowrap"/>
    <w:basedOn w:val="a1"/>
    <w:rsid w:val="00C37AEA"/>
  </w:style>
  <w:style w:type="character" w:customStyle="1" w:styleId="mw-cite-backlink">
    <w:name w:val="mw-cite-backlink"/>
    <w:basedOn w:val="a1"/>
    <w:rsid w:val="00C37AEA"/>
  </w:style>
  <w:style w:type="character" w:customStyle="1" w:styleId="cite-accessibility-label">
    <w:name w:val="cite-accessibility-label"/>
    <w:basedOn w:val="a1"/>
    <w:rsid w:val="00C37AEA"/>
  </w:style>
  <w:style w:type="character" w:customStyle="1" w:styleId="e-publications">
    <w:name w:val="e-publications"/>
    <w:basedOn w:val="a1"/>
    <w:rsid w:val="006D2F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3644">
      <w:bodyDiv w:val="1"/>
      <w:marLeft w:val="0"/>
      <w:marRight w:val="0"/>
      <w:marTop w:val="0"/>
      <w:marBottom w:val="0"/>
      <w:divBdr>
        <w:top w:val="none" w:sz="0" w:space="0" w:color="auto"/>
        <w:left w:val="none" w:sz="0" w:space="0" w:color="auto"/>
        <w:bottom w:val="none" w:sz="0" w:space="0" w:color="auto"/>
        <w:right w:val="none" w:sz="0" w:space="0" w:color="auto"/>
      </w:divBdr>
    </w:div>
    <w:div w:id="15617597">
      <w:bodyDiv w:val="1"/>
      <w:marLeft w:val="0"/>
      <w:marRight w:val="0"/>
      <w:marTop w:val="0"/>
      <w:marBottom w:val="0"/>
      <w:divBdr>
        <w:top w:val="none" w:sz="0" w:space="0" w:color="auto"/>
        <w:left w:val="none" w:sz="0" w:space="0" w:color="auto"/>
        <w:bottom w:val="none" w:sz="0" w:space="0" w:color="auto"/>
        <w:right w:val="none" w:sz="0" w:space="0" w:color="auto"/>
      </w:divBdr>
      <w:divsChild>
        <w:div w:id="2013144146">
          <w:marLeft w:val="0"/>
          <w:marRight w:val="0"/>
          <w:marTop w:val="0"/>
          <w:marBottom w:val="0"/>
          <w:divBdr>
            <w:top w:val="none" w:sz="0" w:space="0" w:color="auto"/>
            <w:left w:val="none" w:sz="0" w:space="0" w:color="auto"/>
            <w:bottom w:val="none" w:sz="0" w:space="0" w:color="auto"/>
            <w:right w:val="none" w:sz="0" w:space="0" w:color="auto"/>
          </w:divBdr>
          <w:divsChild>
            <w:div w:id="1099717321">
              <w:marLeft w:val="0"/>
              <w:marRight w:val="0"/>
              <w:marTop w:val="0"/>
              <w:marBottom w:val="0"/>
              <w:divBdr>
                <w:top w:val="none" w:sz="0" w:space="0" w:color="auto"/>
                <w:left w:val="none" w:sz="0" w:space="0" w:color="auto"/>
                <w:bottom w:val="none" w:sz="0" w:space="0" w:color="auto"/>
                <w:right w:val="none" w:sz="0" w:space="0" w:color="auto"/>
              </w:divBdr>
              <w:divsChild>
                <w:div w:id="1665232408">
                  <w:marLeft w:val="0"/>
                  <w:marRight w:val="0"/>
                  <w:marTop w:val="0"/>
                  <w:marBottom w:val="0"/>
                  <w:divBdr>
                    <w:top w:val="none" w:sz="0" w:space="0" w:color="auto"/>
                    <w:left w:val="none" w:sz="0" w:space="0" w:color="auto"/>
                    <w:bottom w:val="none" w:sz="0" w:space="0" w:color="auto"/>
                    <w:right w:val="none" w:sz="0" w:space="0" w:color="auto"/>
                  </w:divBdr>
                  <w:divsChild>
                    <w:div w:id="118208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8076">
      <w:bodyDiv w:val="1"/>
      <w:marLeft w:val="0"/>
      <w:marRight w:val="0"/>
      <w:marTop w:val="0"/>
      <w:marBottom w:val="0"/>
      <w:divBdr>
        <w:top w:val="none" w:sz="0" w:space="0" w:color="auto"/>
        <w:left w:val="none" w:sz="0" w:space="0" w:color="auto"/>
        <w:bottom w:val="none" w:sz="0" w:space="0" w:color="auto"/>
        <w:right w:val="none" w:sz="0" w:space="0" w:color="auto"/>
      </w:divBdr>
    </w:div>
    <w:div w:id="29035117">
      <w:bodyDiv w:val="1"/>
      <w:marLeft w:val="0"/>
      <w:marRight w:val="0"/>
      <w:marTop w:val="0"/>
      <w:marBottom w:val="0"/>
      <w:divBdr>
        <w:top w:val="none" w:sz="0" w:space="0" w:color="auto"/>
        <w:left w:val="none" w:sz="0" w:space="0" w:color="auto"/>
        <w:bottom w:val="none" w:sz="0" w:space="0" w:color="auto"/>
        <w:right w:val="none" w:sz="0" w:space="0" w:color="auto"/>
      </w:divBdr>
    </w:div>
    <w:div w:id="70198736">
      <w:bodyDiv w:val="1"/>
      <w:marLeft w:val="0"/>
      <w:marRight w:val="0"/>
      <w:marTop w:val="0"/>
      <w:marBottom w:val="0"/>
      <w:divBdr>
        <w:top w:val="none" w:sz="0" w:space="0" w:color="auto"/>
        <w:left w:val="none" w:sz="0" w:space="0" w:color="auto"/>
        <w:bottom w:val="none" w:sz="0" w:space="0" w:color="auto"/>
        <w:right w:val="none" w:sz="0" w:space="0" w:color="auto"/>
      </w:divBdr>
      <w:divsChild>
        <w:div w:id="2080706541">
          <w:marLeft w:val="0"/>
          <w:marRight w:val="0"/>
          <w:marTop w:val="0"/>
          <w:marBottom w:val="0"/>
          <w:divBdr>
            <w:top w:val="none" w:sz="0" w:space="0" w:color="auto"/>
            <w:left w:val="none" w:sz="0" w:space="0" w:color="auto"/>
            <w:bottom w:val="none" w:sz="0" w:space="0" w:color="auto"/>
            <w:right w:val="none" w:sz="0" w:space="0" w:color="auto"/>
          </w:divBdr>
        </w:div>
      </w:divsChild>
    </w:div>
    <w:div w:id="73169169">
      <w:bodyDiv w:val="1"/>
      <w:marLeft w:val="0"/>
      <w:marRight w:val="0"/>
      <w:marTop w:val="0"/>
      <w:marBottom w:val="0"/>
      <w:divBdr>
        <w:top w:val="none" w:sz="0" w:space="0" w:color="auto"/>
        <w:left w:val="none" w:sz="0" w:space="0" w:color="auto"/>
        <w:bottom w:val="none" w:sz="0" w:space="0" w:color="auto"/>
        <w:right w:val="none" w:sz="0" w:space="0" w:color="auto"/>
      </w:divBdr>
      <w:divsChild>
        <w:div w:id="299268177">
          <w:marLeft w:val="0"/>
          <w:marRight w:val="0"/>
          <w:marTop w:val="0"/>
          <w:marBottom w:val="0"/>
          <w:divBdr>
            <w:top w:val="none" w:sz="0" w:space="0" w:color="auto"/>
            <w:left w:val="none" w:sz="0" w:space="0" w:color="auto"/>
            <w:bottom w:val="none" w:sz="0" w:space="0" w:color="auto"/>
            <w:right w:val="none" w:sz="0" w:space="0" w:color="auto"/>
          </w:divBdr>
        </w:div>
        <w:div w:id="339890296">
          <w:marLeft w:val="0"/>
          <w:marRight w:val="0"/>
          <w:marTop w:val="0"/>
          <w:marBottom w:val="0"/>
          <w:divBdr>
            <w:top w:val="none" w:sz="0" w:space="0" w:color="auto"/>
            <w:left w:val="none" w:sz="0" w:space="0" w:color="auto"/>
            <w:bottom w:val="none" w:sz="0" w:space="0" w:color="auto"/>
            <w:right w:val="none" w:sz="0" w:space="0" w:color="auto"/>
          </w:divBdr>
        </w:div>
        <w:div w:id="761268281">
          <w:marLeft w:val="0"/>
          <w:marRight w:val="0"/>
          <w:marTop w:val="0"/>
          <w:marBottom w:val="0"/>
          <w:divBdr>
            <w:top w:val="none" w:sz="0" w:space="0" w:color="auto"/>
            <w:left w:val="none" w:sz="0" w:space="0" w:color="auto"/>
            <w:bottom w:val="none" w:sz="0" w:space="0" w:color="auto"/>
            <w:right w:val="none" w:sz="0" w:space="0" w:color="auto"/>
          </w:divBdr>
        </w:div>
        <w:div w:id="1224681071">
          <w:marLeft w:val="0"/>
          <w:marRight w:val="0"/>
          <w:marTop w:val="0"/>
          <w:marBottom w:val="0"/>
          <w:divBdr>
            <w:top w:val="none" w:sz="0" w:space="0" w:color="auto"/>
            <w:left w:val="none" w:sz="0" w:space="0" w:color="auto"/>
            <w:bottom w:val="none" w:sz="0" w:space="0" w:color="auto"/>
            <w:right w:val="none" w:sz="0" w:space="0" w:color="auto"/>
          </w:divBdr>
        </w:div>
        <w:div w:id="1977374720">
          <w:marLeft w:val="0"/>
          <w:marRight w:val="0"/>
          <w:marTop w:val="0"/>
          <w:marBottom w:val="0"/>
          <w:divBdr>
            <w:top w:val="none" w:sz="0" w:space="0" w:color="auto"/>
            <w:left w:val="none" w:sz="0" w:space="0" w:color="auto"/>
            <w:bottom w:val="none" w:sz="0" w:space="0" w:color="auto"/>
            <w:right w:val="none" w:sz="0" w:space="0" w:color="auto"/>
          </w:divBdr>
        </w:div>
      </w:divsChild>
    </w:div>
    <w:div w:id="80219236">
      <w:bodyDiv w:val="1"/>
      <w:marLeft w:val="0"/>
      <w:marRight w:val="0"/>
      <w:marTop w:val="0"/>
      <w:marBottom w:val="0"/>
      <w:divBdr>
        <w:top w:val="none" w:sz="0" w:space="0" w:color="auto"/>
        <w:left w:val="none" w:sz="0" w:space="0" w:color="auto"/>
        <w:bottom w:val="none" w:sz="0" w:space="0" w:color="auto"/>
        <w:right w:val="none" w:sz="0" w:space="0" w:color="auto"/>
      </w:divBdr>
    </w:div>
    <w:div w:id="88308425">
      <w:bodyDiv w:val="1"/>
      <w:marLeft w:val="0"/>
      <w:marRight w:val="0"/>
      <w:marTop w:val="0"/>
      <w:marBottom w:val="0"/>
      <w:divBdr>
        <w:top w:val="none" w:sz="0" w:space="0" w:color="auto"/>
        <w:left w:val="none" w:sz="0" w:space="0" w:color="auto"/>
        <w:bottom w:val="none" w:sz="0" w:space="0" w:color="auto"/>
        <w:right w:val="none" w:sz="0" w:space="0" w:color="auto"/>
      </w:divBdr>
    </w:div>
    <w:div w:id="102844554">
      <w:bodyDiv w:val="1"/>
      <w:marLeft w:val="0"/>
      <w:marRight w:val="0"/>
      <w:marTop w:val="0"/>
      <w:marBottom w:val="0"/>
      <w:divBdr>
        <w:top w:val="none" w:sz="0" w:space="0" w:color="auto"/>
        <w:left w:val="none" w:sz="0" w:space="0" w:color="auto"/>
        <w:bottom w:val="none" w:sz="0" w:space="0" w:color="auto"/>
        <w:right w:val="none" w:sz="0" w:space="0" w:color="auto"/>
      </w:divBdr>
    </w:div>
    <w:div w:id="107698508">
      <w:bodyDiv w:val="1"/>
      <w:marLeft w:val="0"/>
      <w:marRight w:val="0"/>
      <w:marTop w:val="0"/>
      <w:marBottom w:val="0"/>
      <w:divBdr>
        <w:top w:val="none" w:sz="0" w:space="0" w:color="auto"/>
        <w:left w:val="none" w:sz="0" w:space="0" w:color="auto"/>
        <w:bottom w:val="none" w:sz="0" w:space="0" w:color="auto"/>
        <w:right w:val="none" w:sz="0" w:space="0" w:color="auto"/>
      </w:divBdr>
    </w:div>
    <w:div w:id="111292448">
      <w:bodyDiv w:val="1"/>
      <w:marLeft w:val="0"/>
      <w:marRight w:val="0"/>
      <w:marTop w:val="0"/>
      <w:marBottom w:val="0"/>
      <w:divBdr>
        <w:top w:val="none" w:sz="0" w:space="0" w:color="auto"/>
        <w:left w:val="none" w:sz="0" w:space="0" w:color="auto"/>
        <w:bottom w:val="none" w:sz="0" w:space="0" w:color="auto"/>
        <w:right w:val="none" w:sz="0" w:space="0" w:color="auto"/>
      </w:divBdr>
      <w:divsChild>
        <w:div w:id="670328799">
          <w:marLeft w:val="0"/>
          <w:marRight w:val="0"/>
          <w:marTop w:val="0"/>
          <w:marBottom w:val="0"/>
          <w:divBdr>
            <w:top w:val="none" w:sz="0" w:space="0" w:color="auto"/>
            <w:left w:val="none" w:sz="0" w:space="0" w:color="auto"/>
            <w:bottom w:val="none" w:sz="0" w:space="0" w:color="auto"/>
            <w:right w:val="none" w:sz="0" w:space="0" w:color="auto"/>
          </w:divBdr>
          <w:divsChild>
            <w:div w:id="142398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80445">
      <w:bodyDiv w:val="1"/>
      <w:marLeft w:val="0"/>
      <w:marRight w:val="0"/>
      <w:marTop w:val="0"/>
      <w:marBottom w:val="0"/>
      <w:divBdr>
        <w:top w:val="none" w:sz="0" w:space="0" w:color="auto"/>
        <w:left w:val="none" w:sz="0" w:space="0" w:color="auto"/>
        <w:bottom w:val="none" w:sz="0" w:space="0" w:color="auto"/>
        <w:right w:val="none" w:sz="0" w:space="0" w:color="auto"/>
      </w:divBdr>
    </w:div>
    <w:div w:id="120616709">
      <w:bodyDiv w:val="1"/>
      <w:marLeft w:val="0"/>
      <w:marRight w:val="0"/>
      <w:marTop w:val="0"/>
      <w:marBottom w:val="0"/>
      <w:divBdr>
        <w:top w:val="none" w:sz="0" w:space="0" w:color="auto"/>
        <w:left w:val="none" w:sz="0" w:space="0" w:color="auto"/>
        <w:bottom w:val="none" w:sz="0" w:space="0" w:color="auto"/>
        <w:right w:val="none" w:sz="0" w:space="0" w:color="auto"/>
      </w:divBdr>
      <w:divsChild>
        <w:div w:id="288167838">
          <w:marLeft w:val="0"/>
          <w:marRight w:val="0"/>
          <w:marTop w:val="0"/>
          <w:marBottom w:val="0"/>
          <w:divBdr>
            <w:top w:val="none" w:sz="0" w:space="0" w:color="auto"/>
            <w:left w:val="none" w:sz="0" w:space="0" w:color="auto"/>
            <w:bottom w:val="none" w:sz="0" w:space="0" w:color="auto"/>
            <w:right w:val="none" w:sz="0" w:space="0" w:color="auto"/>
          </w:divBdr>
          <w:divsChild>
            <w:div w:id="1163666451">
              <w:marLeft w:val="0"/>
              <w:marRight w:val="0"/>
              <w:marTop w:val="0"/>
              <w:marBottom w:val="0"/>
              <w:divBdr>
                <w:top w:val="none" w:sz="0" w:space="0" w:color="auto"/>
                <w:left w:val="none" w:sz="0" w:space="0" w:color="auto"/>
                <w:bottom w:val="none" w:sz="0" w:space="0" w:color="auto"/>
                <w:right w:val="none" w:sz="0" w:space="0" w:color="auto"/>
              </w:divBdr>
              <w:divsChild>
                <w:div w:id="1187983475">
                  <w:marLeft w:val="0"/>
                  <w:marRight w:val="0"/>
                  <w:marTop w:val="0"/>
                  <w:marBottom w:val="0"/>
                  <w:divBdr>
                    <w:top w:val="none" w:sz="0" w:space="0" w:color="auto"/>
                    <w:left w:val="none" w:sz="0" w:space="0" w:color="auto"/>
                    <w:bottom w:val="none" w:sz="0" w:space="0" w:color="auto"/>
                    <w:right w:val="none" w:sz="0" w:space="0" w:color="auto"/>
                  </w:divBdr>
                  <w:divsChild>
                    <w:div w:id="2052067488">
                      <w:marLeft w:val="0"/>
                      <w:marRight w:val="0"/>
                      <w:marTop w:val="0"/>
                      <w:marBottom w:val="0"/>
                      <w:divBdr>
                        <w:top w:val="none" w:sz="0" w:space="0" w:color="auto"/>
                        <w:left w:val="none" w:sz="0" w:space="0" w:color="auto"/>
                        <w:bottom w:val="none" w:sz="0" w:space="0" w:color="auto"/>
                        <w:right w:val="none" w:sz="0" w:space="0" w:color="auto"/>
                      </w:divBdr>
                      <w:divsChild>
                        <w:div w:id="537013703">
                          <w:marLeft w:val="0"/>
                          <w:marRight w:val="0"/>
                          <w:marTop w:val="0"/>
                          <w:marBottom w:val="0"/>
                          <w:divBdr>
                            <w:top w:val="none" w:sz="0" w:space="0" w:color="auto"/>
                            <w:left w:val="none" w:sz="0" w:space="0" w:color="auto"/>
                            <w:bottom w:val="none" w:sz="0" w:space="0" w:color="auto"/>
                            <w:right w:val="none" w:sz="0" w:space="0" w:color="auto"/>
                          </w:divBdr>
                        </w:div>
                        <w:div w:id="1617982378">
                          <w:marLeft w:val="0"/>
                          <w:marRight w:val="0"/>
                          <w:marTop w:val="0"/>
                          <w:marBottom w:val="0"/>
                          <w:divBdr>
                            <w:top w:val="none" w:sz="0" w:space="0" w:color="auto"/>
                            <w:left w:val="none" w:sz="0" w:space="0" w:color="auto"/>
                            <w:bottom w:val="none" w:sz="0" w:space="0" w:color="auto"/>
                            <w:right w:val="none" w:sz="0" w:space="0" w:color="auto"/>
                          </w:divBdr>
                          <w:divsChild>
                            <w:div w:id="1716806031">
                              <w:marLeft w:val="0"/>
                              <w:marRight w:val="0"/>
                              <w:marTop w:val="0"/>
                              <w:marBottom w:val="0"/>
                              <w:divBdr>
                                <w:top w:val="none" w:sz="0" w:space="0" w:color="auto"/>
                                <w:left w:val="none" w:sz="0" w:space="0" w:color="auto"/>
                                <w:bottom w:val="none" w:sz="0" w:space="0" w:color="auto"/>
                                <w:right w:val="none" w:sz="0" w:space="0" w:color="auto"/>
                              </w:divBdr>
                              <w:divsChild>
                                <w:div w:id="29111322">
                                  <w:marLeft w:val="0"/>
                                  <w:marRight w:val="0"/>
                                  <w:marTop w:val="0"/>
                                  <w:marBottom w:val="0"/>
                                  <w:divBdr>
                                    <w:top w:val="none" w:sz="0" w:space="0" w:color="auto"/>
                                    <w:left w:val="none" w:sz="0" w:space="0" w:color="auto"/>
                                    <w:bottom w:val="none" w:sz="0" w:space="0" w:color="auto"/>
                                    <w:right w:val="none" w:sz="0" w:space="0" w:color="auto"/>
                                  </w:divBdr>
                                </w:div>
                                <w:div w:id="131531156">
                                  <w:marLeft w:val="0"/>
                                  <w:marRight w:val="0"/>
                                  <w:marTop w:val="0"/>
                                  <w:marBottom w:val="0"/>
                                  <w:divBdr>
                                    <w:top w:val="none" w:sz="0" w:space="0" w:color="auto"/>
                                    <w:left w:val="none" w:sz="0" w:space="0" w:color="auto"/>
                                    <w:bottom w:val="none" w:sz="0" w:space="0" w:color="auto"/>
                                    <w:right w:val="none" w:sz="0" w:space="0" w:color="auto"/>
                                  </w:divBdr>
                                </w:div>
                                <w:div w:id="112030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743481">
      <w:bodyDiv w:val="1"/>
      <w:marLeft w:val="0"/>
      <w:marRight w:val="0"/>
      <w:marTop w:val="0"/>
      <w:marBottom w:val="0"/>
      <w:divBdr>
        <w:top w:val="none" w:sz="0" w:space="0" w:color="auto"/>
        <w:left w:val="none" w:sz="0" w:space="0" w:color="auto"/>
        <w:bottom w:val="none" w:sz="0" w:space="0" w:color="auto"/>
        <w:right w:val="none" w:sz="0" w:space="0" w:color="auto"/>
      </w:divBdr>
    </w:div>
    <w:div w:id="126239054">
      <w:bodyDiv w:val="1"/>
      <w:marLeft w:val="0"/>
      <w:marRight w:val="0"/>
      <w:marTop w:val="0"/>
      <w:marBottom w:val="0"/>
      <w:divBdr>
        <w:top w:val="none" w:sz="0" w:space="0" w:color="auto"/>
        <w:left w:val="none" w:sz="0" w:space="0" w:color="auto"/>
        <w:bottom w:val="none" w:sz="0" w:space="0" w:color="auto"/>
        <w:right w:val="none" w:sz="0" w:space="0" w:color="auto"/>
      </w:divBdr>
    </w:div>
    <w:div w:id="130564360">
      <w:bodyDiv w:val="1"/>
      <w:marLeft w:val="0"/>
      <w:marRight w:val="0"/>
      <w:marTop w:val="0"/>
      <w:marBottom w:val="0"/>
      <w:divBdr>
        <w:top w:val="none" w:sz="0" w:space="0" w:color="auto"/>
        <w:left w:val="none" w:sz="0" w:space="0" w:color="auto"/>
        <w:bottom w:val="none" w:sz="0" w:space="0" w:color="auto"/>
        <w:right w:val="none" w:sz="0" w:space="0" w:color="auto"/>
      </w:divBdr>
      <w:divsChild>
        <w:div w:id="25182318">
          <w:marLeft w:val="0"/>
          <w:marRight w:val="0"/>
          <w:marTop w:val="0"/>
          <w:marBottom w:val="0"/>
          <w:divBdr>
            <w:top w:val="none" w:sz="0" w:space="0" w:color="auto"/>
            <w:left w:val="none" w:sz="0" w:space="0" w:color="auto"/>
            <w:bottom w:val="none" w:sz="0" w:space="0" w:color="auto"/>
            <w:right w:val="none" w:sz="0" w:space="0" w:color="auto"/>
          </w:divBdr>
          <w:divsChild>
            <w:div w:id="448621776">
              <w:marLeft w:val="0"/>
              <w:marRight w:val="0"/>
              <w:marTop w:val="144"/>
              <w:marBottom w:val="0"/>
              <w:divBdr>
                <w:top w:val="none" w:sz="0" w:space="0" w:color="auto"/>
                <w:left w:val="none" w:sz="0" w:space="0" w:color="auto"/>
                <w:bottom w:val="none" w:sz="0" w:space="0" w:color="auto"/>
                <w:right w:val="none" w:sz="0" w:space="0" w:color="auto"/>
              </w:divBdr>
              <w:divsChild>
                <w:div w:id="74742431">
                  <w:marLeft w:val="0"/>
                  <w:marRight w:val="0"/>
                  <w:marTop w:val="144"/>
                  <w:marBottom w:val="0"/>
                  <w:divBdr>
                    <w:top w:val="none" w:sz="0" w:space="0" w:color="auto"/>
                    <w:left w:val="none" w:sz="0" w:space="0" w:color="auto"/>
                    <w:bottom w:val="none" w:sz="0" w:space="0" w:color="auto"/>
                    <w:right w:val="none" w:sz="0" w:space="0" w:color="auto"/>
                  </w:divBdr>
                </w:div>
                <w:div w:id="78060506">
                  <w:marLeft w:val="0"/>
                  <w:marRight w:val="0"/>
                  <w:marTop w:val="144"/>
                  <w:marBottom w:val="0"/>
                  <w:divBdr>
                    <w:top w:val="none" w:sz="0" w:space="0" w:color="auto"/>
                    <w:left w:val="none" w:sz="0" w:space="0" w:color="auto"/>
                    <w:bottom w:val="none" w:sz="0" w:space="0" w:color="auto"/>
                    <w:right w:val="none" w:sz="0" w:space="0" w:color="auto"/>
                  </w:divBdr>
                </w:div>
                <w:div w:id="120733992">
                  <w:marLeft w:val="0"/>
                  <w:marRight w:val="0"/>
                  <w:marTop w:val="144"/>
                  <w:marBottom w:val="0"/>
                  <w:divBdr>
                    <w:top w:val="none" w:sz="0" w:space="0" w:color="auto"/>
                    <w:left w:val="none" w:sz="0" w:space="0" w:color="auto"/>
                    <w:bottom w:val="none" w:sz="0" w:space="0" w:color="auto"/>
                    <w:right w:val="none" w:sz="0" w:space="0" w:color="auto"/>
                  </w:divBdr>
                  <w:divsChild>
                    <w:div w:id="192767035">
                      <w:marLeft w:val="0"/>
                      <w:marRight w:val="0"/>
                      <w:marTop w:val="144"/>
                      <w:marBottom w:val="0"/>
                      <w:divBdr>
                        <w:top w:val="none" w:sz="0" w:space="0" w:color="auto"/>
                        <w:left w:val="none" w:sz="0" w:space="0" w:color="auto"/>
                        <w:bottom w:val="none" w:sz="0" w:space="0" w:color="auto"/>
                        <w:right w:val="none" w:sz="0" w:space="0" w:color="auto"/>
                      </w:divBdr>
                      <w:divsChild>
                        <w:div w:id="287666323">
                          <w:marLeft w:val="-216"/>
                          <w:marRight w:val="0"/>
                          <w:marTop w:val="0"/>
                          <w:marBottom w:val="0"/>
                          <w:divBdr>
                            <w:top w:val="none" w:sz="0" w:space="0" w:color="auto"/>
                            <w:left w:val="none" w:sz="0" w:space="0" w:color="auto"/>
                            <w:bottom w:val="none" w:sz="0" w:space="0" w:color="auto"/>
                            <w:right w:val="none" w:sz="0" w:space="0" w:color="auto"/>
                          </w:divBdr>
                        </w:div>
                        <w:div w:id="1309213920">
                          <w:marLeft w:val="1080"/>
                          <w:marRight w:val="0"/>
                          <w:marTop w:val="0"/>
                          <w:marBottom w:val="0"/>
                          <w:divBdr>
                            <w:top w:val="none" w:sz="0" w:space="0" w:color="auto"/>
                            <w:left w:val="none" w:sz="0" w:space="0" w:color="auto"/>
                            <w:bottom w:val="none" w:sz="0" w:space="0" w:color="auto"/>
                            <w:right w:val="none" w:sz="0" w:space="0" w:color="auto"/>
                          </w:divBdr>
                        </w:div>
                      </w:divsChild>
                    </w:div>
                    <w:div w:id="1300263054">
                      <w:marLeft w:val="0"/>
                      <w:marRight w:val="0"/>
                      <w:marTop w:val="144"/>
                      <w:marBottom w:val="0"/>
                      <w:divBdr>
                        <w:top w:val="none" w:sz="0" w:space="0" w:color="auto"/>
                        <w:left w:val="none" w:sz="0" w:space="0" w:color="auto"/>
                        <w:bottom w:val="none" w:sz="0" w:space="0" w:color="auto"/>
                        <w:right w:val="none" w:sz="0" w:space="0" w:color="auto"/>
                      </w:divBdr>
                      <w:divsChild>
                        <w:div w:id="1162236136">
                          <w:marLeft w:val="-216"/>
                          <w:marRight w:val="0"/>
                          <w:marTop w:val="0"/>
                          <w:marBottom w:val="0"/>
                          <w:divBdr>
                            <w:top w:val="none" w:sz="0" w:space="0" w:color="auto"/>
                            <w:left w:val="none" w:sz="0" w:space="0" w:color="auto"/>
                            <w:bottom w:val="none" w:sz="0" w:space="0" w:color="auto"/>
                            <w:right w:val="none" w:sz="0" w:space="0" w:color="auto"/>
                          </w:divBdr>
                        </w:div>
                        <w:div w:id="2065637056">
                          <w:marLeft w:val="1080"/>
                          <w:marRight w:val="0"/>
                          <w:marTop w:val="0"/>
                          <w:marBottom w:val="0"/>
                          <w:divBdr>
                            <w:top w:val="none" w:sz="0" w:space="0" w:color="auto"/>
                            <w:left w:val="none" w:sz="0" w:space="0" w:color="auto"/>
                            <w:bottom w:val="none" w:sz="0" w:space="0" w:color="auto"/>
                            <w:right w:val="none" w:sz="0" w:space="0" w:color="auto"/>
                          </w:divBdr>
                        </w:div>
                      </w:divsChild>
                    </w:div>
                    <w:div w:id="1445227267">
                      <w:marLeft w:val="0"/>
                      <w:marRight w:val="0"/>
                      <w:marTop w:val="144"/>
                      <w:marBottom w:val="0"/>
                      <w:divBdr>
                        <w:top w:val="none" w:sz="0" w:space="0" w:color="auto"/>
                        <w:left w:val="none" w:sz="0" w:space="0" w:color="auto"/>
                        <w:bottom w:val="none" w:sz="0" w:space="0" w:color="auto"/>
                        <w:right w:val="none" w:sz="0" w:space="0" w:color="auto"/>
                      </w:divBdr>
                    </w:div>
                    <w:div w:id="1560897312">
                      <w:marLeft w:val="0"/>
                      <w:marRight w:val="0"/>
                      <w:marTop w:val="144"/>
                      <w:marBottom w:val="0"/>
                      <w:divBdr>
                        <w:top w:val="none" w:sz="0" w:space="0" w:color="auto"/>
                        <w:left w:val="none" w:sz="0" w:space="0" w:color="auto"/>
                        <w:bottom w:val="none" w:sz="0" w:space="0" w:color="auto"/>
                        <w:right w:val="none" w:sz="0" w:space="0" w:color="auto"/>
                      </w:divBdr>
                      <w:divsChild>
                        <w:div w:id="503592655">
                          <w:marLeft w:val="-216"/>
                          <w:marRight w:val="0"/>
                          <w:marTop w:val="0"/>
                          <w:marBottom w:val="0"/>
                          <w:divBdr>
                            <w:top w:val="none" w:sz="0" w:space="0" w:color="auto"/>
                            <w:left w:val="none" w:sz="0" w:space="0" w:color="auto"/>
                            <w:bottom w:val="none" w:sz="0" w:space="0" w:color="auto"/>
                            <w:right w:val="none" w:sz="0" w:space="0" w:color="auto"/>
                          </w:divBdr>
                        </w:div>
                        <w:div w:id="786386678">
                          <w:marLeft w:val="1080"/>
                          <w:marRight w:val="0"/>
                          <w:marTop w:val="0"/>
                          <w:marBottom w:val="0"/>
                          <w:divBdr>
                            <w:top w:val="none" w:sz="0" w:space="0" w:color="auto"/>
                            <w:left w:val="none" w:sz="0" w:space="0" w:color="auto"/>
                            <w:bottom w:val="none" w:sz="0" w:space="0" w:color="auto"/>
                            <w:right w:val="none" w:sz="0" w:space="0" w:color="auto"/>
                          </w:divBdr>
                        </w:div>
                      </w:divsChild>
                    </w:div>
                    <w:div w:id="1975138089">
                      <w:marLeft w:val="0"/>
                      <w:marRight w:val="0"/>
                      <w:marTop w:val="144"/>
                      <w:marBottom w:val="0"/>
                      <w:divBdr>
                        <w:top w:val="none" w:sz="0" w:space="0" w:color="auto"/>
                        <w:left w:val="none" w:sz="0" w:space="0" w:color="auto"/>
                        <w:bottom w:val="none" w:sz="0" w:space="0" w:color="auto"/>
                        <w:right w:val="none" w:sz="0" w:space="0" w:color="auto"/>
                      </w:divBdr>
                      <w:divsChild>
                        <w:div w:id="1487742000">
                          <w:marLeft w:val="-216"/>
                          <w:marRight w:val="0"/>
                          <w:marTop w:val="0"/>
                          <w:marBottom w:val="0"/>
                          <w:divBdr>
                            <w:top w:val="none" w:sz="0" w:space="0" w:color="auto"/>
                            <w:left w:val="none" w:sz="0" w:space="0" w:color="auto"/>
                            <w:bottom w:val="none" w:sz="0" w:space="0" w:color="auto"/>
                            <w:right w:val="none" w:sz="0" w:space="0" w:color="auto"/>
                          </w:divBdr>
                        </w:div>
                        <w:div w:id="1536117588">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624583491">
                  <w:marLeft w:val="0"/>
                  <w:marRight w:val="0"/>
                  <w:marTop w:val="144"/>
                  <w:marBottom w:val="0"/>
                  <w:divBdr>
                    <w:top w:val="none" w:sz="0" w:space="0" w:color="auto"/>
                    <w:left w:val="none" w:sz="0" w:space="0" w:color="auto"/>
                    <w:bottom w:val="none" w:sz="0" w:space="0" w:color="auto"/>
                    <w:right w:val="none" w:sz="0" w:space="0" w:color="auto"/>
                  </w:divBdr>
                </w:div>
                <w:div w:id="874660999">
                  <w:marLeft w:val="0"/>
                  <w:marRight w:val="0"/>
                  <w:marTop w:val="144"/>
                  <w:marBottom w:val="0"/>
                  <w:divBdr>
                    <w:top w:val="none" w:sz="0" w:space="0" w:color="auto"/>
                    <w:left w:val="none" w:sz="0" w:space="0" w:color="auto"/>
                    <w:bottom w:val="none" w:sz="0" w:space="0" w:color="auto"/>
                    <w:right w:val="none" w:sz="0" w:space="0" w:color="auto"/>
                  </w:divBdr>
                </w:div>
                <w:div w:id="1076366142">
                  <w:marLeft w:val="0"/>
                  <w:marRight w:val="0"/>
                  <w:marTop w:val="0"/>
                  <w:marBottom w:val="0"/>
                  <w:divBdr>
                    <w:top w:val="none" w:sz="0" w:space="0" w:color="auto"/>
                    <w:left w:val="none" w:sz="0" w:space="0" w:color="auto"/>
                    <w:bottom w:val="none" w:sz="0" w:space="0" w:color="auto"/>
                    <w:right w:val="none" w:sz="0" w:space="0" w:color="auto"/>
                  </w:divBdr>
                </w:div>
                <w:div w:id="1149639115">
                  <w:marLeft w:val="0"/>
                  <w:marRight w:val="0"/>
                  <w:marTop w:val="144"/>
                  <w:marBottom w:val="0"/>
                  <w:divBdr>
                    <w:top w:val="none" w:sz="0" w:space="0" w:color="auto"/>
                    <w:left w:val="none" w:sz="0" w:space="0" w:color="auto"/>
                    <w:bottom w:val="none" w:sz="0" w:space="0" w:color="auto"/>
                    <w:right w:val="none" w:sz="0" w:space="0" w:color="auto"/>
                  </w:divBdr>
                </w:div>
                <w:div w:id="1306929392">
                  <w:marLeft w:val="0"/>
                  <w:marRight w:val="0"/>
                  <w:marTop w:val="144"/>
                  <w:marBottom w:val="0"/>
                  <w:divBdr>
                    <w:top w:val="none" w:sz="0" w:space="0" w:color="auto"/>
                    <w:left w:val="none" w:sz="0" w:space="0" w:color="auto"/>
                    <w:bottom w:val="none" w:sz="0" w:space="0" w:color="auto"/>
                    <w:right w:val="none" w:sz="0" w:space="0" w:color="auto"/>
                  </w:divBdr>
                </w:div>
                <w:div w:id="1635020199">
                  <w:marLeft w:val="0"/>
                  <w:marRight w:val="0"/>
                  <w:marTop w:val="144"/>
                  <w:marBottom w:val="0"/>
                  <w:divBdr>
                    <w:top w:val="none" w:sz="0" w:space="0" w:color="auto"/>
                    <w:left w:val="none" w:sz="0" w:space="0" w:color="auto"/>
                    <w:bottom w:val="none" w:sz="0" w:space="0" w:color="auto"/>
                    <w:right w:val="none" w:sz="0" w:space="0" w:color="auto"/>
                  </w:divBdr>
                </w:div>
                <w:div w:id="1652712732">
                  <w:marLeft w:val="0"/>
                  <w:marRight w:val="0"/>
                  <w:marTop w:val="144"/>
                  <w:marBottom w:val="0"/>
                  <w:divBdr>
                    <w:top w:val="none" w:sz="0" w:space="0" w:color="auto"/>
                    <w:left w:val="none" w:sz="0" w:space="0" w:color="auto"/>
                    <w:bottom w:val="none" w:sz="0" w:space="0" w:color="auto"/>
                    <w:right w:val="none" w:sz="0" w:space="0" w:color="auto"/>
                  </w:divBdr>
                </w:div>
                <w:div w:id="1673297404">
                  <w:marLeft w:val="0"/>
                  <w:marRight w:val="0"/>
                  <w:marTop w:val="144"/>
                  <w:marBottom w:val="0"/>
                  <w:divBdr>
                    <w:top w:val="none" w:sz="0" w:space="0" w:color="auto"/>
                    <w:left w:val="none" w:sz="0" w:space="0" w:color="auto"/>
                    <w:bottom w:val="none" w:sz="0" w:space="0" w:color="auto"/>
                    <w:right w:val="none" w:sz="0" w:space="0" w:color="auto"/>
                  </w:divBdr>
                </w:div>
                <w:div w:id="2036273606">
                  <w:marLeft w:val="0"/>
                  <w:marRight w:val="0"/>
                  <w:marTop w:val="144"/>
                  <w:marBottom w:val="0"/>
                  <w:divBdr>
                    <w:top w:val="none" w:sz="0" w:space="0" w:color="auto"/>
                    <w:left w:val="none" w:sz="0" w:space="0" w:color="auto"/>
                    <w:bottom w:val="none" w:sz="0" w:space="0" w:color="auto"/>
                    <w:right w:val="none" w:sz="0" w:space="0" w:color="auto"/>
                  </w:divBdr>
                </w:div>
              </w:divsChild>
            </w:div>
          </w:divsChild>
        </w:div>
        <w:div w:id="1801803445">
          <w:marLeft w:val="0"/>
          <w:marRight w:val="0"/>
          <w:marTop w:val="0"/>
          <w:marBottom w:val="0"/>
          <w:divBdr>
            <w:top w:val="none" w:sz="0" w:space="0" w:color="auto"/>
            <w:left w:val="none" w:sz="0" w:space="0" w:color="auto"/>
            <w:bottom w:val="none" w:sz="0" w:space="0" w:color="auto"/>
            <w:right w:val="none" w:sz="0" w:space="0" w:color="auto"/>
          </w:divBdr>
          <w:divsChild>
            <w:div w:id="220334934">
              <w:marLeft w:val="0"/>
              <w:marRight w:val="0"/>
              <w:marTop w:val="144"/>
              <w:marBottom w:val="0"/>
              <w:divBdr>
                <w:top w:val="none" w:sz="0" w:space="0" w:color="auto"/>
                <w:left w:val="none" w:sz="0" w:space="0" w:color="auto"/>
                <w:bottom w:val="none" w:sz="0" w:space="0" w:color="auto"/>
                <w:right w:val="none" w:sz="0" w:space="0" w:color="auto"/>
              </w:divBdr>
              <w:divsChild>
                <w:div w:id="405036776">
                  <w:marLeft w:val="0"/>
                  <w:marRight w:val="0"/>
                  <w:marTop w:val="144"/>
                  <w:marBottom w:val="0"/>
                  <w:divBdr>
                    <w:top w:val="none" w:sz="0" w:space="0" w:color="auto"/>
                    <w:left w:val="none" w:sz="0" w:space="0" w:color="auto"/>
                    <w:bottom w:val="none" w:sz="0" w:space="0" w:color="auto"/>
                    <w:right w:val="none" w:sz="0" w:space="0" w:color="auto"/>
                  </w:divBdr>
                </w:div>
                <w:div w:id="1105004215">
                  <w:marLeft w:val="0"/>
                  <w:marRight w:val="0"/>
                  <w:marTop w:val="0"/>
                  <w:marBottom w:val="0"/>
                  <w:divBdr>
                    <w:top w:val="none" w:sz="0" w:space="0" w:color="auto"/>
                    <w:left w:val="none" w:sz="0" w:space="0" w:color="auto"/>
                    <w:bottom w:val="none" w:sz="0" w:space="0" w:color="auto"/>
                    <w:right w:val="none" w:sz="0" w:space="0" w:color="auto"/>
                  </w:divBdr>
                  <w:divsChild>
                    <w:div w:id="301229307">
                      <w:marLeft w:val="0"/>
                      <w:marRight w:val="0"/>
                      <w:marTop w:val="144"/>
                      <w:marBottom w:val="0"/>
                      <w:divBdr>
                        <w:top w:val="none" w:sz="0" w:space="0" w:color="auto"/>
                        <w:left w:val="none" w:sz="0" w:space="0" w:color="auto"/>
                        <w:bottom w:val="none" w:sz="0" w:space="0" w:color="auto"/>
                        <w:right w:val="none" w:sz="0" w:space="0" w:color="auto"/>
                      </w:divBdr>
                      <w:divsChild>
                        <w:div w:id="603808460">
                          <w:marLeft w:val="-216"/>
                          <w:marRight w:val="0"/>
                          <w:marTop w:val="0"/>
                          <w:marBottom w:val="0"/>
                          <w:divBdr>
                            <w:top w:val="none" w:sz="0" w:space="0" w:color="auto"/>
                            <w:left w:val="none" w:sz="0" w:space="0" w:color="auto"/>
                            <w:bottom w:val="none" w:sz="0" w:space="0" w:color="auto"/>
                            <w:right w:val="none" w:sz="0" w:space="0" w:color="auto"/>
                          </w:divBdr>
                        </w:div>
                        <w:div w:id="1272392784">
                          <w:marLeft w:val="1080"/>
                          <w:marRight w:val="0"/>
                          <w:marTop w:val="0"/>
                          <w:marBottom w:val="0"/>
                          <w:divBdr>
                            <w:top w:val="none" w:sz="0" w:space="0" w:color="auto"/>
                            <w:left w:val="none" w:sz="0" w:space="0" w:color="auto"/>
                            <w:bottom w:val="none" w:sz="0" w:space="0" w:color="auto"/>
                            <w:right w:val="none" w:sz="0" w:space="0" w:color="auto"/>
                          </w:divBdr>
                        </w:div>
                      </w:divsChild>
                    </w:div>
                    <w:div w:id="1253511477">
                      <w:marLeft w:val="0"/>
                      <w:marRight w:val="0"/>
                      <w:marTop w:val="144"/>
                      <w:marBottom w:val="0"/>
                      <w:divBdr>
                        <w:top w:val="none" w:sz="0" w:space="0" w:color="auto"/>
                        <w:left w:val="none" w:sz="0" w:space="0" w:color="auto"/>
                        <w:bottom w:val="none" w:sz="0" w:space="0" w:color="auto"/>
                        <w:right w:val="none" w:sz="0" w:space="0" w:color="auto"/>
                      </w:divBdr>
                      <w:divsChild>
                        <w:div w:id="898903115">
                          <w:marLeft w:val="1080"/>
                          <w:marRight w:val="0"/>
                          <w:marTop w:val="0"/>
                          <w:marBottom w:val="0"/>
                          <w:divBdr>
                            <w:top w:val="none" w:sz="0" w:space="0" w:color="auto"/>
                            <w:left w:val="none" w:sz="0" w:space="0" w:color="auto"/>
                            <w:bottom w:val="none" w:sz="0" w:space="0" w:color="auto"/>
                            <w:right w:val="none" w:sz="0" w:space="0" w:color="auto"/>
                          </w:divBdr>
                        </w:div>
                        <w:div w:id="2028284942">
                          <w:marLeft w:val="-216"/>
                          <w:marRight w:val="0"/>
                          <w:marTop w:val="0"/>
                          <w:marBottom w:val="0"/>
                          <w:divBdr>
                            <w:top w:val="none" w:sz="0" w:space="0" w:color="auto"/>
                            <w:left w:val="none" w:sz="0" w:space="0" w:color="auto"/>
                            <w:bottom w:val="none" w:sz="0" w:space="0" w:color="auto"/>
                            <w:right w:val="none" w:sz="0" w:space="0" w:color="auto"/>
                          </w:divBdr>
                        </w:div>
                      </w:divsChild>
                    </w:div>
                    <w:div w:id="2060081427">
                      <w:marLeft w:val="0"/>
                      <w:marRight w:val="0"/>
                      <w:marTop w:val="144"/>
                      <w:marBottom w:val="0"/>
                      <w:divBdr>
                        <w:top w:val="none" w:sz="0" w:space="0" w:color="auto"/>
                        <w:left w:val="none" w:sz="0" w:space="0" w:color="auto"/>
                        <w:bottom w:val="none" w:sz="0" w:space="0" w:color="auto"/>
                        <w:right w:val="none" w:sz="0" w:space="0" w:color="auto"/>
                      </w:divBdr>
                      <w:divsChild>
                        <w:div w:id="549801313">
                          <w:marLeft w:val="-216"/>
                          <w:marRight w:val="0"/>
                          <w:marTop w:val="0"/>
                          <w:marBottom w:val="0"/>
                          <w:divBdr>
                            <w:top w:val="none" w:sz="0" w:space="0" w:color="auto"/>
                            <w:left w:val="none" w:sz="0" w:space="0" w:color="auto"/>
                            <w:bottom w:val="none" w:sz="0" w:space="0" w:color="auto"/>
                            <w:right w:val="none" w:sz="0" w:space="0" w:color="auto"/>
                          </w:divBdr>
                        </w:div>
                        <w:div w:id="640232237">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1948349095">
                  <w:marLeft w:val="0"/>
                  <w:marRight w:val="0"/>
                  <w:marTop w:val="144"/>
                  <w:marBottom w:val="0"/>
                  <w:divBdr>
                    <w:top w:val="none" w:sz="0" w:space="0" w:color="auto"/>
                    <w:left w:val="none" w:sz="0" w:space="0" w:color="auto"/>
                    <w:bottom w:val="none" w:sz="0" w:space="0" w:color="auto"/>
                    <w:right w:val="none" w:sz="0" w:space="0" w:color="auto"/>
                  </w:divBdr>
                  <w:divsChild>
                    <w:div w:id="121966983">
                      <w:marLeft w:val="0"/>
                      <w:marRight w:val="0"/>
                      <w:marTop w:val="144"/>
                      <w:marBottom w:val="0"/>
                      <w:divBdr>
                        <w:top w:val="none" w:sz="0" w:space="0" w:color="auto"/>
                        <w:left w:val="none" w:sz="0" w:space="0" w:color="auto"/>
                        <w:bottom w:val="none" w:sz="0" w:space="0" w:color="auto"/>
                        <w:right w:val="none" w:sz="0" w:space="0" w:color="auto"/>
                      </w:divBdr>
                      <w:divsChild>
                        <w:div w:id="63264240">
                          <w:marLeft w:val="-216"/>
                          <w:marRight w:val="0"/>
                          <w:marTop w:val="0"/>
                          <w:marBottom w:val="0"/>
                          <w:divBdr>
                            <w:top w:val="none" w:sz="0" w:space="0" w:color="auto"/>
                            <w:left w:val="none" w:sz="0" w:space="0" w:color="auto"/>
                            <w:bottom w:val="none" w:sz="0" w:space="0" w:color="auto"/>
                            <w:right w:val="none" w:sz="0" w:space="0" w:color="auto"/>
                          </w:divBdr>
                        </w:div>
                        <w:div w:id="80613451">
                          <w:marLeft w:val="1080"/>
                          <w:marRight w:val="0"/>
                          <w:marTop w:val="0"/>
                          <w:marBottom w:val="0"/>
                          <w:divBdr>
                            <w:top w:val="none" w:sz="0" w:space="0" w:color="auto"/>
                            <w:left w:val="none" w:sz="0" w:space="0" w:color="auto"/>
                            <w:bottom w:val="none" w:sz="0" w:space="0" w:color="auto"/>
                            <w:right w:val="none" w:sz="0" w:space="0" w:color="auto"/>
                          </w:divBdr>
                        </w:div>
                      </w:divsChild>
                    </w:div>
                    <w:div w:id="817918932">
                      <w:marLeft w:val="0"/>
                      <w:marRight w:val="0"/>
                      <w:marTop w:val="144"/>
                      <w:marBottom w:val="0"/>
                      <w:divBdr>
                        <w:top w:val="none" w:sz="0" w:space="0" w:color="auto"/>
                        <w:left w:val="none" w:sz="0" w:space="0" w:color="auto"/>
                        <w:bottom w:val="none" w:sz="0" w:space="0" w:color="auto"/>
                        <w:right w:val="none" w:sz="0" w:space="0" w:color="auto"/>
                      </w:divBdr>
                      <w:divsChild>
                        <w:div w:id="690883059">
                          <w:marLeft w:val="1080"/>
                          <w:marRight w:val="0"/>
                          <w:marTop w:val="0"/>
                          <w:marBottom w:val="0"/>
                          <w:divBdr>
                            <w:top w:val="none" w:sz="0" w:space="0" w:color="auto"/>
                            <w:left w:val="none" w:sz="0" w:space="0" w:color="auto"/>
                            <w:bottom w:val="none" w:sz="0" w:space="0" w:color="auto"/>
                            <w:right w:val="none" w:sz="0" w:space="0" w:color="auto"/>
                          </w:divBdr>
                        </w:div>
                        <w:div w:id="1168255463">
                          <w:marLeft w:val="-216"/>
                          <w:marRight w:val="0"/>
                          <w:marTop w:val="0"/>
                          <w:marBottom w:val="0"/>
                          <w:divBdr>
                            <w:top w:val="none" w:sz="0" w:space="0" w:color="auto"/>
                            <w:left w:val="none" w:sz="0" w:space="0" w:color="auto"/>
                            <w:bottom w:val="none" w:sz="0" w:space="0" w:color="auto"/>
                            <w:right w:val="none" w:sz="0" w:space="0" w:color="auto"/>
                          </w:divBdr>
                        </w:div>
                      </w:divsChild>
                    </w:div>
                    <w:div w:id="915935729">
                      <w:marLeft w:val="0"/>
                      <w:marRight w:val="0"/>
                      <w:marTop w:val="144"/>
                      <w:marBottom w:val="0"/>
                      <w:divBdr>
                        <w:top w:val="none" w:sz="0" w:space="0" w:color="auto"/>
                        <w:left w:val="none" w:sz="0" w:space="0" w:color="auto"/>
                        <w:bottom w:val="none" w:sz="0" w:space="0" w:color="auto"/>
                        <w:right w:val="none" w:sz="0" w:space="0" w:color="auto"/>
                      </w:divBdr>
                      <w:divsChild>
                        <w:div w:id="330372142">
                          <w:marLeft w:val="-216"/>
                          <w:marRight w:val="0"/>
                          <w:marTop w:val="0"/>
                          <w:marBottom w:val="0"/>
                          <w:divBdr>
                            <w:top w:val="none" w:sz="0" w:space="0" w:color="auto"/>
                            <w:left w:val="none" w:sz="0" w:space="0" w:color="auto"/>
                            <w:bottom w:val="none" w:sz="0" w:space="0" w:color="auto"/>
                            <w:right w:val="none" w:sz="0" w:space="0" w:color="auto"/>
                          </w:divBdr>
                        </w:div>
                        <w:div w:id="1219248454">
                          <w:marLeft w:val="1080"/>
                          <w:marRight w:val="0"/>
                          <w:marTop w:val="0"/>
                          <w:marBottom w:val="0"/>
                          <w:divBdr>
                            <w:top w:val="none" w:sz="0" w:space="0" w:color="auto"/>
                            <w:left w:val="none" w:sz="0" w:space="0" w:color="auto"/>
                            <w:bottom w:val="none" w:sz="0" w:space="0" w:color="auto"/>
                            <w:right w:val="none" w:sz="0" w:space="0" w:color="auto"/>
                          </w:divBdr>
                        </w:div>
                      </w:divsChild>
                    </w:div>
                    <w:div w:id="1360816671">
                      <w:marLeft w:val="0"/>
                      <w:marRight w:val="0"/>
                      <w:marTop w:val="144"/>
                      <w:marBottom w:val="0"/>
                      <w:divBdr>
                        <w:top w:val="none" w:sz="0" w:space="0" w:color="auto"/>
                        <w:left w:val="none" w:sz="0" w:space="0" w:color="auto"/>
                        <w:bottom w:val="none" w:sz="0" w:space="0" w:color="auto"/>
                        <w:right w:val="none" w:sz="0" w:space="0" w:color="auto"/>
                      </w:divBdr>
                      <w:divsChild>
                        <w:div w:id="204411984">
                          <w:marLeft w:val="1080"/>
                          <w:marRight w:val="0"/>
                          <w:marTop w:val="0"/>
                          <w:marBottom w:val="0"/>
                          <w:divBdr>
                            <w:top w:val="none" w:sz="0" w:space="0" w:color="auto"/>
                            <w:left w:val="none" w:sz="0" w:space="0" w:color="auto"/>
                            <w:bottom w:val="none" w:sz="0" w:space="0" w:color="auto"/>
                            <w:right w:val="none" w:sz="0" w:space="0" w:color="auto"/>
                          </w:divBdr>
                        </w:div>
                        <w:div w:id="1163400948">
                          <w:marLeft w:val="-216"/>
                          <w:marRight w:val="0"/>
                          <w:marTop w:val="0"/>
                          <w:marBottom w:val="0"/>
                          <w:divBdr>
                            <w:top w:val="none" w:sz="0" w:space="0" w:color="auto"/>
                            <w:left w:val="none" w:sz="0" w:space="0" w:color="auto"/>
                            <w:bottom w:val="none" w:sz="0" w:space="0" w:color="auto"/>
                            <w:right w:val="none" w:sz="0" w:space="0" w:color="auto"/>
                          </w:divBdr>
                        </w:div>
                      </w:divsChild>
                    </w:div>
                    <w:div w:id="1730567294">
                      <w:marLeft w:val="0"/>
                      <w:marRight w:val="0"/>
                      <w:marTop w:val="144"/>
                      <w:marBottom w:val="0"/>
                      <w:divBdr>
                        <w:top w:val="none" w:sz="0" w:space="0" w:color="auto"/>
                        <w:left w:val="none" w:sz="0" w:space="0" w:color="auto"/>
                        <w:bottom w:val="none" w:sz="0" w:space="0" w:color="auto"/>
                        <w:right w:val="none" w:sz="0" w:space="0" w:color="auto"/>
                      </w:divBdr>
                      <w:divsChild>
                        <w:div w:id="1044254677">
                          <w:marLeft w:val="-216"/>
                          <w:marRight w:val="0"/>
                          <w:marTop w:val="0"/>
                          <w:marBottom w:val="0"/>
                          <w:divBdr>
                            <w:top w:val="none" w:sz="0" w:space="0" w:color="auto"/>
                            <w:left w:val="none" w:sz="0" w:space="0" w:color="auto"/>
                            <w:bottom w:val="none" w:sz="0" w:space="0" w:color="auto"/>
                            <w:right w:val="none" w:sz="0" w:space="0" w:color="auto"/>
                          </w:divBdr>
                        </w:div>
                        <w:div w:id="1491291334">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699390">
              <w:marLeft w:val="0"/>
              <w:marRight w:val="0"/>
              <w:marTop w:val="288"/>
              <w:marBottom w:val="144"/>
              <w:divBdr>
                <w:top w:val="none" w:sz="0" w:space="0" w:color="auto"/>
                <w:left w:val="none" w:sz="0" w:space="0" w:color="auto"/>
                <w:bottom w:val="none" w:sz="0" w:space="0" w:color="auto"/>
                <w:right w:val="none" w:sz="0" w:space="0" w:color="auto"/>
              </w:divBdr>
            </w:div>
          </w:divsChild>
        </w:div>
      </w:divsChild>
    </w:div>
    <w:div w:id="140312918">
      <w:bodyDiv w:val="1"/>
      <w:marLeft w:val="0"/>
      <w:marRight w:val="0"/>
      <w:marTop w:val="0"/>
      <w:marBottom w:val="0"/>
      <w:divBdr>
        <w:top w:val="none" w:sz="0" w:space="0" w:color="auto"/>
        <w:left w:val="none" w:sz="0" w:space="0" w:color="auto"/>
        <w:bottom w:val="none" w:sz="0" w:space="0" w:color="auto"/>
        <w:right w:val="none" w:sz="0" w:space="0" w:color="auto"/>
      </w:divBdr>
    </w:div>
    <w:div w:id="141312863">
      <w:bodyDiv w:val="1"/>
      <w:marLeft w:val="0"/>
      <w:marRight w:val="0"/>
      <w:marTop w:val="0"/>
      <w:marBottom w:val="0"/>
      <w:divBdr>
        <w:top w:val="none" w:sz="0" w:space="0" w:color="auto"/>
        <w:left w:val="none" w:sz="0" w:space="0" w:color="auto"/>
        <w:bottom w:val="none" w:sz="0" w:space="0" w:color="auto"/>
        <w:right w:val="none" w:sz="0" w:space="0" w:color="auto"/>
      </w:divBdr>
      <w:divsChild>
        <w:div w:id="633682268">
          <w:marLeft w:val="0"/>
          <w:marRight w:val="0"/>
          <w:marTop w:val="240"/>
          <w:marBottom w:val="0"/>
          <w:divBdr>
            <w:top w:val="none" w:sz="0" w:space="0" w:color="auto"/>
            <w:left w:val="none" w:sz="0" w:space="0" w:color="auto"/>
            <w:bottom w:val="none" w:sz="0" w:space="0" w:color="auto"/>
            <w:right w:val="none" w:sz="0" w:space="0" w:color="auto"/>
          </w:divBdr>
          <w:divsChild>
            <w:div w:id="20606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04849">
      <w:bodyDiv w:val="1"/>
      <w:marLeft w:val="0"/>
      <w:marRight w:val="0"/>
      <w:marTop w:val="0"/>
      <w:marBottom w:val="0"/>
      <w:divBdr>
        <w:top w:val="none" w:sz="0" w:space="0" w:color="auto"/>
        <w:left w:val="none" w:sz="0" w:space="0" w:color="auto"/>
        <w:bottom w:val="none" w:sz="0" w:space="0" w:color="auto"/>
        <w:right w:val="none" w:sz="0" w:space="0" w:color="auto"/>
      </w:divBdr>
    </w:div>
    <w:div w:id="164587707">
      <w:bodyDiv w:val="1"/>
      <w:marLeft w:val="0"/>
      <w:marRight w:val="0"/>
      <w:marTop w:val="0"/>
      <w:marBottom w:val="0"/>
      <w:divBdr>
        <w:top w:val="none" w:sz="0" w:space="0" w:color="auto"/>
        <w:left w:val="none" w:sz="0" w:space="0" w:color="auto"/>
        <w:bottom w:val="none" w:sz="0" w:space="0" w:color="auto"/>
        <w:right w:val="none" w:sz="0" w:space="0" w:color="auto"/>
      </w:divBdr>
    </w:div>
    <w:div w:id="164903071">
      <w:bodyDiv w:val="1"/>
      <w:marLeft w:val="0"/>
      <w:marRight w:val="0"/>
      <w:marTop w:val="0"/>
      <w:marBottom w:val="0"/>
      <w:divBdr>
        <w:top w:val="none" w:sz="0" w:space="0" w:color="auto"/>
        <w:left w:val="none" w:sz="0" w:space="0" w:color="auto"/>
        <w:bottom w:val="none" w:sz="0" w:space="0" w:color="auto"/>
        <w:right w:val="none" w:sz="0" w:space="0" w:color="auto"/>
      </w:divBdr>
    </w:div>
    <w:div w:id="170416463">
      <w:bodyDiv w:val="1"/>
      <w:marLeft w:val="0"/>
      <w:marRight w:val="0"/>
      <w:marTop w:val="0"/>
      <w:marBottom w:val="0"/>
      <w:divBdr>
        <w:top w:val="none" w:sz="0" w:space="0" w:color="auto"/>
        <w:left w:val="none" w:sz="0" w:space="0" w:color="auto"/>
        <w:bottom w:val="none" w:sz="0" w:space="0" w:color="auto"/>
        <w:right w:val="none" w:sz="0" w:space="0" w:color="auto"/>
      </w:divBdr>
      <w:divsChild>
        <w:div w:id="1391928096">
          <w:marLeft w:val="0"/>
          <w:marRight w:val="0"/>
          <w:marTop w:val="0"/>
          <w:marBottom w:val="0"/>
          <w:divBdr>
            <w:top w:val="none" w:sz="0" w:space="0" w:color="auto"/>
            <w:left w:val="none" w:sz="0" w:space="0" w:color="auto"/>
            <w:bottom w:val="none" w:sz="0" w:space="0" w:color="auto"/>
            <w:right w:val="none" w:sz="0" w:space="0" w:color="auto"/>
          </w:divBdr>
        </w:div>
      </w:divsChild>
    </w:div>
    <w:div w:id="179010966">
      <w:bodyDiv w:val="1"/>
      <w:marLeft w:val="0"/>
      <w:marRight w:val="0"/>
      <w:marTop w:val="0"/>
      <w:marBottom w:val="0"/>
      <w:divBdr>
        <w:top w:val="none" w:sz="0" w:space="0" w:color="auto"/>
        <w:left w:val="none" w:sz="0" w:space="0" w:color="auto"/>
        <w:bottom w:val="none" w:sz="0" w:space="0" w:color="auto"/>
        <w:right w:val="none" w:sz="0" w:space="0" w:color="auto"/>
      </w:divBdr>
    </w:div>
    <w:div w:id="184175002">
      <w:bodyDiv w:val="1"/>
      <w:marLeft w:val="0"/>
      <w:marRight w:val="0"/>
      <w:marTop w:val="0"/>
      <w:marBottom w:val="450"/>
      <w:divBdr>
        <w:top w:val="none" w:sz="0" w:space="0" w:color="auto"/>
        <w:left w:val="none" w:sz="0" w:space="0" w:color="auto"/>
        <w:bottom w:val="none" w:sz="0" w:space="0" w:color="auto"/>
        <w:right w:val="none" w:sz="0" w:space="0" w:color="auto"/>
      </w:divBdr>
      <w:divsChild>
        <w:div w:id="702708808">
          <w:marLeft w:val="0"/>
          <w:marRight w:val="0"/>
          <w:marTop w:val="100"/>
          <w:marBottom w:val="100"/>
          <w:divBdr>
            <w:top w:val="none" w:sz="0" w:space="0" w:color="auto"/>
            <w:left w:val="none" w:sz="0" w:space="0" w:color="auto"/>
            <w:bottom w:val="none" w:sz="0" w:space="0" w:color="auto"/>
            <w:right w:val="none" w:sz="0" w:space="0" w:color="auto"/>
          </w:divBdr>
          <w:divsChild>
            <w:div w:id="1805582884">
              <w:marLeft w:val="0"/>
              <w:marRight w:val="0"/>
              <w:marTop w:val="0"/>
              <w:marBottom w:val="0"/>
              <w:divBdr>
                <w:top w:val="none" w:sz="0" w:space="0" w:color="auto"/>
                <w:left w:val="none" w:sz="0" w:space="0" w:color="auto"/>
                <w:bottom w:val="none" w:sz="0" w:space="0" w:color="auto"/>
                <w:right w:val="none" w:sz="0" w:space="0" w:color="auto"/>
              </w:divBdr>
              <w:divsChild>
                <w:div w:id="371929154">
                  <w:marLeft w:val="300"/>
                  <w:marRight w:val="300"/>
                  <w:marTop w:val="0"/>
                  <w:marBottom w:val="0"/>
                  <w:divBdr>
                    <w:top w:val="none" w:sz="0" w:space="0" w:color="auto"/>
                    <w:left w:val="none" w:sz="0" w:space="0" w:color="auto"/>
                    <w:bottom w:val="none" w:sz="0" w:space="0" w:color="auto"/>
                    <w:right w:val="none" w:sz="0" w:space="0" w:color="auto"/>
                  </w:divBdr>
                  <w:divsChild>
                    <w:div w:id="1178810142">
                      <w:marLeft w:val="0"/>
                      <w:marRight w:val="0"/>
                      <w:marTop w:val="0"/>
                      <w:marBottom w:val="0"/>
                      <w:divBdr>
                        <w:top w:val="none" w:sz="0" w:space="0" w:color="auto"/>
                        <w:left w:val="none" w:sz="0" w:space="0" w:color="auto"/>
                        <w:bottom w:val="none" w:sz="0" w:space="0" w:color="auto"/>
                        <w:right w:val="none" w:sz="0" w:space="0" w:color="auto"/>
                      </w:divBdr>
                      <w:divsChild>
                        <w:div w:id="569002571">
                          <w:marLeft w:val="0"/>
                          <w:marRight w:val="0"/>
                          <w:marTop w:val="0"/>
                          <w:marBottom w:val="0"/>
                          <w:divBdr>
                            <w:top w:val="none" w:sz="0" w:space="0" w:color="auto"/>
                            <w:left w:val="none" w:sz="0" w:space="0" w:color="auto"/>
                            <w:bottom w:val="none" w:sz="0" w:space="0" w:color="auto"/>
                            <w:right w:val="none" w:sz="0" w:space="0" w:color="auto"/>
                          </w:divBdr>
                          <w:divsChild>
                            <w:div w:id="195948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32945">
      <w:bodyDiv w:val="1"/>
      <w:marLeft w:val="0"/>
      <w:marRight w:val="0"/>
      <w:marTop w:val="0"/>
      <w:marBottom w:val="0"/>
      <w:divBdr>
        <w:top w:val="none" w:sz="0" w:space="0" w:color="auto"/>
        <w:left w:val="none" w:sz="0" w:space="0" w:color="auto"/>
        <w:bottom w:val="none" w:sz="0" w:space="0" w:color="auto"/>
        <w:right w:val="none" w:sz="0" w:space="0" w:color="auto"/>
      </w:divBdr>
    </w:div>
    <w:div w:id="192229214">
      <w:bodyDiv w:val="1"/>
      <w:marLeft w:val="0"/>
      <w:marRight w:val="0"/>
      <w:marTop w:val="0"/>
      <w:marBottom w:val="0"/>
      <w:divBdr>
        <w:top w:val="none" w:sz="0" w:space="0" w:color="auto"/>
        <w:left w:val="none" w:sz="0" w:space="0" w:color="auto"/>
        <w:bottom w:val="none" w:sz="0" w:space="0" w:color="auto"/>
        <w:right w:val="none" w:sz="0" w:space="0" w:color="auto"/>
      </w:divBdr>
      <w:divsChild>
        <w:div w:id="1761944735">
          <w:marLeft w:val="0"/>
          <w:marRight w:val="0"/>
          <w:marTop w:val="0"/>
          <w:marBottom w:val="0"/>
          <w:divBdr>
            <w:top w:val="none" w:sz="0" w:space="0" w:color="auto"/>
            <w:left w:val="none" w:sz="0" w:space="0" w:color="auto"/>
            <w:bottom w:val="none" w:sz="0" w:space="0" w:color="auto"/>
            <w:right w:val="none" w:sz="0" w:space="0" w:color="auto"/>
          </w:divBdr>
          <w:divsChild>
            <w:div w:id="102794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2498">
      <w:bodyDiv w:val="1"/>
      <w:marLeft w:val="0"/>
      <w:marRight w:val="0"/>
      <w:marTop w:val="0"/>
      <w:marBottom w:val="0"/>
      <w:divBdr>
        <w:top w:val="none" w:sz="0" w:space="0" w:color="auto"/>
        <w:left w:val="none" w:sz="0" w:space="0" w:color="auto"/>
        <w:bottom w:val="none" w:sz="0" w:space="0" w:color="auto"/>
        <w:right w:val="none" w:sz="0" w:space="0" w:color="auto"/>
      </w:divBdr>
    </w:div>
    <w:div w:id="202444660">
      <w:bodyDiv w:val="1"/>
      <w:marLeft w:val="0"/>
      <w:marRight w:val="0"/>
      <w:marTop w:val="0"/>
      <w:marBottom w:val="0"/>
      <w:divBdr>
        <w:top w:val="none" w:sz="0" w:space="0" w:color="auto"/>
        <w:left w:val="none" w:sz="0" w:space="0" w:color="auto"/>
        <w:bottom w:val="none" w:sz="0" w:space="0" w:color="auto"/>
        <w:right w:val="none" w:sz="0" w:space="0" w:color="auto"/>
      </w:divBdr>
    </w:div>
    <w:div w:id="202711304">
      <w:bodyDiv w:val="1"/>
      <w:marLeft w:val="0"/>
      <w:marRight w:val="0"/>
      <w:marTop w:val="0"/>
      <w:marBottom w:val="0"/>
      <w:divBdr>
        <w:top w:val="none" w:sz="0" w:space="0" w:color="auto"/>
        <w:left w:val="none" w:sz="0" w:space="0" w:color="auto"/>
        <w:bottom w:val="none" w:sz="0" w:space="0" w:color="auto"/>
        <w:right w:val="none" w:sz="0" w:space="0" w:color="auto"/>
      </w:divBdr>
    </w:div>
    <w:div w:id="204877674">
      <w:bodyDiv w:val="1"/>
      <w:marLeft w:val="0"/>
      <w:marRight w:val="0"/>
      <w:marTop w:val="0"/>
      <w:marBottom w:val="0"/>
      <w:divBdr>
        <w:top w:val="none" w:sz="0" w:space="0" w:color="auto"/>
        <w:left w:val="none" w:sz="0" w:space="0" w:color="auto"/>
        <w:bottom w:val="none" w:sz="0" w:space="0" w:color="auto"/>
        <w:right w:val="none" w:sz="0" w:space="0" w:color="auto"/>
      </w:divBdr>
    </w:div>
    <w:div w:id="207643886">
      <w:bodyDiv w:val="1"/>
      <w:marLeft w:val="0"/>
      <w:marRight w:val="0"/>
      <w:marTop w:val="0"/>
      <w:marBottom w:val="0"/>
      <w:divBdr>
        <w:top w:val="none" w:sz="0" w:space="0" w:color="auto"/>
        <w:left w:val="none" w:sz="0" w:space="0" w:color="auto"/>
        <w:bottom w:val="none" w:sz="0" w:space="0" w:color="auto"/>
        <w:right w:val="none" w:sz="0" w:space="0" w:color="auto"/>
      </w:divBdr>
    </w:div>
    <w:div w:id="210195031">
      <w:bodyDiv w:val="1"/>
      <w:marLeft w:val="0"/>
      <w:marRight w:val="0"/>
      <w:marTop w:val="0"/>
      <w:marBottom w:val="0"/>
      <w:divBdr>
        <w:top w:val="none" w:sz="0" w:space="0" w:color="auto"/>
        <w:left w:val="none" w:sz="0" w:space="0" w:color="auto"/>
        <w:bottom w:val="none" w:sz="0" w:space="0" w:color="auto"/>
        <w:right w:val="none" w:sz="0" w:space="0" w:color="auto"/>
      </w:divBdr>
    </w:div>
    <w:div w:id="212930905">
      <w:bodyDiv w:val="1"/>
      <w:marLeft w:val="0"/>
      <w:marRight w:val="0"/>
      <w:marTop w:val="0"/>
      <w:marBottom w:val="0"/>
      <w:divBdr>
        <w:top w:val="none" w:sz="0" w:space="0" w:color="auto"/>
        <w:left w:val="none" w:sz="0" w:space="0" w:color="auto"/>
        <w:bottom w:val="none" w:sz="0" w:space="0" w:color="auto"/>
        <w:right w:val="none" w:sz="0" w:space="0" w:color="auto"/>
      </w:divBdr>
    </w:div>
    <w:div w:id="213081048">
      <w:bodyDiv w:val="1"/>
      <w:marLeft w:val="0"/>
      <w:marRight w:val="0"/>
      <w:marTop w:val="0"/>
      <w:marBottom w:val="0"/>
      <w:divBdr>
        <w:top w:val="none" w:sz="0" w:space="0" w:color="auto"/>
        <w:left w:val="none" w:sz="0" w:space="0" w:color="auto"/>
        <w:bottom w:val="none" w:sz="0" w:space="0" w:color="auto"/>
        <w:right w:val="none" w:sz="0" w:space="0" w:color="auto"/>
      </w:divBdr>
    </w:div>
    <w:div w:id="224486721">
      <w:bodyDiv w:val="1"/>
      <w:marLeft w:val="0"/>
      <w:marRight w:val="0"/>
      <w:marTop w:val="0"/>
      <w:marBottom w:val="0"/>
      <w:divBdr>
        <w:top w:val="none" w:sz="0" w:space="0" w:color="auto"/>
        <w:left w:val="none" w:sz="0" w:space="0" w:color="auto"/>
        <w:bottom w:val="none" w:sz="0" w:space="0" w:color="auto"/>
        <w:right w:val="none" w:sz="0" w:space="0" w:color="auto"/>
      </w:divBdr>
      <w:divsChild>
        <w:div w:id="1125662061">
          <w:marLeft w:val="0"/>
          <w:marRight w:val="0"/>
          <w:marTop w:val="0"/>
          <w:marBottom w:val="0"/>
          <w:divBdr>
            <w:top w:val="none" w:sz="0" w:space="0" w:color="auto"/>
            <w:left w:val="none" w:sz="0" w:space="0" w:color="auto"/>
            <w:bottom w:val="none" w:sz="0" w:space="0" w:color="auto"/>
            <w:right w:val="none" w:sz="0" w:space="0" w:color="auto"/>
          </w:divBdr>
          <w:divsChild>
            <w:div w:id="2704477">
              <w:marLeft w:val="0"/>
              <w:marRight w:val="0"/>
              <w:marTop w:val="0"/>
              <w:marBottom w:val="0"/>
              <w:divBdr>
                <w:top w:val="none" w:sz="0" w:space="0" w:color="auto"/>
                <w:left w:val="none" w:sz="0" w:space="0" w:color="auto"/>
                <w:bottom w:val="none" w:sz="0" w:space="0" w:color="auto"/>
                <w:right w:val="none" w:sz="0" w:space="0" w:color="auto"/>
              </w:divBdr>
              <w:divsChild>
                <w:div w:id="348683036">
                  <w:marLeft w:val="0"/>
                  <w:marRight w:val="0"/>
                  <w:marTop w:val="0"/>
                  <w:marBottom w:val="0"/>
                  <w:divBdr>
                    <w:top w:val="none" w:sz="0" w:space="0" w:color="auto"/>
                    <w:left w:val="none" w:sz="0" w:space="0" w:color="auto"/>
                    <w:bottom w:val="none" w:sz="0" w:space="0" w:color="auto"/>
                    <w:right w:val="none" w:sz="0" w:space="0" w:color="auto"/>
                  </w:divBdr>
                  <w:divsChild>
                    <w:div w:id="869799144">
                      <w:marLeft w:val="0"/>
                      <w:marRight w:val="0"/>
                      <w:marTop w:val="0"/>
                      <w:marBottom w:val="0"/>
                      <w:divBdr>
                        <w:top w:val="none" w:sz="0" w:space="0" w:color="auto"/>
                        <w:left w:val="none" w:sz="0" w:space="0" w:color="auto"/>
                        <w:bottom w:val="none" w:sz="0" w:space="0" w:color="auto"/>
                        <w:right w:val="none" w:sz="0" w:space="0" w:color="auto"/>
                      </w:divBdr>
                      <w:divsChild>
                        <w:div w:id="481385079">
                          <w:marLeft w:val="0"/>
                          <w:marRight w:val="0"/>
                          <w:marTop w:val="0"/>
                          <w:marBottom w:val="0"/>
                          <w:divBdr>
                            <w:top w:val="none" w:sz="0" w:space="0" w:color="auto"/>
                            <w:left w:val="none" w:sz="0" w:space="0" w:color="auto"/>
                            <w:bottom w:val="none" w:sz="0" w:space="0" w:color="auto"/>
                            <w:right w:val="none" w:sz="0" w:space="0" w:color="auto"/>
                          </w:divBdr>
                          <w:divsChild>
                            <w:div w:id="2009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3803931">
      <w:bodyDiv w:val="1"/>
      <w:marLeft w:val="0"/>
      <w:marRight w:val="0"/>
      <w:marTop w:val="0"/>
      <w:marBottom w:val="0"/>
      <w:divBdr>
        <w:top w:val="none" w:sz="0" w:space="0" w:color="auto"/>
        <w:left w:val="none" w:sz="0" w:space="0" w:color="auto"/>
        <w:bottom w:val="none" w:sz="0" w:space="0" w:color="auto"/>
        <w:right w:val="none" w:sz="0" w:space="0" w:color="auto"/>
      </w:divBdr>
    </w:div>
    <w:div w:id="247428943">
      <w:bodyDiv w:val="1"/>
      <w:marLeft w:val="0"/>
      <w:marRight w:val="0"/>
      <w:marTop w:val="0"/>
      <w:marBottom w:val="0"/>
      <w:divBdr>
        <w:top w:val="none" w:sz="0" w:space="0" w:color="auto"/>
        <w:left w:val="none" w:sz="0" w:space="0" w:color="auto"/>
        <w:bottom w:val="none" w:sz="0" w:space="0" w:color="auto"/>
        <w:right w:val="none" w:sz="0" w:space="0" w:color="auto"/>
      </w:divBdr>
      <w:divsChild>
        <w:div w:id="1737320502">
          <w:marLeft w:val="0"/>
          <w:marRight w:val="0"/>
          <w:marTop w:val="0"/>
          <w:marBottom w:val="0"/>
          <w:divBdr>
            <w:top w:val="none" w:sz="0" w:space="0" w:color="auto"/>
            <w:left w:val="none" w:sz="0" w:space="0" w:color="auto"/>
            <w:bottom w:val="none" w:sz="0" w:space="0" w:color="auto"/>
            <w:right w:val="none" w:sz="0" w:space="0" w:color="auto"/>
          </w:divBdr>
          <w:divsChild>
            <w:div w:id="1074662594">
              <w:marLeft w:val="0"/>
              <w:marRight w:val="0"/>
              <w:marTop w:val="0"/>
              <w:marBottom w:val="0"/>
              <w:divBdr>
                <w:top w:val="none" w:sz="0" w:space="0" w:color="auto"/>
                <w:left w:val="none" w:sz="0" w:space="0" w:color="auto"/>
                <w:bottom w:val="none" w:sz="0" w:space="0" w:color="auto"/>
                <w:right w:val="none" w:sz="0" w:space="0" w:color="auto"/>
              </w:divBdr>
              <w:divsChild>
                <w:div w:id="1433278804">
                  <w:marLeft w:val="0"/>
                  <w:marRight w:val="0"/>
                  <w:marTop w:val="0"/>
                  <w:marBottom w:val="0"/>
                  <w:divBdr>
                    <w:top w:val="none" w:sz="0" w:space="0" w:color="auto"/>
                    <w:left w:val="none" w:sz="0" w:space="0" w:color="auto"/>
                    <w:bottom w:val="none" w:sz="0" w:space="0" w:color="auto"/>
                    <w:right w:val="none" w:sz="0" w:space="0" w:color="auto"/>
                  </w:divBdr>
                  <w:divsChild>
                    <w:div w:id="59810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753891">
      <w:bodyDiv w:val="1"/>
      <w:marLeft w:val="0"/>
      <w:marRight w:val="0"/>
      <w:marTop w:val="0"/>
      <w:marBottom w:val="450"/>
      <w:divBdr>
        <w:top w:val="none" w:sz="0" w:space="0" w:color="auto"/>
        <w:left w:val="none" w:sz="0" w:space="0" w:color="auto"/>
        <w:bottom w:val="none" w:sz="0" w:space="0" w:color="auto"/>
        <w:right w:val="none" w:sz="0" w:space="0" w:color="auto"/>
      </w:divBdr>
      <w:divsChild>
        <w:div w:id="1540780601">
          <w:marLeft w:val="0"/>
          <w:marRight w:val="0"/>
          <w:marTop w:val="100"/>
          <w:marBottom w:val="100"/>
          <w:divBdr>
            <w:top w:val="none" w:sz="0" w:space="0" w:color="auto"/>
            <w:left w:val="none" w:sz="0" w:space="0" w:color="auto"/>
            <w:bottom w:val="none" w:sz="0" w:space="0" w:color="auto"/>
            <w:right w:val="none" w:sz="0" w:space="0" w:color="auto"/>
          </w:divBdr>
          <w:divsChild>
            <w:div w:id="1281381174">
              <w:marLeft w:val="0"/>
              <w:marRight w:val="0"/>
              <w:marTop w:val="0"/>
              <w:marBottom w:val="0"/>
              <w:divBdr>
                <w:top w:val="none" w:sz="0" w:space="0" w:color="auto"/>
                <w:left w:val="none" w:sz="0" w:space="0" w:color="auto"/>
                <w:bottom w:val="none" w:sz="0" w:space="0" w:color="auto"/>
                <w:right w:val="none" w:sz="0" w:space="0" w:color="auto"/>
              </w:divBdr>
              <w:divsChild>
                <w:div w:id="2128229401">
                  <w:marLeft w:val="300"/>
                  <w:marRight w:val="300"/>
                  <w:marTop w:val="0"/>
                  <w:marBottom w:val="0"/>
                  <w:divBdr>
                    <w:top w:val="none" w:sz="0" w:space="0" w:color="auto"/>
                    <w:left w:val="none" w:sz="0" w:space="0" w:color="auto"/>
                    <w:bottom w:val="none" w:sz="0" w:space="0" w:color="auto"/>
                    <w:right w:val="none" w:sz="0" w:space="0" w:color="auto"/>
                  </w:divBdr>
                  <w:divsChild>
                    <w:div w:id="711543403">
                      <w:marLeft w:val="0"/>
                      <w:marRight w:val="0"/>
                      <w:marTop w:val="0"/>
                      <w:marBottom w:val="0"/>
                      <w:divBdr>
                        <w:top w:val="none" w:sz="0" w:space="0" w:color="auto"/>
                        <w:left w:val="none" w:sz="0" w:space="0" w:color="auto"/>
                        <w:bottom w:val="none" w:sz="0" w:space="0" w:color="auto"/>
                        <w:right w:val="none" w:sz="0" w:space="0" w:color="auto"/>
                      </w:divBdr>
                      <w:divsChild>
                        <w:div w:id="1309280718">
                          <w:marLeft w:val="0"/>
                          <w:marRight w:val="0"/>
                          <w:marTop w:val="0"/>
                          <w:marBottom w:val="0"/>
                          <w:divBdr>
                            <w:top w:val="none" w:sz="0" w:space="0" w:color="auto"/>
                            <w:left w:val="none" w:sz="0" w:space="0" w:color="auto"/>
                            <w:bottom w:val="none" w:sz="0" w:space="0" w:color="auto"/>
                            <w:right w:val="none" w:sz="0" w:space="0" w:color="auto"/>
                          </w:divBdr>
                          <w:divsChild>
                            <w:div w:id="132081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0819357">
      <w:bodyDiv w:val="1"/>
      <w:marLeft w:val="0"/>
      <w:marRight w:val="0"/>
      <w:marTop w:val="0"/>
      <w:marBottom w:val="0"/>
      <w:divBdr>
        <w:top w:val="none" w:sz="0" w:space="0" w:color="auto"/>
        <w:left w:val="none" w:sz="0" w:space="0" w:color="auto"/>
        <w:bottom w:val="none" w:sz="0" w:space="0" w:color="auto"/>
        <w:right w:val="none" w:sz="0" w:space="0" w:color="auto"/>
      </w:divBdr>
    </w:div>
    <w:div w:id="272834036">
      <w:bodyDiv w:val="1"/>
      <w:marLeft w:val="0"/>
      <w:marRight w:val="0"/>
      <w:marTop w:val="0"/>
      <w:marBottom w:val="0"/>
      <w:divBdr>
        <w:top w:val="none" w:sz="0" w:space="0" w:color="auto"/>
        <w:left w:val="none" w:sz="0" w:space="0" w:color="auto"/>
        <w:bottom w:val="none" w:sz="0" w:space="0" w:color="auto"/>
        <w:right w:val="none" w:sz="0" w:space="0" w:color="auto"/>
      </w:divBdr>
      <w:divsChild>
        <w:div w:id="1169293579">
          <w:marLeft w:val="0"/>
          <w:marRight w:val="0"/>
          <w:marTop w:val="0"/>
          <w:marBottom w:val="0"/>
          <w:divBdr>
            <w:top w:val="none" w:sz="0" w:space="0" w:color="auto"/>
            <w:left w:val="none" w:sz="0" w:space="0" w:color="auto"/>
            <w:bottom w:val="none" w:sz="0" w:space="0" w:color="auto"/>
            <w:right w:val="none" w:sz="0" w:space="0" w:color="auto"/>
          </w:divBdr>
          <w:divsChild>
            <w:div w:id="1356692584">
              <w:marLeft w:val="0"/>
              <w:marRight w:val="0"/>
              <w:marTop w:val="0"/>
              <w:marBottom w:val="0"/>
              <w:divBdr>
                <w:top w:val="none" w:sz="0" w:space="0" w:color="auto"/>
                <w:left w:val="none" w:sz="0" w:space="0" w:color="auto"/>
                <w:bottom w:val="none" w:sz="0" w:space="0" w:color="auto"/>
                <w:right w:val="none" w:sz="0" w:space="0" w:color="auto"/>
              </w:divBdr>
              <w:divsChild>
                <w:div w:id="668169209">
                  <w:marLeft w:val="0"/>
                  <w:marRight w:val="0"/>
                  <w:marTop w:val="0"/>
                  <w:marBottom w:val="0"/>
                  <w:divBdr>
                    <w:top w:val="none" w:sz="0" w:space="0" w:color="auto"/>
                    <w:left w:val="none" w:sz="0" w:space="0" w:color="auto"/>
                    <w:bottom w:val="none" w:sz="0" w:space="0" w:color="auto"/>
                    <w:right w:val="none" w:sz="0" w:space="0" w:color="auto"/>
                  </w:divBdr>
                  <w:divsChild>
                    <w:div w:id="96443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052636">
      <w:bodyDiv w:val="1"/>
      <w:marLeft w:val="0"/>
      <w:marRight w:val="0"/>
      <w:marTop w:val="0"/>
      <w:marBottom w:val="0"/>
      <w:divBdr>
        <w:top w:val="none" w:sz="0" w:space="0" w:color="auto"/>
        <w:left w:val="none" w:sz="0" w:space="0" w:color="auto"/>
        <w:bottom w:val="none" w:sz="0" w:space="0" w:color="auto"/>
        <w:right w:val="none" w:sz="0" w:space="0" w:color="auto"/>
      </w:divBdr>
      <w:divsChild>
        <w:div w:id="1195919335">
          <w:marLeft w:val="0"/>
          <w:marRight w:val="0"/>
          <w:marTop w:val="0"/>
          <w:marBottom w:val="0"/>
          <w:divBdr>
            <w:top w:val="none" w:sz="0" w:space="0" w:color="auto"/>
            <w:left w:val="none" w:sz="0" w:space="0" w:color="auto"/>
            <w:bottom w:val="none" w:sz="0" w:space="0" w:color="auto"/>
            <w:right w:val="none" w:sz="0" w:space="0" w:color="auto"/>
          </w:divBdr>
        </w:div>
      </w:divsChild>
    </w:div>
    <w:div w:id="273365816">
      <w:bodyDiv w:val="1"/>
      <w:marLeft w:val="0"/>
      <w:marRight w:val="0"/>
      <w:marTop w:val="0"/>
      <w:marBottom w:val="0"/>
      <w:divBdr>
        <w:top w:val="none" w:sz="0" w:space="0" w:color="auto"/>
        <w:left w:val="none" w:sz="0" w:space="0" w:color="auto"/>
        <w:bottom w:val="none" w:sz="0" w:space="0" w:color="auto"/>
        <w:right w:val="none" w:sz="0" w:space="0" w:color="auto"/>
      </w:divBdr>
      <w:divsChild>
        <w:div w:id="890193395">
          <w:marLeft w:val="0"/>
          <w:marRight w:val="0"/>
          <w:marTop w:val="0"/>
          <w:marBottom w:val="0"/>
          <w:divBdr>
            <w:top w:val="none" w:sz="0" w:space="0" w:color="auto"/>
            <w:left w:val="none" w:sz="0" w:space="0" w:color="auto"/>
            <w:bottom w:val="none" w:sz="0" w:space="0" w:color="auto"/>
            <w:right w:val="none" w:sz="0" w:space="0" w:color="auto"/>
          </w:divBdr>
          <w:divsChild>
            <w:div w:id="997225214">
              <w:marLeft w:val="0"/>
              <w:marRight w:val="0"/>
              <w:marTop w:val="0"/>
              <w:marBottom w:val="0"/>
              <w:divBdr>
                <w:top w:val="none" w:sz="0" w:space="0" w:color="auto"/>
                <w:left w:val="none" w:sz="0" w:space="0" w:color="auto"/>
                <w:bottom w:val="none" w:sz="0" w:space="0" w:color="auto"/>
                <w:right w:val="none" w:sz="0" w:space="0" w:color="auto"/>
              </w:divBdr>
              <w:divsChild>
                <w:div w:id="1865941604">
                  <w:marLeft w:val="0"/>
                  <w:marRight w:val="0"/>
                  <w:marTop w:val="0"/>
                  <w:marBottom w:val="0"/>
                  <w:divBdr>
                    <w:top w:val="none" w:sz="0" w:space="0" w:color="auto"/>
                    <w:left w:val="none" w:sz="0" w:space="0" w:color="auto"/>
                    <w:bottom w:val="none" w:sz="0" w:space="0" w:color="auto"/>
                    <w:right w:val="none" w:sz="0" w:space="0" w:color="auto"/>
                  </w:divBdr>
                  <w:divsChild>
                    <w:div w:id="61059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113354">
      <w:bodyDiv w:val="1"/>
      <w:marLeft w:val="0"/>
      <w:marRight w:val="0"/>
      <w:marTop w:val="0"/>
      <w:marBottom w:val="0"/>
      <w:divBdr>
        <w:top w:val="none" w:sz="0" w:space="0" w:color="auto"/>
        <w:left w:val="none" w:sz="0" w:space="0" w:color="auto"/>
        <w:bottom w:val="none" w:sz="0" w:space="0" w:color="auto"/>
        <w:right w:val="none" w:sz="0" w:space="0" w:color="auto"/>
      </w:divBdr>
    </w:div>
    <w:div w:id="284042678">
      <w:bodyDiv w:val="1"/>
      <w:marLeft w:val="0"/>
      <w:marRight w:val="0"/>
      <w:marTop w:val="0"/>
      <w:marBottom w:val="0"/>
      <w:divBdr>
        <w:top w:val="none" w:sz="0" w:space="0" w:color="auto"/>
        <w:left w:val="none" w:sz="0" w:space="0" w:color="auto"/>
        <w:bottom w:val="none" w:sz="0" w:space="0" w:color="auto"/>
        <w:right w:val="none" w:sz="0" w:space="0" w:color="auto"/>
      </w:divBdr>
    </w:div>
    <w:div w:id="298999025">
      <w:bodyDiv w:val="1"/>
      <w:marLeft w:val="0"/>
      <w:marRight w:val="0"/>
      <w:marTop w:val="0"/>
      <w:marBottom w:val="0"/>
      <w:divBdr>
        <w:top w:val="none" w:sz="0" w:space="0" w:color="auto"/>
        <w:left w:val="none" w:sz="0" w:space="0" w:color="auto"/>
        <w:bottom w:val="none" w:sz="0" w:space="0" w:color="auto"/>
        <w:right w:val="none" w:sz="0" w:space="0" w:color="auto"/>
      </w:divBdr>
    </w:div>
    <w:div w:id="308173571">
      <w:bodyDiv w:val="1"/>
      <w:marLeft w:val="0"/>
      <w:marRight w:val="0"/>
      <w:marTop w:val="0"/>
      <w:marBottom w:val="0"/>
      <w:divBdr>
        <w:top w:val="none" w:sz="0" w:space="0" w:color="auto"/>
        <w:left w:val="none" w:sz="0" w:space="0" w:color="auto"/>
        <w:bottom w:val="none" w:sz="0" w:space="0" w:color="auto"/>
        <w:right w:val="none" w:sz="0" w:space="0" w:color="auto"/>
      </w:divBdr>
    </w:div>
    <w:div w:id="317466766">
      <w:bodyDiv w:val="1"/>
      <w:marLeft w:val="0"/>
      <w:marRight w:val="0"/>
      <w:marTop w:val="0"/>
      <w:marBottom w:val="0"/>
      <w:divBdr>
        <w:top w:val="none" w:sz="0" w:space="0" w:color="auto"/>
        <w:left w:val="none" w:sz="0" w:space="0" w:color="auto"/>
        <w:bottom w:val="none" w:sz="0" w:space="0" w:color="auto"/>
        <w:right w:val="none" w:sz="0" w:space="0" w:color="auto"/>
      </w:divBdr>
    </w:div>
    <w:div w:id="328674156">
      <w:bodyDiv w:val="1"/>
      <w:marLeft w:val="0"/>
      <w:marRight w:val="0"/>
      <w:marTop w:val="0"/>
      <w:marBottom w:val="0"/>
      <w:divBdr>
        <w:top w:val="none" w:sz="0" w:space="0" w:color="auto"/>
        <w:left w:val="none" w:sz="0" w:space="0" w:color="auto"/>
        <w:bottom w:val="none" w:sz="0" w:space="0" w:color="auto"/>
        <w:right w:val="none" w:sz="0" w:space="0" w:color="auto"/>
      </w:divBdr>
    </w:div>
    <w:div w:id="333647444">
      <w:bodyDiv w:val="1"/>
      <w:marLeft w:val="0"/>
      <w:marRight w:val="0"/>
      <w:marTop w:val="0"/>
      <w:marBottom w:val="0"/>
      <w:divBdr>
        <w:top w:val="none" w:sz="0" w:space="0" w:color="auto"/>
        <w:left w:val="none" w:sz="0" w:space="0" w:color="auto"/>
        <w:bottom w:val="none" w:sz="0" w:space="0" w:color="auto"/>
        <w:right w:val="none" w:sz="0" w:space="0" w:color="auto"/>
      </w:divBdr>
    </w:div>
    <w:div w:id="335890058">
      <w:bodyDiv w:val="1"/>
      <w:marLeft w:val="0"/>
      <w:marRight w:val="0"/>
      <w:marTop w:val="0"/>
      <w:marBottom w:val="0"/>
      <w:divBdr>
        <w:top w:val="none" w:sz="0" w:space="0" w:color="auto"/>
        <w:left w:val="none" w:sz="0" w:space="0" w:color="auto"/>
        <w:bottom w:val="none" w:sz="0" w:space="0" w:color="auto"/>
        <w:right w:val="none" w:sz="0" w:space="0" w:color="auto"/>
      </w:divBdr>
    </w:div>
    <w:div w:id="347104598">
      <w:bodyDiv w:val="1"/>
      <w:marLeft w:val="0"/>
      <w:marRight w:val="0"/>
      <w:marTop w:val="0"/>
      <w:marBottom w:val="0"/>
      <w:divBdr>
        <w:top w:val="none" w:sz="0" w:space="0" w:color="auto"/>
        <w:left w:val="none" w:sz="0" w:space="0" w:color="auto"/>
        <w:bottom w:val="none" w:sz="0" w:space="0" w:color="auto"/>
        <w:right w:val="none" w:sz="0" w:space="0" w:color="auto"/>
      </w:divBdr>
    </w:div>
    <w:div w:id="350111423">
      <w:bodyDiv w:val="1"/>
      <w:marLeft w:val="0"/>
      <w:marRight w:val="0"/>
      <w:marTop w:val="0"/>
      <w:marBottom w:val="0"/>
      <w:divBdr>
        <w:top w:val="none" w:sz="0" w:space="0" w:color="auto"/>
        <w:left w:val="none" w:sz="0" w:space="0" w:color="auto"/>
        <w:bottom w:val="none" w:sz="0" w:space="0" w:color="auto"/>
        <w:right w:val="none" w:sz="0" w:space="0" w:color="auto"/>
      </w:divBdr>
    </w:div>
    <w:div w:id="371005465">
      <w:bodyDiv w:val="1"/>
      <w:marLeft w:val="300"/>
      <w:marRight w:val="150"/>
      <w:marTop w:val="150"/>
      <w:marBottom w:val="150"/>
      <w:divBdr>
        <w:top w:val="none" w:sz="0" w:space="0" w:color="auto"/>
        <w:left w:val="none" w:sz="0" w:space="0" w:color="auto"/>
        <w:bottom w:val="none" w:sz="0" w:space="0" w:color="auto"/>
        <w:right w:val="none" w:sz="0" w:space="0" w:color="auto"/>
      </w:divBdr>
      <w:divsChild>
        <w:div w:id="1544900088">
          <w:marLeft w:val="0"/>
          <w:marRight w:val="0"/>
          <w:marTop w:val="0"/>
          <w:marBottom w:val="0"/>
          <w:divBdr>
            <w:top w:val="none" w:sz="0" w:space="0" w:color="auto"/>
            <w:left w:val="none" w:sz="0" w:space="0" w:color="auto"/>
            <w:bottom w:val="none" w:sz="0" w:space="0" w:color="auto"/>
            <w:right w:val="none" w:sz="0" w:space="0" w:color="auto"/>
          </w:divBdr>
          <w:divsChild>
            <w:div w:id="1995644589">
              <w:marLeft w:val="0"/>
              <w:marRight w:val="0"/>
              <w:marTop w:val="0"/>
              <w:marBottom w:val="0"/>
              <w:divBdr>
                <w:top w:val="none" w:sz="0" w:space="0" w:color="auto"/>
                <w:left w:val="none" w:sz="0" w:space="0" w:color="auto"/>
                <w:bottom w:val="none" w:sz="0" w:space="0" w:color="auto"/>
                <w:right w:val="none" w:sz="0" w:space="0" w:color="auto"/>
              </w:divBdr>
              <w:divsChild>
                <w:div w:id="1568222578">
                  <w:marLeft w:val="0"/>
                  <w:marRight w:val="0"/>
                  <w:marTop w:val="0"/>
                  <w:marBottom w:val="0"/>
                  <w:divBdr>
                    <w:top w:val="none" w:sz="0" w:space="0" w:color="auto"/>
                    <w:left w:val="none" w:sz="0" w:space="0" w:color="auto"/>
                    <w:bottom w:val="none" w:sz="0" w:space="0" w:color="auto"/>
                    <w:right w:val="none" w:sz="0" w:space="0" w:color="auto"/>
                  </w:divBdr>
                  <w:divsChild>
                    <w:div w:id="1426421224">
                      <w:marLeft w:val="0"/>
                      <w:marRight w:val="0"/>
                      <w:marTop w:val="0"/>
                      <w:marBottom w:val="0"/>
                      <w:divBdr>
                        <w:top w:val="none" w:sz="0" w:space="0" w:color="auto"/>
                        <w:left w:val="none" w:sz="0" w:space="0" w:color="auto"/>
                        <w:bottom w:val="none" w:sz="0" w:space="0" w:color="auto"/>
                        <w:right w:val="none" w:sz="0" w:space="0" w:color="auto"/>
                      </w:divBdr>
                      <w:divsChild>
                        <w:div w:id="11616620">
                          <w:marLeft w:val="0"/>
                          <w:marRight w:val="0"/>
                          <w:marTop w:val="0"/>
                          <w:marBottom w:val="0"/>
                          <w:divBdr>
                            <w:top w:val="none" w:sz="0" w:space="0" w:color="auto"/>
                            <w:left w:val="none" w:sz="0" w:space="0" w:color="auto"/>
                            <w:bottom w:val="none" w:sz="0" w:space="0" w:color="auto"/>
                            <w:right w:val="none" w:sz="0" w:space="0" w:color="auto"/>
                          </w:divBdr>
                        </w:div>
                        <w:div w:id="147221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156721">
      <w:bodyDiv w:val="1"/>
      <w:marLeft w:val="0"/>
      <w:marRight w:val="0"/>
      <w:marTop w:val="0"/>
      <w:marBottom w:val="0"/>
      <w:divBdr>
        <w:top w:val="none" w:sz="0" w:space="0" w:color="auto"/>
        <w:left w:val="none" w:sz="0" w:space="0" w:color="auto"/>
        <w:bottom w:val="none" w:sz="0" w:space="0" w:color="auto"/>
        <w:right w:val="none" w:sz="0" w:space="0" w:color="auto"/>
      </w:divBdr>
    </w:div>
    <w:div w:id="382799658">
      <w:bodyDiv w:val="1"/>
      <w:marLeft w:val="0"/>
      <w:marRight w:val="0"/>
      <w:marTop w:val="0"/>
      <w:marBottom w:val="0"/>
      <w:divBdr>
        <w:top w:val="none" w:sz="0" w:space="0" w:color="auto"/>
        <w:left w:val="none" w:sz="0" w:space="0" w:color="auto"/>
        <w:bottom w:val="none" w:sz="0" w:space="0" w:color="auto"/>
        <w:right w:val="none" w:sz="0" w:space="0" w:color="auto"/>
      </w:divBdr>
      <w:divsChild>
        <w:div w:id="1194533597">
          <w:marLeft w:val="0"/>
          <w:marRight w:val="0"/>
          <w:marTop w:val="0"/>
          <w:marBottom w:val="0"/>
          <w:divBdr>
            <w:top w:val="none" w:sz="0" w:space="0" w:color="auto"/>
            <w:left w:val="none" w:sz="0" w:space="0" w:color="auto"/>
            <w:bottom w:val="none" w:sz="0" w:space="0" w:color="auto"/>
            <w:right w:val="none" w:sz="0" w:space="0" w:color="auto"/>
          </w:divBdr>
          <w:divsChild>
            <w:div w:id="996572761">
              <w:marLeft w:val="0"/>
              <w:marRight w:val="0"/>
              <w:marTop w:val="0"/>
              <w:marBottom w:val="0"/>
              <w:divBdr>
                <w:top w:val="none" w:sz="0" w:space="0" w:color="auto"/>
                <w:left w:val="none" w:sz="0" w:space="0" w:color="auto"/>
                <w:bottom w:val="none" w:sz="0" w:space="0" w:color="auto"/>
                <w:right w:val="none" w:sz="0" w:space="0" w:color="auto"/>
              </w:divBdr>
              <w:divsChild>
                <w:div w:id="1486779038">
                  <w:marLeft w:val="0"/>
                  <w:marRight w:val="0"/>
                  <w:marTop w:val="0"/>
                  <w:marBottom w:val="0"/>
                  <w:divBdr>
                    <w:top w:val="none" w:sz="0" w:space="0" w:color="auto"/>
                    <w:left w:val="none" w:sz="0" w:space="0" w:color="auto"/>
                    <w:bottom w:val="none" w:sz="0" w:space="0" w:color="auto"/>
                    <w:right w:val="none" w:sz="0" w:space="0" w:color="auto"/>
                  </w:divBdr>
                  <w:divsChild>
                    <w:div w:id="10689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820107">
      <w:bodyDiv w:val="1"/>
      <w:marLeft w:val="0"/>
      <w:marRight w:val="0"/>
      <w:marTop w:val="0"/>
      <w:marBottom w:val="0"/>
      <w:divBdr>
        <w:top w:val="none" w:sz="0" w:space="0" w:color="auto"/>
        <w:left w:val="none" w:sz="0" w:space="0" w:color="auto"/>
        <w:bottom w:val="none" w:sz="0" w:space="0" w:color="auto"/>
        <w:right w:val="none" w:sz="0" w:space="0" w:color="auto"/>
      </w:divBdr>
    </w:div>
    <w:div w:id="395595172">
      <w:bodyDiv w:val="1"/>
      <w:marLeft w:val="0"/>
      <w:marRight w:val="0"/>
      <w:marTop w:val="0"/>
      <w:marBottom w:val="0"/>
      <w:divBdr>
        <w:top w:val="none" w:sz="0" w:space="0" w:color="auto"/>
        <w:left w:val="none" w:sz="0" w:space="0" w:color="auto"/>
        <w:bottom w:val="none" w:sz="0" w:space="0" w:color="auto"/>
        <w:right w:val="none" w:sz="0" w:space="0" w:color="auto"/>
      </w:divBdr>
    </w:div>
    <w:div w:id="400059289">
      <w:bodyDiv w:val="1"/>
      <w:marLeft w:val="0"/>
      <w:marRight w:val="0"/>
      <w:marTop w:val="0"/>
      <w:marBottom w:val="0"/>
      <w:divBdr>
        <w:top w:val="none" w:sz="0" w:space="0" w:color="auto"/>
        <w:left w:val="none" w:sz="0" w:space="0" w:color="auto"/>
        <w:bottom w:val="none" w:sz="0" w:space="0" w:color="auto"/>
        <w:right w:val="none" w:sz="0" w:space="0" w:color="auto"/>
      </w:divBdr>
    </w:div>
    <w:div w:id="400567478">
      <w:bodyDiv w:val="1"/>
      <w:marLeft w:val="0"/>
      <w:marRight w:val="0"/>
      <w:marTop w:val="0"/>
      <w:marBottom w:val="0"/>
      <w:divBdr>
        <w:top w:val="none" w:sz="0" w:space="0" w:color="auto"/>
        <w:left w:val="none" w:sz="0" w:space="0" w:color="auto"/>
        <w:bottom w:val="none" w:sz="0" w:space="0" w:color="auto"/>
        <w:right w:val="none" w:sz="0" w:space="0" w:color="auto"/>
      </w:divBdr>
    </w:div>
    <w:div w:id="403144009">
      <w:bodyDiv w:val="1"/>
      <w:marLeft w:val="0"/>
      <w:marRight w:val="0"/>
      <w:marTop w:val="0"/>
      <w:marBottom w:val="0"/>
      <w:divBdr>
        <w:top w:val="none" w:sz="0" w:space="0" w:color="auto"/>
        <w:left w:val="none" w:sz="0" w:space="0" w:color="auto"/>
        <w:bottom w:val="none" w:sz="0" w:space="0" w:color="auto"/>
        <w:right w:val="none" w:sz="0" w:space="0" w:color="auto"/>
      </w:divBdr>
      <w:divsChild>
        <w:div w:id="1531529207">
          <w:marLeft w:val="-225"/>
          <w:marRight w:val="-225"/>
          <w:marTop w:val="0"/>
          <w:marBottom w:val="0"/>
          <w:divBdr>
            <w:top w:val="none" w:sz="0" w:space="0" w:color="auto"/>
            <w:left w:val="none" w:sz="0" w:space="0" w:color="auto"/>
            <w:bottom w:val="none" w:sz="0" w:space="0" w:color="auto"/>
            <w:right w:val="none" w:sz="0" w:space="0" w:color="auto"/>
          </w:divBdr>
          <w:divsChild>
            <w:div w:id="19887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074492">
      <w:bodyDiv w:val="1"/>
      <w:marLeft w:val="0"/>
      <w:marRight w:val="0"/>
      <w:marTop w:val="0"/>
      <w:marBottom w:val="0"/>
      <w:divBdr>
        <w:top w:val="none" w:sz="0" w:space="0" w:color="auto"/>
        <w:left w:val="none" w:sz="0" w:space="0" w:color="auto"/>
        <w:bottom w:val="none" w:sz="0" w:space="0" w:color="auto"/>
        <w:right w:val="none" w:sz="0" w:space="0" w:color="auto"/>
      </w:divBdr>
    </w:div>
    <w:div w:id="406923188">
      <w:bodyDiv w:val="1"/>
      <w:marLeft w:val="0"/>
      <w:marRight w:val="0"/>
      <w:marTop w:val="0"/>
      <w:marBottom w:val="0"/>
      <w:divBdr>
        <w:top w:val="none" w:sz="0" w:space="0" w:color="auto"/>
        <w:left w:val="none" w:sz="0" w:space="0" w:color="auto"/>
        <w:bottom w:val="none" w:sz="0" w:space="0" w:color="auto"/>
        <w:right w:val="none" w:sz="0" w:space="0" w:color="auto"/>
      </w:divBdr>
    </w:div>
    <w:div w:id="425930474">
      <w:bodyDiv w:val="1"/>
      <w:marLeft w:val="0"/>
      <w:marRight w:val="0"/>
      <w:marTop w:val="0"/>
      <w:marBottom w:val="0"/>
      <w:divBdr>
        <w:top w:val="none" w:sz="0" w:space="0" w:color="auto"/>
        <w:left w:val="none" w:sz="0" w:space="0" w:color="auto"/>
        <w:bottom w:val="none" w:sz="0" w:space="0" w:color="auto"/>
        <w:right w:val="none" w:sz="0" w:space="0" w:color="auto"/>
      </w:divBdr>
    </w:div>
    <w:div w:id="438912289">
      <w:bodyDiv w:val="1"/>
      <w:marLeft w:val="0"/>
      <w:marRight w:val="0"/>
      <w:marTop w:val="0"/>
      <w:marBottom w:val="0"/>
      <w:divBdr>
        <w:top w:val="none" w:sz="0" w:space="0" w:color="auto"/>
        <w:left w:val="none" w:sz="0" w:space="0" w:color="auto"/>
        <w:bottom w:val="none" w:sz="0" w:space="0" w:color="auto"/>
        <w:right w:val="none" w:sz="0" w:space="0" w:color="auto"/>
      </w:divBdr>
    </w:div>
    <w:div w:id="443574294">
      <w:bodyDiv w:val="1"/>
      <w:marLeft w:val="0"/>
      <w:marRight w:val="0"/>
      <w:marTop w:val="0"/>
      <w:marBottom w:val="0"/>
      <w:divBdr>
        <w:top w:val="none" w:sz="0" w:space="0" w:color="auto"/>
        <w:left w:val="none" w:sz="0" w:space="0" w:color="auto"/>
        <w:bottom w:val="none" w:sz="0" w:space="0" w:color="auto"/>
        <w:right w:val="none" w:sz="0" w:space="0" w:color="auto"/>
      </w:divBdr>
    </w:div>
    <w:div w:id="446320366">
      <w:bodyDiv w:val="1"/>
      <w:marLeft w:val="300"/>
      <w:marRight w:val="150"/>
      <w:marTop w:val="150"/>
      <w:marBottom w:val="150"/>
      <w:divBdr>
        <w:top w:val="none" w:sz="0" w:space="0" w:color="auto"/>
        <w:left w:val="none" w:sz="0" w:space="0" w:color="auto"/>
        <w:bottom w:val="none" w:sz="0" w:space="0" w:color="auto"/>
        <w:right w:val="none" w:sz="0" w:space="0" w:color="auto"/>
      </w:divBdr>
      <w:divsChild>
        <w:div w:id="1220629889">
          <w:marLeft w:val="0"/>
          <w:marRight w:val="0"/>
          <w:marTop w:val="0"/>
          <w:marBottom w:val="0"/>
          <w:divBdr>
            <w:top w:val="none" w:sz="0" w:space="0" w:color="auto"/>
            <w:left w:val="none" w:sz="0" w:space="0" w:color="auto"/>
            <w:bottom w:val="none" w:sz="0" w:space="0" w:color="auto"/>
            <w:right w:val="none" w:sz="0" w:space="0" w:color="auto"/>
          </w:divBdr>
          <w:divsChild>
            <w:div w:id="1892228707">
              <w:marLeft w:val="0"/>
              <w:marRight w:val="0"/>
              <w:marTop w:val="0"/>
              <w:marBottom w:val="0"/>
              <w:divBdr>
                <w:top w:val="none" w:sz="0" w:space="0" w:color="auto"/>
                <w:left w:val="none" w:sz="0" w:space="0" w:color="auto"/>
                <w:bottom w:val="none" w:sz="0" w:space="0" w:color="auto"/>
                <w:right w:val="none" w:sz="0" w:space="0" w:color="auto"/>
              </w:divBdr>
              <w:divsChild>
                <w:div w:id="433866283">
                  <w:marLeft w:val="0"/>
                  <w:marRight w:val="0"/>
                  <w:marTop w:val="0"/>
                  <w:marBottom w:val="0"/>
                  <w:divBdr>
                    <w:top w:val="none" w:sz="0" w:space="0" w:color="auto"/>
                    <w:left w:val="none" w:sz="0" w:space="0" w:color="auto"/>
                    <w:bottom w:val="none" w:sz="0" w:space="0" w:color="auto"/>
                    <w:right w:val="none" w:sz="0" w:space="0" w:color="auto"/>
                  </w:divBdr>
                  <w:divsChild>
                    <w:div w:id="1088385780">
                      <w:marLeft w:val="0"/>
                      <w:marRight w:val="0"/>
                      <w:marTop w:val="0"/>
                      <w:marBottom w:val="0"/>
                      <w:divBdr>
                        <w:top w:val="none" w:sz="0" w:space="0" w:color="auto"/>
                        <w:left w:val="none" w:sz="0" w:space="0" w:color="auto"/>
                        <w:bottom w:val="none" w:sz="0" w:space="0" w:color="auto"/>
                        <w:right w:val="none" w:sz="0" w:space="0" w:color="auto"/>
                      </w:divBdr>
                      <w:divsChild>
                        <w:div w:id="75748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8473855">
      <w:bodyDiv w:val="1"/>
      <w:marLeft w:val="0"/>
      <w:marRight w:val="0"/>
      <w:marTop w:val="0"/>
      <w:marBottom w:val="0"/>
      <w:divBdr>
        <w:top w:val="none" w:sz="0" w:space="0" w:color="auto"/>
        <w:left w:val="none" w:sz="0" w:space="0" w:color="auto"/>
        <w:bottom w:val="none" w:sz="0" w:space="0" w:color="auto"/>
        <w:right w:val="none" w:sz="0" w:space="0" w:color="auto"/>
      </w:divBdr>
    </w:div>
    <w:div w:id="456458461">
      <w:bodyDiv w:val="1"/>
      <w:marLeft w:val="0"/>
      <w:marRight w:val="0"/>
      <w:marTop w:val="0"/>
      <w:marBottom w:val="0"/>
      <w:divBdr>
        <w:top w:val="none" w:sz="0" w:space="0" w:color="auto"/>
        <w:left w:val="none" w:sz="0" w:space="0" w:color="auto"/>
        <w:bottom w:val="none" w:sz="0" w:space="0" w:color="auto"/>
        <w:right w:val="none" w:sz="0" w:space="0" w:color="auto"/>
      </w:divBdr>
    </w:div>
    <w:div w:id="457377065">
      <w:bodyDiv w:val="1"/>
      <w:marLeft w:val="0"/>
      <w:marRight w:val="0"/>
      <w:marTop w:val="0"/>
      <w:marBottom w:val="0"/>
      <w:divBdr>
        <w:top w:val="none" w:sz="0" w:space="0" w:color="auto"/>
        <w:left w:val="none" w:sz="0" w:space="0" w:color="auto"/>
        <w:bottom w:val="none" w:sz="0" w:space="0" w:color="auto"/>
        <w:right w:val="none" w:sz="0" w:space="0" w:color="auto"/>
      </w:divBdr>
      <w:divsChild>
        <w:div w:id="1834835665">
          <w:marLeft w:val="0"/>
          <w:marRight w:val="0"/>
          <w:marTop w:val="0"/>
          <w:marBottom w:val="0"/>
          <w:divBdr>
            <w:top w:val="none" w:sz="0" w:space="0" w:color="auto"/>
            <w:left w:val="none" w:sz="0" w:space="0" w:color="auto"/>
            <w:bottom w:val="none" w:sz="0" w:space="0" w:color="auto"/>
            <w:right w:val="none" w:sz="0" w:space="0" w:color="auto"/>
          </w:divBdr>
        </w:div>
      </w:divsChild>
    </w:div>
    <w:div w:id="466320180">
      <w:bodyDiv w:val="1"/>
      <w:marLeft w:val="0"/>
      <w:marRight w:val="0"/>
      <w:marTop w:val="0"/>
      <w:marBottom w:val="0"/>
      <w:divBdr>
        <w:top w:val="none" w:sz="0" w:space="0" w:color="auto"/>
        <w:left w:val="none" w:sz="0" w:space="0" w:color="auto"/>
        <w:bottom w:val="none" w:sz="0" w:space="0" w:color="auto"/>
        <w:right w:val="none" w:sz="0" w:space="0" w:color="auto"/>
      </w:divBdr>
    </w:div>
    <w:div w:id="473908087">
      <w:bodyDiv w:val="1"/>
      <w:marLeft w:val="0"/>
      <w:marRight w:val="0"/>
      <w:marTop w:val="0"/>
      <w:marBottom w:val="0"/>
      <w:divBdr>
        <w:top w:val="none" w:sz="0" w:space="0" w:color="auto"/>
        <w:left w:val="none" w:sz="0" w:space="0" w:color="auto"/>
        <w:bottom w:val="none" w:sz="0" w:space="0" w:color="auto"/>
        <w:right w:val="none" w:sz="0" w:space="0" w:color="auto"/>
      </w:divBdr>
      <w:divsChild>
        <w:div w:id="766926255">
          <w:marLeft w:val="0"/>
          <w:marRight w:val="0"/>
          <w:marTop w:val="0"/>
          <w:marBottom w:val="0"/>
          <w:divBdr>
            <w:top w:val="none" w:sz="0" w:space="0" w:color="auto"/>
            <w:left w:val="none" w:sz="0" w:space="0" w:color="auto"/>
            <w:bottom w:val="none" w:sz="0" w:space="0" w:color="auto"/>
            <w:right w:val="none" w:sz="0" w:space="0" w:color="auto"/>
          </w:divBdr>
          <w:divsChild>
            <w:div w:id="78427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567554">
      <w:bodyDiv w:val="1"/>
      <w:marLeft w:val="0"/>
      <w:marRight w:val="0"/>
      <w:marTop w:val="0"/>
      <w:marBottom w:val="0"/>
      <w:divBdr>
        <w:top w:val="none" w:sz="0" w:space="0" w:color="auto"/>
        <w:left w:val="none" w:sz="0" w:space="0" w:color="auto"/>
        <w:bottom w:val="none" w:sz="0" w:space="0" w:color="auto"/>
        <w:right w:val="none" w:sz="0" w:space="0" w:color="auto"/>
      </w:divBdr>
    </w:div>
    <w:div w:id="479736139">
      <w:bodyDiv w:val="1"/>
      <w:marLeft w:val="0"/>
      <w:marRight w:val="0"/>
      <w:marTop w:val="0"/>
      <w:marBottom w:val="0"/>
      <w:divBdr>
        <w:top w:val="none" w:sz="0" w:space="0" w:color="auto"/>
        <w:left w:val="none" w:sz="0" w:space="0" w:color="auto"/>
        <w:bottom w:val="none" w:sz="0" w:space="0" w:color="auto"/>
        <w:right w:val="none" w:sz="0" w:space="0" w:color="auto"/>
      </w:divBdr>
    </w:div>
    <w:div w:id="485895784">
      <w:bodyDiv w:val="1"/>
      <w:marLeft w:val="0"/>
      <w:marRight w:val="0"/>
      <w:marTop w:val="0"/>
      <w:marBottom w:val="0"/>
      <w:divBdr>
        <w:top w:val="none" w:sz="0" w:space="0" w:color="auto"/>
        <w:left w:val="none" w:sz="0" w:space="0" w:color="auto"/>
        <w:bottom w:val="none" w:sz="0" w:space="0" w:color="auto"/>
        <w:right w:val="none" w:sz="0" w:space="0" w:color="auto"/>
      </w:divBdr>
    </w:div>
    <w:div w:id="488711657">
      <w:bodyDiv w:val="1"/>
      <w:marLeft w:val="0"/>
      <w:marRight w:val="0"/>
      <w:marTop w:val="0"/>
      <w:marBottom w:val="0"/>
      <w:divBdr>
        <w:top w:val="none" w:sz="0" w:space="0" w:color="auto"/>
        <w:left w:val="none" w:sz="0" w:space="0" w:color="auto"/>
        <w:bottom w:val="none" w:sz="0" w:space="0" w:color="auto"/>
        <w:right w:val="none" w:sz="0" w:space="0" w:color="auto"/>
      </w:divBdr>
    </w:div>
    <w:div w:id="491412399">
      <w:bodyDiv w:val="1"/>
      <w:marLeft w:val="0"/>
      <w:marRight w:val="0"/>
      <w:marTop w:val="0"/>
      <w:marBottom w:val="0"/>
      <w:divBdr>
        <w:top w:val="none" w:sz="0" w:space="0" w:color="auto"/>
        <w:left w:val="none" w:sz="0" w:space="0" w:color="auto"/>
        <w:bottom w:val="none" w:sz="0" w:space="0" w:color="auto"/>
        <w:right w:val="none" w:sz="0" w:space="0" w:color="auto"/>
      </w:divBdr>
      <w:divsChild>
        <w:div w:id="741219374">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494880932">
      <w:bodyDiv w:val="1"/>
      <w:marLeft w:val="0"/>
      <w:marRight w:val="0"/>
      <w:marTop w:val="0"/>
      <w:marBottom w:val="0"/>
      <w:divBdr>
        <w:top w:val="none" w:sz="0" w:space="0" w:color="auto"/>
        <w:left w:val="none" w:sz="0" w:space="0" w:color="auto"/>
        <w:bottom w:val="none" w:sz="0" w:space="0" w:color="auto"/>
        <w:right w:val="none" w:sz="0" w:space="0" w:color="auto"/>
      </w:divBdr>
      <w:divsChild>
        <w:div w:id="1559628615">
          <w:marLeft w:val="0"/>
          <w:marRight w:val="0"/>
          <w:marTop w:val="0"/>
          <w:marBottom w:val="0"/>
          <w:divBdr>
            <w:top w:val="none" w:sz="0" w:space="0" w:color="auto"/>
            <w:left w:val="none" w:sz="0" w:space="0" w:color="auto"/>
            <w:bottom w:val="none" w:sz="0" w:space="0" w:color="auto"/>
            <w:right w:val="none" w:sz="0" w:space="0" w:color="auto"/>
          </w:divBdr>
        </w:div>
      </w:divsChild>
    </w:div>
    <w:div w:id="501432888">
      <w:bodyDiv w:val="1"/>
      <w:marLeft w:val="0"/>
      <w:marRight w:val="0"/>
      <w:marTop w:val="0"/>
      <w:marBottom w:val="0"/>
      <w:divBdr>
        <w:top w:val="none" w:sz="0" w:space="0" w:color="auto"/>
        <w:left w:val="none" w:sz="0" w:space="0" w:color="auto"/>
        <w:bottom w:val="none" w:sz="0" w:space="0" w:color="auto"/>
        <w:right w:val="none" w:sz="0" w:space="0" w:color="auto"/>
      </w:divBdr>
    </w:div>
    <w:div w:id="513543417">
      <w:bodyDiv w:val="1"/>
      <w:marLeft w:val="0"/>
      <w:marRight w:val="0"/>
      <w:marTop w:val="0"/>
      <w:marBottom w:val="0"/>
      <w:divBdr>
        <w:top w:val="none" w:sz="0" w:space="0" w:color="auto"/>
        <w:left w:val="none" w:sz="0" w:space="0" w:color="auto"/>
        <w:bottom w:val="none" w:sz="0" w:space="0" w:color="auto"/>
        <w:right w:val="none" w:sz="0" w:space="0" w:color="auto"/>
      </w:divBdr>
      <w:divsChild>
        <w:div w:id="911043472">
          <w:marLeft w:val="0"/>
          <w:marRight w:val="0"/>
          <w:marTop w:val="0"/>
          <w:marBottom w:val="0"/>
          <w:divBdr>
            <w:top w:val="none" w:sz="0" w:space="0" w:color="auto"/>
            <w:left w:val="none" w:sz="0" w:space="0" w:color="auto"/>
            <w:bottom w:val="none" w:sz="0" w:space="0" w:color="auto"/>
            <w:right w:val="none" w:sz="0" w:space="0" w:color="auto"/>
          </w:divBdr>
          <w:divsChild>
            <w:div w:id="193150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855134">
      <w:bodyDiv w:val="1"/>
      <w:marLeft w:val="0"/>
      <w:marRight w:val="0"/>
      <w:marTop w:val="0"/>
      <w:marBottom w:val="0"/>
      <w:divBdr>
        <w:top w:val="none" w:sz="0" w:space="0" w:color="auto"/>
        <w:left w:val="none" w:sz="0" w:space="0" w:color="auto"/>
        <w:bottom w:val="none" w:sz="0" w:space="0" w:color="auto"/>
        <w:right w:val="none" w:sz="0" w:space="0" w:color="auto"/>
      </w:divBdr>
    </w:div>
    <w:div w:id="559219926">
      <w:bodyDiv w:val="1"/>
      <w:marLeft w:val="0"/>
      <w:marRight w:val="0"/>
      <w:marTop w:val="0"/>
      <w:marBottom w:val="0"/>
      <w:divBdr>
        <w:top w:val="none" w:sz="0" w:space="0" w:color="auto"/>
        <w:left w:val="none" w:sz="0" w:space="0" w:color="auto"/>
        <w:bottom w:val="none" w:sz="0" w:space="0" w:color="auto"/>
        <w:right w:val="none" w:sz="0" w:space="0" w:color="auto"/>
      </w:divBdr>
    </w:div>
    <w:div w:id="560798943">
      <w:bodyDiv w:val="1"/>
      <w:marLeft w:val="0"/>
      <w:marRight w:val="0"/>
      <w:marTop w:val="0"/>
      <w:marBottom w:val="0"/>
      <w:divBdr>
        <w:top w:val="none" w:sz="0" w:space="0" w:color="auto"/>
        <w:left w:val="none" w:sz="0" w:space="0" w:color="auto"/>
        <w:bottom w:val="none" w:sz="0" w:space="0" w:color="auto"/>
        <w:right w:val="none" w:sz="0" w:space="0" w:color="auto"/>
      </w:divBdr>
      <w:divsChild>
        <w:div w:id="374626808">
          <w:marLeft w:val="0"/>
          <w:marRight w:val="0"/>
          <w:marTop w:val="0"/>
          <w:marBottom w:val="0"/>
          <w:divBdr>
            <w:top w:val="none" w:sz="0" w:space="0" w:color="auto"/>
            <w:left w:val="none" w:sz="0" w:space="0" w:color="auto"/>
            <w:bottom w:val="none" w:sz="0" w:space="0" w:color="auto"/>
            <w:right w:val="none" w:sz="0" w:space="0" w:color="auto"/>
          </w:divBdr>
        </w:div>
      </w:divsChild>
    </w:div>
    <w:div w:id="564030554">
      <w:bodyDiv w:val="1"/>
      <w:marLeft w:val="0"/>
      <w:marRight w:val="0"/>
      <w:marTop w:val="0"/>
      <w:marBottom w:val="0"/>
      <w:divBdr>
        <w:top w:val="none" w:sz="0" w:space="0" w:color="auto"/>
        <w:left w:val="none" w:sz="0" w:space="0" w:color="auto"/>
        <w:bottom w:val="none" w:sz="0" w:space="0" w:color="auto"/>
        <w:right w:val="none" w:sz="0" w:space="0" w:color="auto"/>
      </w:divBdr>
    </w:div>
    <w:div w:id="565073513">
      <w:bodyDiv w:val="1"/>
      <w:marLeft w:val="0"/>
      <w:marRight w:val="0"/>
      <w:marTop w:val="0"/>
      <w:marBottom w:val="0"/>
      <w:divBdr>
        <w:top w:val="none" w:sz="0" w:space="0" w:color="auto"/>
        <w:left w:val="none" w:sz="0" w:space="0" w:color="auto"/>
        <w:bottom w:val="none" w:sz="0" w:space="0" w:color="auto"/>
        <w:right w:val="none" w:sz="0" w:space="0" w:color="auto"/>
      </w:divBdr>
      <w:divsChild>
        <w:div w:id="46296205">
          <w:marLeft w:val="0"/>
          <w:marRight w:val="0"/>
          <w:marTop w:val="245"/>
          <w:marBottom w:val="43"/>
          <w:divBdr>
            <w:top w:val="single" w:sz="4" w:space="0" w:color="DDDDDD"/>
            <w:left w:val="none" w:sz="0" w:space="0" w:color="auto"/>
            <w:bottom w:val="single" w:sz="4" w:space="0" w:color="EEEEEE"/>
            <w:right w:val="none" w:sz="0" w:space="0" w:color="auto"/>
          </w:divBdr>
        </w:div>
        <w:div w:id="141629106">
          <w:marLeft w:val="0"/>
          <w:marRight w:val="0"/>
          <w:marTop w:val="43"/>
          <w:marBottom w:val="43"/>
          <w:divBdr>
            <w:top w:val="single" w:sz="4" w:space="0" w:color="auto"/>
            <w:left w:val="none" w:sz="0" w:space="0" w:color="auto"/>
            <w:bottom w:val="single" w:sz="4" w:space="0" w:color="auto"/>
            <w:right w:val="none" w:sz="0" w:space="0" w:color="auto"/>
          </w:divBdr>
        </w:div>
        <w:div w:id="145561439">
          <w:marLeft w:val="0"/>
          <w:marRight w:val="0"/>
          <w:marTop w:val="43"/>
          <w:marBottom w:val="43"/>
          <w:divBdr>
            <w:top w:val="single" w:sz="4" w:space="0" w:color="auto"/>
            <w:left w:val="none" w:sz="0" w:space="0" w:color="auto"/>
            <w:bottom w:val="single" w:sz="4" w:space="0" w:color="auto"/>
            <w:right w:val="none" w:sz="0" w:space="0" w:color="auto"/>
          </w:divBdr>
        </w:div>
        <w:div w:id="546334452">
          <w:marLeft w:val="0"/>
          <w:marRight w:val="0"/>
          <w:marTop w:val="43"/>
          <w:marBottom w:val="43"/>
          <w:divBdr>
            <w:top w:val="single" w:sz="4" w:space="0" w:color="auto"/>
            <w:left w:val="none" w:sz="0" w:space="0" w:color="auto"/>
            <w:bottom w:val="single" w:sz="4" w:space="0" w:color="auto"/>
            <w:right w:val="none" w:sz="0" w:space="0" w:color="auto"/>
          </w:divBdr>
        </w:div>
        <w:div w:id="815687165">
          <w:marLeft w:val="0"/>
          <w:marRight w:val="0"/>
          <w:marTop w:val="43"/>
          <w:marBottom w:val="43"/>
          <w:divBdr>
            <w:top w:val="single" w:sz="4" w:space="0" w:color="auto"/>
            <w:left w:val="none" w:sz="0" w:space="0" w:color="auto"/>
            <w:bottom w:val="single" w:sz="4" w:space="0" w:color="auto"/>
            <w:right w:val="none" w:sz="0" w:space="0" w:color="auto"/>
          </w:divBdr>
        </w:div>
        <w:div w:id="822544881">
          <w:marLeft w:val="0"/>
          <w:marRight w:val="0"/>
          <w:marTop w:val="43"/>
          <w:marBottom w:val="43"/>
          <w:divBdr>
            <w:top w:val="single" w:sz="4" w:space="0" w:color="auto"/>
            <w:left w:val="none" w:sz="0" w:space="0" w:color="auto"/>
            <w:bottom w:val="single" w:sz="4" w:space="0" w:color="auto"/>
            <w:right w:val="none" w:sz="0" w:space="0" w:color="auto"/>
          </w:divBdr>
        </w:div>
        <w:div w:id="930433512">
          <w:marLeft w:val="0"/>
          <w:marRight w:val="0"/>
          <w:marTop w:val="43"/>
          <w:marBottom w:val="43"/>
          <w:divBdr>
            <w:top w:val="single" w:sz="4" w:space="0" w:color="auto"/>
            <w:left w:val="none" w:sz="0" w:space="0" w:color="auto"/>
            <w:bottom w:val="single" w:sz="4" w:space="0" w:color="auto"/>
            <w:right w:val="none" w:sz="0" w:space="0" w:color="auto"/>
          </w:divBdr>
        </w:div>
        <w:div w:id="958535149">
          <w:marLeft w:val="0"/>
          <w:marRight w:val="0"/>
          <w:marTop w:val="43"/>
          <w:marBottom w:val="43"/>
          <w:divBdr>
            <w:top w:val="single" w:sz="4" w:space="0" w:color="auto"/>
            <w:left w:val="none" w:sz="0" w:space="0" w:color="auto"/>
            <w:bottom w:val="single" w:sz="4" w:space="0" w:color="auto"/>
            <w:right w:val="none" w:sz="0" w:space="0" w:color="auto"/>
          </w:divBdr>
        </w:div>
        <w:div w:id="1249727277">
          <w:marLeft w:val="0"/>
          <w:marRight w:val="0"/>
          <w:marTop w:val="43"/>
          <w:marBottom w:val="43"/>
          <w:divBdr>
            <w:top w:val="single" w:sz="4" w:space="0" w:color="auto"/>
            <w:left w:val="none" w:sz="0" w:space="0" w:color="auto"/>
            <w:bottom w:val="single" w:sz="4" w:space="0" w:color="auto"/>
            <w:right w:val="none" w:sz="0" w:space="0" w:color="auto"/>
          </w:divBdr>
        </w:div>
        <w:div w:id="1518108415">
          <w:marLeft w:val="0"/>
          <w:marRight w:val="0"/>
          <w:marTop w:val="43"/>
          <w:marBottom w:val="43"/>
          <w:divBdr>
            <w:top w:val="single" w:sz="4" w:space="0" w:color="auto"/>
            <w:left w:val="none" w:sz="0" w:space="0" w:color="auto"/>
            <w:bottom w:val="single" w:sz="4" w:space="0" w:color="auto"/>
            <w:right w:val="none" w:sz="0" w:space="0" w:color="auto"/>
          </w:divBdr>
        </w:div>
        <w:div w:id="1792893096">
          <w:marLeft w:val="0"/>
          <w:marRight w:val="0"/>
          <w:marTop w:val="43"/>
          <w:marBottom w:val="43"/>
          <w:divBdr>
            <w:top w:val="single" w:sz="4" w:space="0" w:color="auto"/>
            <w:left w:val="none" w:sz="0" w:space="0" w:color="auto"/>
            <w:bottom w:val="single" w:sz="4" w:space="0" w:color="auto"/>
            <w:right w:val="none" w:sz="0" w:space="0" w:color="auto"/>
          </w:divBdr>
        </w:div>
        <w:div w:id="1943106295">
          <w:marLeft w:val="0"/>
          <w:marRight w:val="0"/>
          <w:marTop w:val="43"/>
          <w:marBottom w:val="43"/>
          <w:divBdr>
            <w:top w:val="single" w:sz="4" w:space="0" w:color="auto"/>
            <w:left w:val="none" w:sz="0" w:space="0" w:color="auto"/>
            <w:bottom w:val="single" w:sz="4" w:space="0" w:color="auto"/>
            <w:right w:val="none" w:sz="0" w:space="0" w:color="auto"/>
          </w:divBdr>
        </w:div>
        <w:div w:id="1968000015">
          <w:marLeft w:val="0"/>
          <w:marRight w:val="0"/>
          <w:marTop w:val="43"/>
          <w:marBottom w:val="43"/>
          <w:divBdr>
            <w:top w:val="single" w:sz="4" w:space="0" w:color="auto"/>
            <w:left w:val="none" w:sz="0" w:space="0" w:color="auto"/>
            <w:bottom w:val="single" w:sz="4" w:space="0" w:color="auto"/>
            <w:right w:val="none" w:sz="0" w:space="0" w:color="auto"/>
          </w:divBdr>
        </w:div>
        <w:div w:id="2077586236">
          <w:marLeft w:val="0"/>
          <w:marRight w:val="0"/>
          <w:marTop w:val="43"/>
          <w:marBottom w:val="43"/>
          <w:divBdr>
            <w:top w:val="single" w:sz="4" w:space="0" w:color="auto"/>
            <w:left w:val="none" w:sz="0" w:space="0" w:color="auto"/>
            <w:bottom w:val="single" w:sz="4" w:space="0" w:color="auto"/>
            <w:right w:val="none" w:sz="0" w:space="0" w:color="auto"/>
          </w:divBdr>
        </w:div>
      </w:divsChild>
    </w:div>
    <w:div w:id="584463785">
      <w:bodyDiv w:val="1"/>
      <w:marLeft w:val="0"/>
      <w:marRight w:val="0"/>
      <w:marTop w:val="0"/>
      <w:marBottom w:val="450"/>
      <w:divBdr>
        <w:top w:val="none" w:sz="0" w:space="0" w:color="auto"/>
        <w:left w:val="none" w:sz="0" w:space="0" w:color="auto"/>
        <w:bottom w:val="none" w:sz="0" w:space="0" w:color="auto"/>
        <w:right w:val="none" w:sz="0" w:space="0" w:color="auto"/>
      </w:divBdr>
      <w:divsChild>
        <w:div w:id="1429036670">
          <w:marLeft w:val="0"/>
          <w:marRight w:val="0"/>
          <w:marTop w:val="100"/>
          <w:marBottom w:val="100"/>
          <w:divBdr>
            <w:top w:val="none" w:sz="0" w:space="0" w:color="auto"/>
            <w:left w:val="none" w:sz="0" w:space="0" w:color="auto"/>
            <w:bottom w:val="none" w:sz="0" w:space="0" w:color="auto"/>
            <w:right w:val="none" w:sz="0" w:space="0" w:color="auto"/>
          </w:divBdr>
          <w:divsChild>
            <w:div w:id="1354498097">
              <w:marLeft w:val="0"/>
              <w:marRight w:val="0"/>
              <w:marTop w:val="0"/>
              <w:marBottom w:val="0"/>
              <w:divBdr>
                <w:top w:val="none" w:sz="0" w:space="0" w:color="auto"/>
                <w:left w:val="none" w:sz="0" w:space="0" w:color="auto"/>
                <w:bottom w:val="none" w:sz="0" w:space="0" w:color="auto"/>
                <w:right w:val="none" w:sz="0" w:space="0" w:color="auto"/>
              </w:divBdr>
              <w:divsChild>
                <w:div w:id="524559491">
                  <w:marLeft w:val="300"/>
                  <w:marRight w:val="300"/>
                  <w:marTop w:val="0"/>
                  <w:marBottom w:val="0"/>
                  <w:divBdr>
                    <w:top w:val="none" w:sz="0" w:space="0" w:color="auto"/>
                    <w:left w:val="none" w:sz="0" w:space="0" w:color="auto"/>
                    <w:bottom w:val="none" w:sz="0" w:space="0" w:color="auto"/>
                    <w:right w:val="none" w:sz="0" w:space="0" w:color="auto"/>
                  </w:divBdr>
                  <w:divsChild>
                    <w:div w:id="1710836722">
                      <w:marLeft w:val="0"/>
                      <w:marRight w:val="0"/>
                      <w:marTop w:val="0"/>
                      <w:marBottom w:val="0"/>
                      <w:divBdr>
                        <w:top w:val="none" w:sz="0" w:space="0" w:color="auto"/>
                        <w:left w:val="none" w:sz="0" w:space="0" w:color="auto"/>
                        <w:bottom w:val="none" w:sz="0" w:space="0" w:color="auto"/>
                        <w:right w:val="none" w:sz="0" w:space="0" w:color="auto"/>
                      </w:divBdr>
                      <w:divsChild>
                        <w:div w:id="981233000">
                          <w:marLeft w:val="0"/>
                          <w:marRight w:val="0"/>
                          <w:marTop w:val="0"/>
                          <w:marBottom w:val="0"/>
                          <w:divBdr>
                            <w:top w:val="none" w:sz="0" w:space="0" w:color="auto"/>
                            <w:left w:val="none" w:sz="0" w:space="0" w:color="auto"/>
                            <w:bottom w:val="none" w:sz="0" w:space="0" w:color="auto"/>
                            <w:right w:val="none" w:sz="0" w:space="0" w:color="auto"/>
                          </w:divBdr>
                          <w:divsChild>
                            <w:div w:id="134493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1015859">
      <w:bodyDiv w:val="1"/>
      <w:marLeft w:val="0"/>
      <w:marRight w:val="0"/>
      <w:marTop w:val="0"/>
      <w:marBottom w:val="0"/>
      <w:divBdr>
        <w:top w:val="none" w:sz="0" w:space="0" w:color="auto"/>
        <w:left w:val="none" w:sz="0" w:space="0" w:color="auto"/>
        <w:bottom w:val="none" w:sz="0" w:space="0" w:color="auto"/>
        <w:right w:val="none" w:sz="0" w:space="0" w:color="auto"/>
      </w:divBdr>
      <w:divsChild>
        <w:div w:id="1800995838">
          <w:marLeft w:val="0"/>
          <w:marRight w:val="0"/>
          <w:marTop w:val="0"/>
          <w:marBottom w:val="0"/>
          <w:divBdr>
            <w:top w:val="none" w:sz="0" w:space="0" w:color="auto"/>
            <w:left w:val="none" w:sz="0" w:space="0" w:color="auto"/>
            <w:bottom w:val="none" w:sz="0" w:space="0" w:color="auto"/>
            <w:right w:val="none" w:sz="0" w:space="0" w:color="auto"/>
          </w:divBdr>
          <w:divsChild>
            <w:div w:id="492185982">
              <w:marLeft w:val="0"/>
              <w:marRight w:val="0"/>
              <w:marTop w:val="0"/>
              <w:marBottom w:val="0"/>
              <w:divBdr>
                <w:top w:val="single" w:sz="2" w:space="0" w:color="FFFFFF"/>
                <w:left w:val="single" w:sz="6" w:space="0" w:color="FFFFFF"/>
                <w:bottom w:val="single" w:sz="6" w:space="0" w:color="FFFFFF"/>
                <w:right w:val="single" w:sz="6" w:space="0" w:color="FFFFFF"/>
              </w:divBdr>
              <w:divsChild>
                <w:div w:id="1006593078">
                  <w:marLeft w:val="0"/>
                  <w:marRight w:val="0"/>
                  <w:marTop w:val="0"/>
                  <w:marBottom w:val="0"/>
                  <w:divBdr>
                    <w:top w:val="single" w:sz="6" w:space="1" w:color="D3D3D3"/>
                    <w:left w:val="none" w:sz="0" w:space="0" w:color="auto"/>
                    <w:bottom w:val="none" w:sz="0" w:space="0" w:color="auto"/>
                    <w:right w:val="none" w:sz="0" w:space="0" w:color="auto"/>
                  </w:divBdr>
                  <w:divsChild>
                    <w:div w:id="75559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685313">
      <w:bodyDiv w:val="1"/>
      <w:marLeft w:val="0"/>
      <w:marRight w:val="0"/>
      <w:marTop w:val="0"/>
      <w:marBottom w:val="0"/>
      <w:divBdr>
        <w:top w:val="none" w:sz="0" w:space="0" w:color="auto"/>
        <w:left w:val="none" w:sz="0" w:space="0" w:color="auto"/>
        <w:bottom w:val="none" w:sz="0" w:space="0" w:color="auto"/>
        <w:right w:val="none" w:sz="0" w:space="0" w:color="auto"/>
      </w:divBdr>
    </w:div>
    <w:div w:id="605700245">
      <w:bodyDiv w:val="1"/>
      <w:marLeft w:val="0"/>
      <w:marRight w:val="0"/>
      <w:marTop w:val="0"/>
      <w:marBottom w:val="0"/>
      <w:divBdr>
        <w:top w:val="none" w:sz="0" w:space="0" w:color="auto"/>
        <w:left w:val="none" w:sz="0" w:space="0" w:color="auto"/>
        <w:bottom w:val="none" w:sz="0" w:space="0" w:color="auto"/>
        <w:right w:val="none" w:sz="0" w:space="0" w:color="auto"/>
      </w:divBdr>
    </w:div>
    <w:div w:id="607125547">
      <w:bodyDiv w:val="1"/>
      <w:marLeft w:val="0"/>
      <w:marRight w:val="0"/>
      <w:marTop w:val="0"/>
      <w:marBottom w:val="0"/>
      <w:divBdr>
        <w:top w:val="none" w:sz="0" w:space="0" w:color="auto"/>
        <w:left w:val="none" w:sz="0" w:space="0" w:color="auto"/>
        <w:bottom w:val="none" w:sz="0" w:space="0" w:color="auto"/>
        <w:right w:val="none" w:sz="0" w:space="0" w:color="auto"/>
      </w:divBdr>
      <w:divsChild>
        <w:div w:id="2106152263">
          <w:marLeft w:val="0"/>
          <w:marRight w:val="0"/>
          <w:marTop w:val="0"/>
          <w:marBottom w:val="0"/>
          <w:divBdr>
            <w:top w:val="none" w:sz="0" w:space="0" w:color="auto"/>
            <w:left w:val="none" w:sz="0" w:space="0" w:color="auto"/>
            <w:bottom w:val="none" w:sz="0" w:space="0" w:color="auto"/>
            <w:right w:val="none" w:sz="0" w:space="0" w:color="auto"/>
          </w:divBdr>
          <w:divsChild>
            <w:div w:id="988053012">
              <w:marLeft w:val="0"/>
              <w:marRight w:val="0"/>
              <w:marTop w:val="0"/>
              <w:marBottom w:val="0"/>
              <w:divBdr>
                <w:top w:val="none" w:sz="0" w:space="0" w:color="auto"/>
                <w:left w:val="none" w:sz="0" w:space="0" w:color="auto"/>
                <w:bottom w:val="none" w:sz="0" w:space="0" w:color="auto"/>
                <w:right w:val="none" w:sz="0" w:space="0" w:color="auto"/>
              </w:divBdr>
              <w:divsChild>
                <w:div w:id="1810122255">
                  <w:marLeft w:val="0"/>
                  <w:marRight w:val="0"/>
                  <w:marTop w:val="0"/>
                  <w:marBottom w:val="0"/>
                  <w:divBdr>
                    <w:top w:val="none" w:sz="0" w:space="0" w:color="auto"/>
                    <w:left w:val="none" w:sz="0" w:space="0" w:color="auto"/>
                    <w:bottom w:val="none" w:sz="0" w:space="0" w:color="auto"/>
                    <w:right w:val="none" w:sz="0" w:space="0" w:color="auto"/>
                  </w:divBdr>
                  <w:divsChild>
                    <w:div w:id="1968268461">
                      <w:marLeft w:val="0"/>
                      <w:marRight w:val="0"/>
                      <w:marTop w:val="0"/>
                      <w:marBottom w:val="0"/>
                      <w:divBdr>
                        <w:top w:val="none" w:sz="0" w:space="0" w:color="auto"/>
                        <w:left w:val="none" w:sz="0" w:space="0" w:color="auto"/>
                        <w:bottom w:val="none" w:sz="0" w:space="0" w:color="auto"/>
                        <w:right w:val="none" w:sz="0" w:space="0" w:color="auto"/>
                      </w:divBdr>
                      <w:divsChild>
                        <w:div w:id="936062001">
                          <w:marLeft w:val="0"/>
                          <w:marRight w:val="0"/>
                          <w:marTop w:val="0"/>
                          <w:marBottom w:val="0"/>
                          <w:divBdr>
                            <w:top w:val="none" w:sz="0" w:space="0" w:color="auto"/>
                            <w:left w:val="none" w:sz="0" w:space="0" w:color="auto"/>
                            <w:bottom w:val="none" w:sz="0" w:space="0" w:color="auto"/>
                            <w:right w:val="none" w:sz="0" w:space="0" w:color="auto"/>
                          </w:divBdr>
                          <w:divsChild>
                            <w:div w:id="1382637606">
                              <w:marLeft w:val="0"/>
                              <w:marRight w:val="0"/>
                              <w:marTop w:val="0"/>
                              <w:marBottom w:val="0"/>
                              <w:divBdr>
                                <w:top w:val="none" w:sz="0" w:space="0" w:color="auto"/>
                                <w:left w:val="none" w:sz="0" w:space="0" w:color="auto"/>
                                <w:bottom w:val="none" w:sz="0" w:space="0" w:color="auto"/>
                                <w:right w:val="none" w:sz="0" w:space="0" w:color="auto"/>
                              </w:divBdr>
                              <w:divsChild>
                                <w:div w:id="1765611947">
                                  <w:marLeft w:val="0"/>
                                  <w:marRight w:val="0"/>
                                  <w:marTop w:val="0"/>
                                  <w:marBottom w:val="0"/>
                                  <w:divBdr>
                                    <w:top w:val="none" w:sz="0" w:space="0" w:color="auto"/>
                                    <w:left w:val="none" w:sz="0" w:space="0" w:color="auto"/>
                                    <w:bottom w:val="none" w:sz="0" w:space="0" w:color="auto"/>
                                    <w:right w:val="none" w:sz="0" w:space="0" w:color="auto"/>
                                  </w:divBdr>
                                  <w:divsChild>
                                    <w:div w:id="1721245727">
                                      <w:marLeft w:val="0"/>
                                      <w:marRight w:val="0"/>
                                      <w:marTop w:val="0"/>
                                      <w:marBottom w:val="0"/>
                                      <w:divBdr>
                                        <w:top w:val="none" w:sz="0" w:space="0" w:color="auto"/>
                                        <w:left w:val="none" w:sz="0" w:space="0" w:color="auto"/>
                                        <w:bottom w:val="none" w:sz="0" w:space="0" w:color="auto"/>
                                        <w:right w:val="none" w:sz="0" w:space="0" w:color="auto"/>
                                      </w:divBdr>
                                      <w:divsChild>
                                        <w:div w:id="2065180867">
                                          <w:marLeft w:val="0"/>
                                          <w:marRight w:val="0"/>
                                          <w:marTop w:val="0"/>
                                          <w:marBottom w:val="0"/>
                                          <w:divBdr>
                                            <w:top w:val="none" w:sz="0" w:space="0" w:color="auto"/>
                                            <w:left w:val="none" w:sz="0" w:space="0" w:color="auto"/>
                                            <w:bottom w:val="none" w:sz="0" w:space="0" w:color="auto"/>
                                            <w:right w:val="none" w:sz="0" w:space="0" w:color="auto"/>
                                          </w:divBdr>
                                          <w:divsChild>
                                            <w:div w:id="765686535">
                                              <w:marLeft w:val="0"/>
                                              <w:marRight w:val="0"/>
                                              <w:marTop w:val="0"/>
                                              <w:marBottom w:val="0"/>
                                              <w:divBdr>
                                                <w:top w:val="none" w:sz="0" w:space="0" w:color="auto"/>
                                                <w:left w:val="none" w:sz="0" w:space="0" w:color="auto"/>
                                                <w:bottom w:val="none" w:sz="0" w:space="0" w:color="auto"/>
                                                <w:right w:val="none" w:sz="0" w:space="0" w:color="auto"/>
                                              </w:divBdr>
                                              <w:divsChild>
                                                <w:div w:id="1571888418">
                                                  <w:marLeft w:val="0"/>
                                                  <w:marRight w:val="0"/>
                                                  <w:marTop w:val="0"/>
                                                  <w:marBottom w:val="0"/>
                                                  <w:divBdr>
                                                    <w:top w:val="none" w:sz="0" w:space="0" w:color="auto"/>
                                                    <w:left w:val="none" w:sz="0" w:space="0" w:color="auto"/>
                                                    <w:bottom w:val="none" w:sz="0" w:space="0" w:color="auto"/>
                                                    <w:right w:val="none" w:sz="0" w:space="0" w:color="auto"/>
                                                  </w:divBdr>
                                                  <w:divsChild>
                                                    <w:div w:id="52266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08781638">
      <w:bodyDiv w:val="1"/>
      <w:marLeft w:val="0"/>
      <w:marRight w:val="0"/>
      <w:marTop w:val="0"/>
      <w:marBottom w:val="0"/>
      <w:divBdr>
        <w:top w:val="none" w:sz="0" w:space="0" w:color="auto"/>
        <w:left w:val="none" w:sz="0" w:space="0" w:color="auto"/>
        <w:bottom w:val="none" w:sz="0" w:space="0" w:color="auto"/>
        <w:right w:val="none" w:sz="0" w:space="0" w:color="auto"/>
      </w:divBdr>
    </w:div>
    <w:div w:id="610011229">
      <w:bodyDiv w:val="1"/>
      <w:marLeft w:val="0"/>
      <w:marRight w:val="0"/>
      <w:marTop w:val="0"/>
      <w:marBottom w:val="0"/>
      <w:divBdr>
        <w:top w:val="none" w:sz="0" w:space="0" w:color="auto"/>
        <w:left w:val="none" w:sz="0" w:space="0" w:color="auto"/>
        <w:bottom w:val="none" w:sz="0" w:space="0" w:color="auto"/>
        <w:right w:val="none" w:sz="0" w:space="0" w:color="auto"/>
      </w:divBdr>
    </w:div>
    <w:div w:id="620501311">
      <w:bodyDiv w:val="1"/>
      <w:marLeft w:val="0"/>
      <w:marRight w:val="0"/>
      <w:marTop w:val="0"/>
      <w:marBottom w:val="0"/>
      <w:divBdr>
        <w:top w:val="none" w:sz="0" w:space="0" w:color="auto"/>
        <w:left w:val="none" w:sz="0" w:space="0" w:color="auto"/>
        <w:bottom w:val="none" w:sz="0" w:space="0" w:color="auto"/>
        <w:right w:val="none" w:sz="0" w:space="0" w:color="auto"/>
      </w:divBdr>
    </w:div>
    <w:div w:id="629941162">
      <w:bodyDiv w:val="1"/>
      <w:marLeft w:val="0"/>
      <w:marRight w:val="0"/>
      <w:marTop w:val="0"/>
      <w:marBottom w:val="0"/>
      <w:divBdr>
        <w:top w:val="none" w:sz="0" w:space="0" w:color="auto"/>
        <w:left w:val="none" w:sz="0" w:space="0" w:color="auto"/>
        <w:bottom w:val="none" w:sz="0" w:space="0" w:color="auto"/>
        <w:right w:val="none" w:sz="0" w:space="0" w:color="auto"/>
      </w:divBdr>
    </w:div>
    <w:div w:id="634868314">
      <w:bodyDiv w:val="1"/>
      <w:marLeft w:val="0"/>
      <w:marRight w:val="0"/>
      <w:marTop w:val="0"/>
      <w:marBottom w:val="0"/>
      <w:divBdr>
        <w:top w:val="none" w:sz="0" w:space="0" w:color="auto"/>
        <w:left w:val="none" w:sz="0" w:space="0" w:color="auto"/>
        <w:bottom w:val="none" w:sz="0" w:space="0" w:color="auto"/>
        <w:right w:val="none" w:sz="0" w:space="0" w:color="auto"/>
      </w:divBdr>
    </w:div>
    <w:div w:id="635070249">
      <w:bodyDiv w:val="1"/>
      <w:marLeft w:val="0"/>
      <w:marRight w:val="0"/>
      <w:marTop w:val="0"/>
      <w:marBottom w:val="0"/>
      <w:divBdr>
        <w:top w:val="none" w:sz="0" w:space="0" w:color="auto"/>
        <w:left w:val="none" w:sz="0" w:space="0" w:color="auto"/>
        <w:bottom w:val="none" w:sz="0" w:space="0" w:color="auto"/>
        <w:right w:val="none" w:sz="0" w:space="0" w:color="auto"/>
      </w:divBdr>
    </w:div>
    <w:div w:id="637690463">
      <w:bodyDiv w:val="1"/>
      <w:marLeft w:val="0"/>
      <w:marRight w:val="0"/>
      <w:marTop w:val="0"/>
      <w:marBottom w:val="0"/>
      <w:divBdr>
        <w:top w:val="none" w:sz="0" w:space="0" w:color="auto"/>
        <w:left w:val="none" w:sz="0" w:space="0" w:color="auto"/>
        <w:bottom w:val="none" w:sz="0" w:space="0" w:color="auto"/>
        <w:right w:val="none" w:sz="0" w:space="0" w:color="auto"/>
      </w:divBdr>
      <w:divsChild>
        <w:div w:id="869224011">
          <w:marLeft w:val="0"/>
          <w:marRight w:val="0"/>
          <w:marTop w:val="0"/>
          <w:marBottom w:val="0"/>
          <w:divBdr>
            <w:top w:val="none" w:sz="0" w:space="0" w:color="auto"/>
            <w:left w:val="none" w:sz="0" w:space="0" w:color="auto"/>
            <w:bottom w:val="none" w:sz="0" w:space="0" w:color="auto"/>
            <w:right w:val="none" w:sz="0" w:space="0" w:color="auto"/>
          </w:divBdr>
        </w:div>
      </w:divsChild>
    </w:div>
    <w:div w:id="649673577">
      <w:bodyDiv w:val="1"/>
      <w:marLeft w:val="0"/>
      <w:marRight w:val="0"/>
      <w:marTop w:val="0"/>
      <w:marBottom w:val="0"/>
      <w:divBdr>
        <w:top w:val="none" w:sz="0" w:space="0" w:color="auto"/>
        <w:left w:val="none" w:sz="0" w:space="0" w:color="auto"/>
        <w:bottom w:val="none" w:sz="0" w:space="0" w:color="auto"/>
        <w:right w:val="none" w:sz="0" w:space="0" w:color="auto"/>
      </w:divBdr>
      <w:divsChild>
        <w:div w:id="88234425">
          <w:marLeft w:val="0"/>
          <w:marRight w:val="0"/>
          <w:marTop w:val="0"/>
          <w:marBottom w:val="0"/>
          <w:divBdr>
            <w:top w:val="none" w:sz="0" w:space="0" w:color="auto"/>
            <w:left w:val="none" w:sz="0" w:space="0" w:color="auto"/>
            <w:bottom w:val="none" w:sz="0" w:space="0" w:color="auto"/>
            <w:right w:val="none" w:sz="0" w:space="0" w:color="auto"/>
          </w:divBdr>
          <w:divsChild>
            <w:div w:id="1177573735">
              <w:marLeft w:val="0"/>
              <w:marRight w:val="0"/>
              <w:marTop w:val="0"/>
              <w:marBottom w:val="0"/>
              <w:divBdr>
                <w:top w:val="none" w:sz="0" w:space="0" w:color="auto"/>
                <w:left w:val="none" w:sz="0" w:space="0" w:color="auto"/>
                <w:bottom w:val="none" w:sz="0" w:space="0" w:color="auto"/>
                <w:right w:val="none" w:sz="0" w:space="0" w:color="auto"/>
              </w:divBdr>
            </w:div>
            <w:div w:id="1423720386">
              <w:marLeft w:val="0"/>
              <w:marRight w:val="0"/>
              <w:marTop w:val="0"/>
              <w:marBottom w:val="0"/>
              <w:divBdr>
                <w:top w:val="none" w:sz="0" w:space="0" w:color="auto"/>
                <w:left w:val="none" w:sz="0" w:space="0" w:color="auto"/>
                <w:bottom w:val="none" w:sz="0" w:space="0" w:color="auto"/>
                <w:right w:val="none" w:sz="0" w:space="0" w:color="auto"/>
              </w:divBdr>
            </w:div>
          </w:divsChild>
        </w:div>
        <w:div w:id="539782797">
          <w:marLeft w:val="0"/>
          <w:marRight w:val="0"/>
          <w:marTop w:val="0"/>
          <w:marBottom w:val="0"/>
          <w:divBdr>
            <w:top w:val="none" w:sz="0" w:space="0" w:color="auto"/>
            <w:left w:val="none" w:sz="0" w:space="0" w:color="auto"/>
            <w:bottom w:val="none" w:sz="0" w:space="0" w:color="auto"/>
            <w:right w:val="none" w:sz="0" w:space="0" w:color="auto"/>
          </w:divBdr>
          <w:divsChild>
            <w:div w:id="732965550">
              <w:marLeft w:val="0"/>
              <w:marRight w:val="0"/>
              <w:marTop w:val="0"/>
              <w:marBottom w:val="0"/>
              <w:divBdr>
                <w:top w:val="none" w:sz="0" w:space="0" w:color="auto"/>
                <w:left w:val="none" w:sz="0" w:space="0" w:color="auto"/>
                <w:bottom w:val="none" w:sz="0" w:space="0" w:color="auto"/>
                <w:right w:val="none" w:sz="0" w:space="0" w:color="auto"/>
              </w:divBdr>
              <w:divsChild>
                <w:div w:id="449401189">
                  <w:marLeft w:val="0"/>
                  <w:marRight w:val="0"/>
                  <w:marTop w:val="0"/>
                  <w:marBottom w:val="0"/>
                  <w:divBdr>
                    <w:top w:val="none" w:sz="0" w:space="0" w:color="auto"/>
                    <w:left w:val="none" w:sz="0" w:space="0" w:color="auto"/>
                    <w:bottom w:val="none" w:sz="0" w:space="0" w:color="auto"/>
                    <w:right w:val="none" w:sz="0" w:space="0" w:color="auto"/>
                  </w:divBdr>
                </w:div>
                <w:div w:id="677346897">
                  <w:marLeft w:val="0"/>
                  <w:marRight w:val="0"/>
                  <w:marTop w:val="0"/>
                  <w:marBottom w:val="0"/>
                  <w:divBdr>
                    <w:top w:val="none" w:sz="0" w:space="0" w:color="auto"/>
                    <w:left w:val="none" w:sz="0" w:space="0" w:color="auto"/>
                    <w:bottom w:val="none" w:sz="0" w:space="0" w:color="auto"/>
                    <w:right w:val="none" w:sz="0" w:space="0" w:color="auto"/>
                  </w:divBdr>
                </w:div>
                <w:div w:id="2131239522">
                  <w:marLeft w:val="0"/>
                  <w:marRight w:val="0"/>
                  <w:marTop w:val="0"/>
                  <w:marBottom w:val="0"/>
                  <w:divBdr>
                    <w:top w:val="none" w:sz="0" w:space="0" w:color="auto"/>
                    <w:left w:val="none" w:sz="0" w:space="0" w:color="auto"/>
                    <w:bottom w:val="none" w:sz="0" w:space="0" w:color="auto"/>
                    <w:right w:val="none" w:sz="0" w:space="0" w:color="auto"/>
                  </w:divBdr>
                </w:div>
              </w:divsChild>
            </w:div>
            <w:div w:id="1591239024">
              <w:marLeft w:val="0"/>
              <w:marRight w:val="0"/>
              <w:marTop w:val="0"/>
              <w:marBottom w:val="0"/>
              <w:divBdr>
                <w:top w:val="none" w:sz="0" w:space="0" w:color="auto"/>
                <w:left w:val="none" w:sz="0" w:space="0" w:color="auto"/>
                <w:bottom w:val="none" w:sz="0" w:space="0" w:color="auto"/>
                <w:right w:val="none" w:sz="0" w:space="0" w:color="auto"/>
              </w:divBdr>
            </w:div>
          </w:divsChild>
        </w:div>
        <w:div w:id="690767488">
          <w:marLeft w:val="0"/>
          <w:marRight w:val="0"/>
          <w:marTop w:val="0"/>
          <w:marBottom w:val="0"/>
          <w:divBdr>
            <w:top w:val="none" w:sz="0" w:space="0" w:color="auto"/>
            <w:left w:val="none" w:sz="0" w:space="0" w:color="auto"/>
            <w:bottom w:val="none" w:sz="0" w:space="0" w:color="auto"/>
            <w:right w:val="none" w:sz="0" w:space="0" w:color="auto"/>
          </w:divBdr>
        </w:div>
        <w:div w:id="926185725">
          <w:marLeft w:val="0"/>
          <w:marRight w:val="0"/>
          <w:marTop w:val="0"/>
          <w:marBottom w:val="0"/>
          <w:divBdr>
            <w:top w:val="none" w:sz="0" w:space="0" w:color="auto"/>
            <w:left w:val="none" w:sz="0" w:space="0" w:color="auto"/>
            <w:bottom w:val="none" w:sz="0" w:space="0" w:color="auto"/>
            <w:right w:val="none" w:sz="0" w:space="0" w:color="auto"/>
          </w:divBdr>
        </w:div>
        <w:div w:id="1698316394">
          <w:marLeft w:val="0"/>
          <w:marRight w:val="0"/>
          <w:marTop w:val="0"/>
          <w:marBottom w:val="0"/>
          <w:divBdr>
            <w:top w:val="none" w:sz="0" w:space="0" w:color="auto"/>
            <w:left w:val="none" w:sz="0" w:space="0" w:color="auto"/>
            <w:bottom w:val="none" w:sz="0" w:space="0" w:color="auto"/>
            <w:right w:val="none" w:sz="0" w:space="0" w:color="auto"/>
          </w:divBdr>
          <w:divsChild>
            <w:div w:id="131291971">
              <w:marLeft w:val="0"/>
              <w:marRight w:val="0"/>
              <w:marTop w:val="0"/>
              <w:marBottom w:val="0"/>
              <w:divBdr>
                <w:top w:val="none" w:sz="0" w:space="0" w:color="auto"/>
                <w:left w:val="none" w:sz="0" w:space="0" w:color="auto"/>
                <w:bottom w:val="none" w:sz="0" w:space="0" w:color="auto"/>
                <w:right w:val="none" w:sz="0" w:space="0" w:color="auto"/>
              </w:divBdr>
            </w:div>
            <w:div w:id="347365133">
              <w:marLeft w:val="0"/>
              <w:marRight w:val="0"/>
              <w:marTop w:val="0"/>
              <w:marBottom w:val="0"/>
              <w:divBdr>
                <w:top w:val="none" w:sz="0" w:space="0" w:color="auto"/>
                <w:left w:val="none" w:sz="0" w:space="0" w:color="auto"/>
                <w:bottom w:val="none" w:sz="0" w:space="0" w:color="auto"/>
                <w:right w:val="none" w:sz="0" w:space="0" w:color="auto"/>
              </w:divBdr>
            </w:div>
            <w:div w:id="377511904">
              <w:marLeft w:val="0"/>
              <w:marRight w:val="0"/>
              <w:marTop w:val="0"/>
              <w:marBottom w:val="0"/>
              <w:divBdr>
                <w:top w:val="none" w:sz="0" w:space="0" w:color="auto"/>
                <w:left w:val="none" w:sz="0" w:space="0" w:color="auto"/>
                <w:bottom w:val="none" w:sz="0" w:space="0" w:color="auto"/>
                <w:right w:val="none" w:sz="0" w:space="0" w:color="auto"/>
              </w:divBdr>
            </w:div>
            <w:div w:id="431316522">
              <w:marLeft w:val="0"/>
              <w:marRight w:val="0"/>
              <w:marTop w:val="0"/>
              <w:marBottom w:val="0"/>
              <w:divBdr>
                <w:top w:val="none" w:sz="0" w:space="0" w:color="auto"/>
                <w:left w:val="none" w:sz="0" w:space="0" w:color="auto"/>
                <w:bottom w:val="none" w:sz="0" w:space="0" w:color="auto"/>
                <w:right w:val="none" w:sz="0" w:space="0" w:color="auto"/>
              </w:divBdr>
            </w:div>
            <w:div w:id="443381990">
              <w:marLeft w:val="0"/>
              <w:marRight w:val="0"/>
              <w:marTop w:val="0"/>
              <w:marBottom w:val="0"/>
              <w:divBdr>
                <w:top w:val="none" w:sz="0" w:space="0" w:color="auto"/>
                <w:left w:val="none" w:sz="0" w:space="0" w:color="auto"/>
                <w:bottom w:val="none" w:sz="0" w:space="0" w:color="auto"/>
                <w:right w:val="none" w:sz="0" w:space="0" w:color="auto"/>
              </w:divBdr>
              <w:divsChild>
                <w:div w:id="8068014">
                  <w:marLeft w:val="0"/>
                  <w:marRight w:val="0"/>
                  <w:marTop w:val="0"/>
                  <w:marBottom w:val="0"/>
                  <w:divBdr>
                    <w:top w:val="none" w:sz="0" w:space="0" w:color="auto"/>
                    <w:left w:val="none" w:sz="0" w:space="0" w:color="auto"/>
                    <w:bottom w:val="none" w:sz="0" w:space="0" w:color="auto"/>
                    <w:right w:val="none" w:sz="0" w:space="0" w:color="auto"/>
                  </w:divBdr>
                </w:div>
                <w:div w:id="8414749">
                  <w:marLeft w:val="0"/>
                  <w:marRight w:val="0"/>
                  <w:marTop w:val="0"/>
                  <w:marBottom w:val="0"/>
                  <w:divBdr>
                    <w:top w:val="none" w:sz="0" w:space="0" w:color="auto"/>
                    <w:left w:val="none" w:sz="0" w:space="0" w:color="auto"/>
                    <w:bottom w:val="none" w:sz="0" w:space="0" w:color="auto"/>
                    <w:right w:val="none" w:sz="0" w:space="0" w:color="auto"/>
                  </w:divBdr>
                </w:div>
                <w:div w:id="1524636654">
                  <w:marLeft w:val="0"/>
                  <w:marRight w:val="0"/>
                  <w:marTop w:val="0"/>
                  <w:marBottom w:val="0"/>
                  <w:divBdr>
                    <w:top w:val="none" w:sz="0" w:space="0" w:color="auto"/>
                    <w:left w:val="none" w:sz="0" w:space="0" w:color="auto"/>
                    <w:bottom w:val="none" w:sz="0" w:space="0" w:color="auto"/>
                    <w:right w:val="none" w:sz="0" w:space="0" w:color="auto"/>
                  </w:divBdr>
                </w:div>
              </w:divsChild>
            </w:div>
            <w:div w:id="522937079">
              <w:marLeft w:val="0"/>
              <w:marRight w:val="0"/>
              <w:marTop w:val="0"/>
              <w:marBottom w:val="0"/>
              <w:divBdr>
                <w:top w:val="none" w:sz="0" w:space="0" w:color="auto"/>
                <w:left w:val="none" w:sz="0" w:space="0" w:color="auto"/>
                <w:bottom w:val="none" w:sz="0" w:space="0" w:color="auto"/>
                <w:right w:val="none" w:sz="0" w:space="0" w:color="auto"/>
              </w:divBdr>
            </w:div>
            <w:div w:id="570580647">
              <w:marLeft w:val="0"/>
              <w:marRight w:val="0"/>
              <w:marTop w:val="0"/>
              <w:marBottom w:val="0"/>
              <w:divBdr>
                <w:top w:val="none" w:sz="0" w:space="0" w:color="auto"/>
                <w:left w:val="none" w:sz="0" w:space="0" w:color="auto"/>
                <w:bottom w:val="none" w:sz="0" w:space="0" w:color="auto"/>
                <w:right w:val="none" w:sz="0" w:space="0" w:color="auto"/>
              </w:divBdr>
            </w:div>
            <w:div w:id="688874986">
              <w:marLeft w:val="0"/>
              <w:marRight w:val="0"/>
              <w:marTop w:val="0"/>
              <w:marBottom w:val="0"/>
              <w:divBdr>
                <w:top w:val="none" w:sz="0" w:space="0" w:color="auto"/>
                <w:left w:val="none" w:sz="0" w:space="0" w:color="auto"/>
                <w:bottom w:val="none" w:sz="0" w:space="0" w:color="auto"/>
                <w:right w:val="none" w:sz="0" w:space="0" w:color="auto"/>
              </w:divBdr>
            </w:div>
            <w:div w:id="739062924">
              <w:marLeft w:val="0"/>
              <w:marRight w:val="0"/>
              <w:marTop w:val="0"/>
              <w:marBottom w:val="0"/>
              <w:divBdr>
                <w:top w:val="none" w:sz="0" w:space="0" w:color="auto"/>
                <w:left w:val="none" w:sz="0" w:space="0" w:color="auto"/>
                <w:bottom w:val="none" w:sz="0" w:space="0" w:color="auto"/>
                <w:right w:val="none" w:sz="0" w:space="0" w:color="auto"/>
              </w:divBdr>
            </w:div>
            <w:div w:id="772824803">
              <w:marLeft w:val="0"/>
              <w:marRight w:val="0"/>
              <w:marTop w:val="0"/>
              <w:marBottom w:val="0"/>
              <w:divBdr>
                <w:top w:val="none" w:sz="0" w:space="0" w:color="auto"/>
                <w:left w:val="none" w:sz="0" w:space="0" w:color="auto"/>
                <w:bottom w:val="none" w:sz="0" w:space="0" w:color="auto"/>
                <w:right w:val="none" w:sz="0" w:space="0" w:color="auto"/>
              </w:divBdr>
            </w:div>
            <w:div w:id="796292063">
              <w:marLeft w:val="0"/>
              <w:marRight w:val="0"/>
              <w:marTop w:val="0"/>
              <w:marBottom w:val="0"/>
              <w:divBdr>
                <w:top w:val="none" w:sz="0" w:space="0" w:color="auto"/>
                <w:left w:val="none" w:sz="0" w:space="0" w:color="auto"/>
                <w:bottom w:val="none" w:sz="0" w:space="0" w:color="auto"/>
                <w:right w:val="none" w:sz="0" w:space="0" w:color="auto"/>
              </w:divBdr>
              <w:divsChild>
                <w:div w:id="335765363">
                  <w:marLeft w:val="0"/>
                  <w:marRight w:val="0"/>
                  <w:marTop w:val="0"/>
                  <w:marBottom w:val="0"/>
                  <w:divBdr>
                    <w:top w:val="none" w:sz="0" w:space="0" w:color="auto"/>
                    <w:left w:val="none" w:sz="0" w:space="0" w:color="auto"/>
                    <w:bottom w:val="none" w:sz="0" w:space="0" w:color="auto"/>
                    <w:right w:val="none" w:sz="0" w:space="0" w:color="auto"/>
                  </w:divBdr>
                  <w:divsChild>
                    <w:div w:id="139465212">
                      <w:marLeft w:val="0"/>
                      <w:marRight w:val="0"/>
                      <w:marTop w:val="0"/>
                      <w:marBottom w:val="0"/>
                      <w:divBdr>
                        <w:top w:val="none" w:sz="0" w:space="0" w:color="auto"/>
                        <w:left w:val="none" w:sz="0" w:space="0" w:color="auto"/>
                        <w:bottom w:val="none" w:sz="0" w:space="0" w:color="auto"/>
                        <w:right w:val="none" w:sz="0" w:space="0" w:color="auto"/>
                      </w:divBdr>
                    </w:div>
                    <w:div w:id="258220210">
                      <w:marLeft w:val="0"/>
                      <w:marRight w:val="0"/>
                      <w:marTop w:val="0"/>
                      <w:marBottom w:val="0"/>
                      <w:divBdr>
                        <w:top w:val="none" w:sz="0" w:space="0" w:color="auto"/>
                        <w:left w:val="none" w:sz="0" w:space="0" w:color="auto"/>
                        <w:bottom w:val="none" w:sz="0" w:space="0" w:color="auto"/>
                        <w:right w:val="none" w:sz="0" w:space="0" w:color="auto"/>
                      </w:divBdr>
                    </w:div>
                    <w:div w:id="1871675001">
                      <w:marLeft w:val="0"/>
                      <w:marRight w:val="0"/>
                      <w:marTop w:val="0"/>
                      <w:marBottom w:val="0"/>
                      <w:divBdr>
                        <w:top w:val="none" w:sz="0" w:space="0" w:color="auto"/>
                        <w:left w:val="none" w:sz="0" w:space="0" w:color="auto"/>
                        <w:bottom w:val="none" w:sz="0" w:space="0" w:color="auto"/>
                        <w:right w:val="none" w:sz="0" w:space="0" w:color="auto"/>
                      </w:divBdr>
                    </w:div>
                    <w:div w:id="1960718847">
                      <w:marLeft w:val="0"/>
                      <w:marRight w:val="0"/>
                      <w:marTop w:val="0"/>
                      <w:marBottom w:val="0"/>
                      <w:divBdr>
                        <w:top w:val="none" w:sz="0" w:space="0" w:color="auto"/>
                        <w:left w:val="none" w:sz="0" w:space="0" w:color="auto"/>
                        <w:bottom w:val="none" w:sz="0" w:space="0" w:color="auto"/>
                        <w:right w:val="none" w:sz="0" w:space="0" w:color="auto"/>
                      </w:divBdr>
                    </w:div>
                  </w:divsChild>
                </w:div>
                <w:div w:id="336275848">
                  <w:marLeft w:val="0"/>
                  <w:marRight w:val="0"/>
                  <w:marTop w:val="0"/>
                  <w:marBottom w:val="0"/>
                  <w:divBdr>
                    <w:top w:val="none" w:sz="0" w:space="0" w:color="auto"/>
                    <w:left w:val="none" w:sz="0" w:space="0" w:color="auto"/>
                    <w:bottom w:val="none" w:sz="0" w:space="0" w:color="auto"/>
                    <w:right w:val="none" w:sz="0" w:space="0" w:color="auto"/>
                  </w:divBdr>
                </w:div>
                <w:div w:id="352222262">
                  <w:marLeft w:val="0"/>
                  <w:marRight w:val="0"/>
                  <w:marTop w:val="0"/>
                  <w:marBottom w:val="0"/>
                  <w:divBdr>
                    <w:top w:val="none" w:sz="0" w:space="0" w:color="auto"/>
                    <w:left w:val="none" w:sz="0" w:space="0" w:color="auto"/>
                    <w:bottom w:val="none" w:sz="0" w:space="0" w:color="auto"/>
                    <w:right w:val="none" w:sz="0" w:space="0" w:color="auto"/>
                  </w:divBdr>
                  <w:divsChild>
                    <w:div w:id="560988504">
                      <w:marLeft w:val="0"/>
                      <w:marRight w:val="0"/>
                      <w:marTop w:val="0"/>
                      <w:marBottom w:val="0"/>
                      <w:divBdr>
                        <w:top w:val="none" w:sz="0" w:space="0" w:color="auto"/>
                        <w:left w:val="none" w:sz="0" w:space="0" w:color="auto"/>
                        <w:bottom w:val="none" w:sz="0" w:space="0" w:color="auto"/>
                        <w:right w:val="none" w:sz="0" w:space="0" w:color="auto"/>
                      </w:divBdr>
                      <w:divsChild>
                        <w:div w:id="998070978">
                          <w:marLeft w:val="0"/>
                          <w:marRight w:val="0"/>
                          <w:marTop w:val="0"/>
                          <w:marBottom w:val="0"/>
                          <w:divBdr>
                            <w:top w:val="none" w:sz="0" w:space="0" w:color="auto"/>
                            <w:left w:val="none" w:sz="0" w:space="0" w:color="auto"/>
                            <w:bottom w:val="none" w:sz="0" w:space="0" w:color="auto"/>
                            <w:right w:val="none" w:sz="0" w:space="0" w:color="auto"/>
                          </w:divBdr>
                        </w:div>
                        <w:div w:id="1659771967">
                          <w:marLeft w:val="0"/>
                          <w:marRight w:val="0"/>
                          <w:marTop w:val="0"/>
                          <w:marBottom w:val="0"/>
                          <w:divBdr>
                            <w:top w:val="none" w:sz="0" w:space="0" w:color="auto"/>
                            <w:left w:val="none" w:sz="0" w:space="0" w:color="auto"/>
                            <w:bottom w:val="none" w:sz="0" w:space="0" w:color="auto"/>
                            <w:right w:val="none" w:sz="0" w:space="0" w:color="auto"/>
                          </w:divBdr>
                        </w:div>
                      </w:divsChild>
                    </w:div>
                    <w:div w:id="937328147">
                      <w:marLeft w:val="0"/>
                      <w:marRight w:val="0"/>
                      <w:marTop w:val="0"/>
                      <w:marBottom w:val="0"/>
                      <w:divBdr>
                        <w:top w:val="none" w:sz="0" w:space="0" w:color="auto"/>
                        <w:left w:val="none" w:sz="0" w:space="0" w:color="auto"/>
                        <w:bottom w:val="none" w:sz="0" w:space="0" w:color="auto"/>
                        <w:right w:val="none" w:sz="0" w:space="0" w:color="auto"/>
                      </w:divBdr>
                      <w:divsChild>
                        <w:div w:id="179711117">
                          <w:marLeft w:val="0"/>
                          <w:marRight w:val="0"/>
                          <w:marTop w:val="0"/>
                          <w:marBottom w:val="0"/>
                          <w:divBdr>
                            <w:top w:val="none" w:sz="0" w:space="0" w:color="auto"/>
                            <w:left w:val="none" w:sz="0" w:space="0" w:color="auto"/>
                            <w:bottom w:val="none" w:sz="0" w:space="0" w:color="auto"/>
                            <w:right w:val="none" w:sz="0" w:space="0" w:color="auto"/>
                          </w:divBdr>
                        </w:div>
                        <w:div w:id="556360606">
                          <w:marLeft w:val="0"/>
                          <w:marRight w:val="0"/>
                          <w:marTop w:val="0"/>
                          <w:marBottom w:val="0"/>
                          <w:divBdr>
                            <w:top w:val="none" w:sz="0" w:space="0" w:color="auto"/>
                            <w:left w:val="none" w:sz="0" w:space="0" w:color="auto"/>
                            <w:bottom w:val="none" w:sz="0" w:space="0" w:color="auto"/>
                            <w:right w:val="none" w:sz="0" w:space="0" w:color="auto"/>
                          </w:divBdr>
                          <w:divsChild>
                            <w:div w:id="506485157">
                              <w:marLeft w:val="0"/>
                              <w:marRight w:val="0"/>
                              <w:marTop w:val="0"/>
                              <w:marBottom w:val="0"/>
                              <w:divBdr>
                                <w:top w:val="none" w:sz="0" w:space="0" w:color="auto"/>
                                <w:left w:val="none" w:sz="0" w:space="0" w:color="auto"/>
                                <w:bottom w:val="none" w:sz="0" w:space="0" w:color="auto"/>
                                <w:right w:val="none" w:sz="0" w:space="0" w:color="auto"/>
                              </w:divBdr>
                            </w:div>
                            <w:div w:id="557865838">
                              <w:marLeft w:val="0"/>
                              <w:marRight w:val="0"/>
                              <w:marTop w:val="0"/>
                              <w:marBottom w:val="0"/>
                              <w:divBdr>
                                <w:top w:val="none" w:sz="0" w:space="0" w:color="auto"/>
                                <w:left w:val="none" w:sz="0" w:space="0" w:color="auto"/>
                                <w:bottom w:val="none" w:sz="0" w:space="0" w:color="auto"/>
                                <w:right w:val="none" w:sz="0" w:space="0" w:color="auto"/>
                              </w:divBdr>
                            </w:div>
                          </w:divsChild>
                        </w:div>
                        <w:div w:id="591209695">
                          <w:marLeft w:val="0"/>
                          <w:marRight w:val="0"/>
                          <w:marTop w:val="0"/>
                          <w:marBottom w:val="0"/>
                          <w:divBdr>
                            <w:top w:val="none" w:sz="0" w:space="0" w:color="auto"/>
                            <w:left w:val="none" w:sz="0" w:space="0" w:color="auto"/>
                            <w:bottom w:val="none" w:sz="0" w:space="0" w:color="auto"/>
                            <w:right w:val="none" w:sz="0" w:space="0" w:color="auto"/>
                          </w:divBdr>
                        </w:div>
                        <w:div w:id="723024273">
                          <w:marLeft w:val="0"/>
                          <w:marRight w:val="0"/>
                          <w:marTop w:val="0"/>
                          <w:marBottom w:val="0"/>
                          <w:divBdr>
                            <w:top w:val="none" w:sz="0" w:space="0" w:color="auto"/>
                            <w:left w:val="none" w:sz="0" w:space="0" w:color="auto"/>
                            <w:bottom w:val="none" w:sz="0" w:space="0" w:color="auto"/>
                            <w:right w:val="none" w:sz="0" w:space="0" w:color="auto"/>
                          </w:divBdr>
                        </w:div>
                        <w:div w:id="738289110">
                          <w:marLeft w:val="0"/>
                          <w:marRight w:val="0"/>
                          <w:marTop w:val="0"/>
                          <w:marBottom w:val="0"/>
                          <w:divBdr>
                            <w:top w:val="none" w:sz="0" w:space="0" w:color="auto"/>
                            <w:left w:val="none" w:sz="0" w:space="0" w:color="auto"/>
                            <w:bottom w:val="none" w:sz="0" w:space="0" w:color="auto"/>
                            <w:right w:val="none" w:sz="0" w:space="0" w:color="auto"/>
                          </w:divBdr>
                        </w:div>
                        <w:div w:id="946892854">
                          <w:marLeft w:val="0"/>
                          <w:marRight w:val="0"/>
                          <w:marTop w:val="0"/>
                          <w:marBottom w:val="0"/>
                          <w:divBdr>
                            <w:top w:val="none" w:sz="0" w:space="0" w:color="auto"/>
                            <w:left w:val="none" w:sz="0" w:space="0" w:color="auto"/>
                            <w:bottom w:val="none" w:sz="0" w:space="0" w:color="auto"/>
                            <w:right w:val="none" w:sz="0" w:space="0" w:color="auto"/>
                          </w:divBdr>
                        </w:div>
                        <w:div w:id="966930350">
                          <w:marLeft w:val="0"/>
                          <w:marRight w:val="0"/>
                          <w:marTop w:val="0"/>
                          <w:marBottom w:val="0"/>
                          <w:divBdr>
                            <w:top w:val="none" w:sz="0" w:space="0" w:color="auto"/>
                            <w:left w:val="none" w:sz="0" w:space="0" w:color="auto"/>
                            <w:bottom w:val="none" w:sz="0" w:space="0" w:color="auto"/>
                            <w:right w:val="none" w:sz="0" w:space="0" w:color="auto"/>
                          </w:divBdr>
                        </w:div>
                        <w:div w:id="1163356258">
                          <w:marLeft w:val="0"/>
                          <w:marRight w:val="0"/>
                          <w:marTop w:val="0"/>
                          <w:marBottom w:val="0"/>
                          <w:divBdr>
                            <w:top w:val="none" w:sz="0" w:space="0" w:color="auto"/>
                            <w:left w:val="none" w:sz="0" w:space="0" w:color="auto"/>
                            <w:bottom w:val="none" w:sz="0" w:space="0" w:color="auto"/>
                            <w:right w:val="none" w:sz="0" w:space="0" w:color="auto"/>
                          </w:divBdr>
                        </w:div>
                        <w:div w:id="1254046265">
                          <w:marLeft w:val="0"/>
                          <w:marRight w:val="0"/>
                          <w:marTop w:val="0"/>
                          <w:marBottom w:val="0"/>
                          <w:divBdr>
                            <w:top w:val="none" w:sz="0" w:space="0" w:color="auto"/>
                            <w:left w:val="none" w:sz="0" w:space="0" w:color="auto"/>
                            <w:bottom w:val="none" w:sz="0" w:space="0" w:color="auto"/>
                            <w:right w:val="none" w:sz="0" w:space="0" w:color="auto"/>
                          </w:divBdr>
                        </w:div>
                        <w:div w:id="1689988496">
                          <w:marLeft w:val="0"/>
                          <w:marRight w:val="0"/>
                          <w:marTop w:val="0"/>
                          <w:marBottom w:val="0"/>
                          <w:divBdr>
                            <w:top w:val="none" w:sz="0" w:space="0" w:color="auto"/>
                            <w:left w:val="none" w:sz="0" w:space="0" w:color="auto"/>
                            <w:bottom w:val="none" w:sz="0" w:space="0" w:color="auto"/>
                            <w:right w:val="none" w:sz="0" w:space="0" w:color="auto"/>
                          </w:divBdr>
                        </w:div>
                        <w:div w:id="1933581492">
                          <w:marLeft w:val="0"/>
                          <w:marRight w:val="0"/>
                          <w:marTop w:val="0"/>
                          <w:marBottom w:val="0"/>
                          <w:divBdr>
                            <w:top w:val="none" w:sz="0" w:space="0" w:color="auto"/>
                            <w:left w:val="none" w:sz="0" w:space="0" w:color="auto"/>
                            <w:bottom w:val="none" w:sz="0" w:space="0" w:color="auto"/>
                            <w:right w:val="none" w:sz="0" w:space="0" w:color="auto"/>
                          </w:divBdr>
                        </w:div>
                        <w:div w:id="204119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502647">
                  <w:marLeft w:val="0"/>
                  <w:marRight w:val="0"/>
                  <w:marTop w:val="0"/>
                  <w:marBottom w:val="0"/>
                  <w:divBdr>
                    <w:top w:val="none" w:sz="0" w:space="0" w:color="auto"/>
                    <w:left w:val="none" w:sz="0" w:space="0" w:color="auto"/>
                    <w:bottom w:val="none" w:sz="0" w:space="0" w:color="auto"/>
                    <w:right w:val="none" w:sz="0" w:space="0" w:color="auto"/>
                  </w:divBdr>
                  <w:divsChild>
                    <w:div w:id="570163334">
                      <w:marLeft w:val="0"/>
                      <w:marRight w:val="0"/>
                      <w:marTop w:val="0"/>
                      <w:marBottom w:val="0"/>
                      <w:divBdr>
                        <w:top w:val="none" w:sz="0" w:space="0" w:color="auto"/>
                        <w:left w:val="none" w:sz="0" w:space="0" w:color="auto"/>
                        <w:bottom w:val="none" w:sz="0" w:space="0" w:color="auto"/>
                        <w:right w:val="none" w:sz="0" w:space="0" w:color="auto"/>
                      </w:divBdr>
                    </w:div>
                    <w:div w:id="656571581">
                      <w:marLeft w:val="0"/>
                      <w:marRight w:val="0"/>
                      <w:marTop w:val="0"/>
                      <w:marBottom w:val="0"/>
                      <w:divBdr>
                        <w:top w:val="none" w:sz="0" w:space="0" w:color="auto"/>
                        <w:left w:val="none" w:sz="0" w:space="0" w:color="auto"/>
                        <w:bottom w:val="none" w:sz="0" w:space="0" w:color="auto"/>
                        <w:right w:val="none" w:sz="0" w:space="0" w:color="auto"/>
                      </w:divBdr>
                    </w:div>
                    <w:div w:id="1965309317">
                      <w:marLeft w:val="0"/>
                      <w:marRight w:val="0"/>
                      <w:marTop w:val="0"/>
                      <w:marBottom w:val="0"/>
                      <w:divBdr>
                        <w:top w:val="none" w:sz="0" w:space="0" w:color="auto"/>
                        <w:left w:val="none" w:sz="0" w:space="0" w:color="auto"/>
                        <w:bottom w:val="none" w:sz="0" w:space="0" w:color="auto"/>
                        <w:right w:val="none" w:sz="0" w:space="0" w:color="auto"/>
                      </w:divBdr>
                    </w:div>
                  </w:divsChild>
                </w:div>
                <w:div w:id="1500610015">
                  <w:marLeft w:val="0"/>
                  <w:marRight w:val="0"/>
                  <w:marTop w:val="0"/>
                  <w:marBottom w:val="0"/>
                  <w:divBdr>
                    <w:top w:val="none" w:sz="0" w:space="0" w:color="auto"/>
                    <w:left w:val="none" w:sz="0" w:space="0" w:color="auto"/>
                    <w:bottom w:val="none" w:sz="0" w:space="0" w:color="auto"/>
                    <w:right w:val="none" w:sz="0" w:space="0" w:color="auto"/>
                  </w:divBdr>
                </w:div>
                <w:div w:id="1521965479">
                  <w:marLeft w:val="0"/>
                  <w:marRight w:val="0"/>
                  <w:marTop w:val="0"/>
                  <w:marBottom w:val="0"/>
                  <w:divBdr>
                    <w:top w:val="none" w:sz="0" w:space="0" w:color="auto"/>
                    <w:left w:val="none" w:sz="0" w:space="0" w:color="auto"/>
                    <w:bottom w:val="none" w:sz="0" w:space="0" w:color="auto"/>
                    <w:right w:val="none" w:sz="0" w:space="0" w:color="auto"/>
                  </w:divBdr>
                </w:div>
                <w:div w:id="1770391347">
                  <w:marLeft w:val="0"/>
                  <w:marRight w:val="0"/>
                  <w:marTop w:val="0"/>
                  <w:marBottom w:val="0"/>
                  <w:divBdr>
                    <w:top w:val="none" w:sz="0" w:space="0" w:color="auto"/>
                    <w:left w:val="none" w:sz="0" w:space="0" w:color="auto"/>
                    <w:bottom w:val="none" w:sz="0" w:space="0" w:color="auto"/>
                    <w:right w:val="none" w:sz="0" w:space="0" w:color="auto"/>
                  </w:divBdr>
                </w:div>
              </w:divsChild>
            </w:div>
            <w:div w:id="829298063">
              <w:marLeft w:val="0"/>
              <w:marRight w:val="0"/>
              <w:marTop w:val="0"/>
              <w:marBottom w:val="0"/>
              <w:divBdr>
                <w:top w:val="none" w:sz="0" w:space="0" w:color="auto"/>
                <w:left w:val="none" w:sz="0" w:space="0" w:color="auto"/>
                <w:bottom w:val="none" w:sz="0" w:space="0" w:color="auto"/>
                <w:right w:val="none" w:sz="0" w:space="0" w:color="auto"/>
              </w:divBdr>
            </w:div>
            <w:div w:id="914432663">
              <w:marLeft w:val="0"/>
              <w:marRight w:val="0"/>
              <w:marTop w:val="0"/>
              <w:marBottom w:val="0"/>
              <w:divBdr>
                <w:top w:val="none" w:sz="0" w:space="0" w:color="auto"/>
                <w:left w:val="none" w:sz="0" w:space="0" w:color="auto"/>
                <w:bottom w:val="none" w:sz="0" w:space="0" w:color="auto"/>
                <w:right w:val="none" w:sz="0" w:space="0" w:color="auto"/>
              </w:divBdr>
            </w:div>
            <w:div w:id="940527671">
              <w:marLeft w:val="0"/>
              <w:marRight w:val="0"/>
              <w:marTop w:val="0"/>
              <w:marBottom w:val="0"/>
              <w:divBdr>
                <w:top w:val="none" w:sz="0" w:space="0" w:color="auto"/>
                <w:left w:val="none" w:sz="0" w:space="0" w:color="auto"/>
                <w:bottom w:val="none" w:sz="0" w:space="0" w:color="auto"/>
                <w:right w:val="none" w:sz="0" w:space="0" w:color="auto"/>
              </w:divBdr>
              <w:divsChild>
                <w:div w:id="662052461">
                  <w:marLeft w:val="0"/>
                  <w:marRight w:val="0"/>
                  <w:marTop w:val="0"/>
                  <w:marBottom w:val="0"/>
                  <w:divBdr>
                    <w:top w:val="none" w:sz="0" w:space="0" w:color="auto"/>
                    <w:left w:val="none" w:sz="0" w:space="0" w:color="auto"/>
                    <w:bottom w:val="none" w:sz="0" w:space="0" w:color="auto"/>
                    <w:right w:val="none" w:sz="0" w:space="0" w:color="auto"/>
                  </w:divBdr>
                </w:div>
                <w:div w:id="1114328968">
                  <w:marLeft w:val="0"/>
                  <w:marRight w:val="0"/>
                  <w:marTop w:val="0"/>
                  <w:marBottom w:val="0"/>
                  <w:divBdr>
                    <w:top w:val="none" w:sz="0" w:space="0" w:color="auto"/>
                    <w:left w:val="none" w:sz="0" w:space="0" w:color="auto"/>
                    <w:bottom w:val="none" w:sz="0" w:space="0" w:color="auto"/>
                    <w:right w:val="none" w:sz="0" w:space="0" w:color="auto"/>
                  </w:divBdr>
                </w:div>
                <w:div w:id="1176312452">
                  <w:marLeft w:val="0"/>
                  <w:marRight w:val="0"/>
                  <w:marTop w:val="0"/>
                  <w:marBottom w:val="0"/>
                  <w:divBdr>
                    <w:top w:val="none" w:sz="0" w:space="0" w:color="auto"/>
                    <w:left w:val="none" w:sz="0" w:space="0" w:color="auto"/>
                    <w:bottom w:val="none" w:sz="0" w:space="0" w:color="auto"/>
                    <w:right w:val="none" w:sz="0" w:space="0" w:color="auto"/>
                  </w:divBdr>
                </w:div>
                <w:div w:id="1218660138">
                  <w:marLeft w:val="0"/>
                  <w:marRight w:val="0"/>
                  <w:marTop w:val="0"/>
                  <w:marBottom w:val="0"/>
                  <w:divBdr>
                    <w:top w:val="none" w:sz="0" w:space="0" w:color="auto"/>
                    <w:left w:val="none" w:sz="0" w:space="0" w:color="auto"/>
                    <w:bottom w:val="none" w:sz="0" w:space="0" w:color="auto"/>
                    <w:right w:val="none" w:sz="0" w:space="0" w:color="auto"/>
                  </w:divBdr>
                </w:div>
                <w:div w:id="1281759476">
                  <w:marLeft w:val="0"/>
                  <w:marRight w:val="0"/>
                  <w:marTop w:val="0"/>
                  <w:marBottom w:val="0"/>
                  <w:divBdr>
                    <w:top w:val="none" w:sz="0" w:space="0" w:color="auto"/>
                    <w:left w:val="none" w:sz="0" w:space="0" w:color="auto"/>
                    <w:bottom w:val="none" w:sz="0" w:space="0" w:color="auto"/>
                    <w:right w:val="none" w:sz="0" w:space="0" w:color="auto"/>
                  </w:divBdr>
                </w:div>
                <w:div w:id="1757241119">
                  <w:marLeft w:val="0"/>
                  <w:marRight w:val="0"/>
                  <w:marTop w:val="0"/>
                  <w:marBottom w:val="0"/>
                  <w:divBdr>
                    <w:top w:val="none" w:sz="0" w:space="0" w:color="auto"/>
                    <w:left w:val="none" w:sz="0" w:space="0" w:color="auto"/>
                    <w:bottom w:val="none" w:sz="0" w:space="0" w:color="auto"/>
                    <w:right w:val="none" w:sz="0" w:space="0" w:color="auto"/>
                  </w:divBdr>
                </w:div>
              </w:divsChild>
            </w:div>
            <w:div w:id="975137223">
              <w:marLeft w:val="0"/>
              <w:marRight w:val="0"/>
              <w:marTop w:val="0"/>
              <w:marBottom w:val="0"/>
              <w:divBdr>
                <w:top w:val="none" w:sz="0" w:space="0" w:color="auto"/>
                <w:left w:val="none" w:sz="0" w:space="0" w:color="auto"/>
                <w:bottom w:val="none" w:sz="0" w:space="0" w:color="auto"/>
                <w:right w:val="none" w:sz="0" w:space="0" w:color="auto"/>
              </w:divBdr>
            </w:div>
            <w:div w:id="1110201323">
              <w:marLeft w:val="0"/>
              <w:marRight w:val="0"/>
              <w:marTop w:val="0"/>
              <w:marBottom w:val="0"/>
              <w:divBdr>
                <w:top w:val="none" w:sz="0" w:space="0" w:color="auto"/>
                <w:left w:val="none" w:sz="0" w:space="0" w:color="auto"/>
                <w:bottom w:val="none" w:sz="0" w:space="0" w:color="auto"/>
                <w:right w:val="none" w:sz="0" w:space="0" w:color="auto"/>
              </w:divBdr>
            </w:div>
            <w:div w:id="1144397850">
              <w:marLeft w:val="0"/>
              <w:marRight w:val="0"/>
              <w:marTop w:val="0"/>
              <w:marBottom w:val="0"/>
              <w:divBdr>
                <w:top w:val="none" w:sz="0" w:space="0" w:color="auto"/>
                <w:left w:val="none" w:sz="0" w:space="0" w:color="auto"/>
                <w:bottom w:val="none" w:sz="0" w:space="0" w:color="auto"/>
                <w:right w:val="none" w:sz="0" w:space="0" w:color="auto"/>
              </w:divBdr>
            </w:div>
            <w:div w:id="1252274651">
              <w:marLeft w:val="0"/>
              <w:marRight w:val="0"/>
              <w:marTop w:val="0"/>
              <w:marBottom w:val="0"/>
              <w:divBdr>
                <w:top w:val="none" w:sz="0" w:space="0" w:color="auto"/>
                <w:left w:val="none" w:sz="0" w:space="0" w:color="auto"/>
                <w:bottom w:val="none" w:sz="0" w:space="0" w:color="auto"/>
                <w:right w:val="none" w:sz="0" w:space="0" w:color="auto"/>
              </w:divBdr>
              <w:divsChild>
                <w:div w:id="253587052">
                  <w:marLeft w:val="0"/>
                  <w:marRight w:val="0"/>
                  <w:marTop w:val="0"/>
                  <w:marBottom w:val="0"/>
                  <w:divBdr>
                    <w:top w:val="none" w:sz="0" w:space="0" w:color="auto"/>
                    <w:left w:val="none" w:sz="0" w:space="0" w:color="auto"/>
                    <w:bottom w:val="none" w:sz="0" w:space="0" w:color="auto"/>
                    <w:right w:val="none" w:sz="0" w:space="0" w:color="auto"/>
                  </w:divBdr>
                </w:div>
                <w:div w:id="435911440">
                  <w:marLeft w:val="0"/>
                  <w:marRight w:val="0"/>
                  <w:marTop w:val="0"/>
                  <w:marBottom w:val="0"/>
                  <w:divBdr>
                    <w:top w:val="none" w:sz="0" w:space="0" w:color="auto"/>
                    <w:left w:val="none" w:sz="0" w:space="0" w:color="auto"/>
                    <w:bottom w:val="none" w:sz="0" w:space="0" w:color="auto"/>
                    <w:right w:val="none" w:sz="0" w:space="0" w:color="auto"/>
                  </w:divBdr>
                </w:div>
                <w:div w:id="687289605">
                  <w:marLeft w:val="0"/>
                  <w:marRight w:val="0"/>
                  <w:marTop w:val="0"/>
                  <w:marBottom w:val="0"/>
                  <w:divBdr>
                    <w:top w:val="none" w:sz="0" w:space="0" w:color="auto"/>
                    <w:left w:val="none" w:sz="0" w:space="0" w:color="auto"/>
                    <w:bottom w:val="none" w:sz="0" w:space="0" w:color="auto"/>
                    <w:right w:val="none" w:sz="0" w:space="0" w:color="auto"/>
                  </w:divBdr>
                </w:div>
                <w:div w:id="1177379705">
                  <w:marLeft w:val="0"/>
                  <w:marRight w:val="0"/>
                  <w:marTop w:val="0"/>
                  <w:marBottom w:val="0"/>
                  <w:divBdr>
                    <w:top w:val="none" w:sz="0" w:space="0" w:color="auto"/>
                    <w:left w:val="none" w:sz="0" w:space="0" w:color="auto"/>
                    <w:bottom w:val="none" w:sz="0" w:space="0" w:color="auto"/>
                    <w:right w:val="none" w:sz="0" w:space="0" w:color="auto"/>
                  </w:divBdr>
                </w:div>
                <w:div w:id="1582639768">
                  <w:marLeft w:val="0"/>
                  <w:marRight w:val="0"/>
                  <w:marTop w:val="0"/>
                  <w:marBottom w:val="0"/>
                  <w:divBdr>
                    <w:top w:val="none" w:sz="0" w:space="0" w:color="auto"/>
                    <w:left w:val="none" w:sz="0" w:space="0" w:color="auto"/>
                    <w:bottom w:val="none" w:sz="0" w:space="0" w:color="auto"/>
                    <w:right w:val="none" w:sz="0" w:space="0" w:color="auto"/>
                  </w:divBdr>
                </w:div>
              </w:divsChild>
            </w:div>
            <w:div w:id="1287152591">
              <w:marLeft w:val="0"/>
              <w:marRight w:val="0"/>
              <w:marTop w:val="0"/>
              <w:marBottom w:val="0"/>
              <w:divBdr>
                <w:top w:val="none" w:sz="0" w:space="0" w:color="auto"/>
                <w:left w:val="none" w:sz="0" w:space="0" w:color="auto"/>
                <w:bottom w:val="none" w:sz="0" w:space="0" w:color="auto"/>
                <w:right w:val="none" w:sz="0" w:space="0" w:color="auto"/>
              </w:divBdr>
            </w:div>
            <w:div w:id="1287272401">
              <w:marLeft w:val="0"/>
              <w:marRight w:val="0"/>
              <w:marTop w:val="0"/>
              <w:marBottom w:val="0"/>
              <w:divBdr>
                <w:top w:val="none" w:sz="0" w:space="0" w:color="auto"/>
                <w:left w:val="none" w:sz="0" w:space="0" w:color="auto"/>
                <w:bottom w:val="none" w:sz="0" w:space="0" w:color="auto"/>
                <w:right w:val="none" w:sz="0" w:space="0" w:color="auto"/>
              </w:divBdr>
            </w:div>
            <w:div w:id="1290283825">
              <w:marLeft w:val="0"/>
              <w:marRight w:val="0"/>
              <w:marTop w:val="0"/>
              <w:marBottom w:val="0"/>
              <w:divBdr>
                <w:top w:val="none" w:sz="0" w:space="0" w:color="auto"/>
                <w:left w:val="none" w:sz="0" w:space="0" w:color="auto"/>
                <w:bottom w:val="none" w:sz="0" w:space="0" w:color="auto"/>
                <w:right w:val="none" w:sz="0" w:space="0" w:color="auto"/>
              </w:divBdr>
            </w:div>
            <w:div w:id="1376345332">
              <w:marLeft w:val="0"/>
              <w:marRight w:val="0"/>
              <w:marTop w:val="0"/>
              <w:marBottom w:val="0"/>
              <w:divBdr>
                <w:top w:val="none" w:sz="0" w:space="0" w:color="auto"/>
                <w:left w:val="none" w:sz="0" w:space="0" w:color="auto"/>
                <w:bottom w:val="none" w:sz="0" w:space="0" w:color="auto"/>
                <w:right w:val="none" w:sz="0" w:space="0" w:color="auto"/>
              </w:divBdr>
            </w:div>
            <w:div w:id="1414929820">
              <w:marLeft w:val="0"/>
              <w:marRight w:val="0"/>
              <w:marTop w:val="0"/>
              <w:marBottom w:val="0"/>
              <w:divBdr>
                <w:top w:val="none" w:sz="0" w:space="0" w:color="auto"/>
                <w:left w:val="none" w:sz="0" w:space="0" w:color="auto"/>
                <w:bottom w:val="none" w:sz="0" w:space="0" w:color="auto"/>
                <w:right w:val="none" w:sz="0" w:space="0" w:color="auto"/>
              </w:divBdr>
            </w:div>
            <w:div w:id="1455977946">
              <w:marLeft w:val="0"/>
              <w:marRight w:val="0"/>
              <w:marTop w:val="0"/>
              <w:marBottom w:val="0"/>
              <w:divBdr>
                <w:top w:val="none" w:sz="0" w:space="0" w:color="auto"/>
                <w:left w:val="none" w:sz="0" w:space="0" w:color="auto"/>
                <w:bottom w:val="none" w:sz="0" w:space="0" w:color="auto"/>
                <w:right w:val="none" w:sz="0" w:space="0" w:color="auto"/>
              </w:divBdr>
            </w:div>
            <w:div w:id="1466924471">
              <w:marLeft w:val="0"/>
              <w:marRight w:val="0"/>
              <w:marTop w:val="0"/>
              <w:marBottom w:val="0"/>
              <w:divBdr>
                <w:top w:val="none" w:sz="0" w:space="0" w:color="auto"/>
                <w:left w:val="none" w:sz="0" w:space="0" w:color="auto"/>
                <w:bottom w:val="none" w:sz="0" w:space="0" w:color="auto"/>
                <w:right w:val="none" w:sz="0" w:space="0" w:color="auto"/>
              </w:divBdr>
            </w:div>
            <w:div w:id="1655528440">
              <w:marLeft w:val="0"/>
              <w:marRight w:val="0"/>
              <w:marTop w:val="0"/>
              <w:marBottom w:val="0"/>
              <w:divBdr>
                <w:top w:val="none" w:sz="0" w:space="0" w:color="auto"/>
                <w:left w:val="none" w:sz="0" w:space="0" w:color="auto"/>
                <w:bottom w:val="none" w:sz="0" w:space="0" w:color="auto"/>
                <w:right w:val="none" w:sz="0" w:space="0" w:color="auto"/>
              </w:divBdr>
            </w:div>
            <w:div w:id="1726564284">
              <w:marLeft w:val="0"/>
              <w:marRight w:val="0"/>
              <w:marTop w:val="0"/>
              <w:marBottom w:val="0"/>
              <w:divBdr>
                <w:top w:val="none" w:sz="0" w:space="0" w:color="auto"/>
                <w:left w:val="none" w:sz="0" w:space="0" w:color="auto"/>
                <w:bottom w:val="none" w:sz="0" w:space="0" w:color="auto"/>
                <w:right w:val="none" w:sz="0" w:space="0" w:color="auto"/>
              </w:divBdr>
            </w:div>
            <w:div w:id="1729912927">
              <w:marLeft w:val="0"/>
              <w:marRight w:val="0"/>
              <w:marTop w:val="0"/>
              <w:marBottom w:val="0"/>
              <w:divBdr>
                <w:top w:val="none" w:sz="0" w:space="0" w:color="auto"/>
                <w:left w:val="none" w:sz="0" w:space="0" w:color="auto"/>
                <w:bottom w:val="none" w:sz="0" w:space="0" w:color="auto"/>
                <w:right w:val="none" w:sz="0" w:space="0" w:color="auto"/>
              </w:divBdr>
              <w:divsChild>
                <w:div w:id="312805208">
                  <w:marLeft w:val="0"/>
                  <w:marRight w:val="0"/>
                  <w:marTop w:val="0"/>
                  <w:marBottom w:val="0"/>
                  <w:divBdr>
                    <w:top w:val="none" w:sz="0" w:space="0" w:color="auto"/>
                    <w:left w:val="none" w:sz="0" w:space="0" w:color="auto"/>
                    <w:bottom w:val="none" w:sz="0" w:space="0" w:color="auto"/>
                    <w:right w:val="none" w:sz="0" w:space="0" w:color="auto"/>
                  </w:divBdr>
                </w:div>
                <w:div w:id="1074278970">
                  <w:marLeft w:val="0"/>
                  <w:marRight w:val="0"/>
                  <w:marTop w:val="0"/>
                  <w:marBottom w:val="0"/>
                  <w:divBdr>
                    <w:top w:val="none" w:sz="0" w:space="0" w:color="auto"/>
                    <w:left w:val="none" w:sz="0" w:space="0" w:color="auto"/>
                    <w:bottom w:val="none" w:sz="0" w:space="0" w:color="auto"/>
                    <w:right w:val="none" w:sz="0" w:space="0" w:color="auto"/>
                  </w:divBdr>
                </w:div>
              </w:divsChild>
            </w:div>
            <w:div w:id="1740402164">
              <w:marLeft w:val="0"/>
              <w:marRight w:val="0"/>
              <w:marTop w:val="0"/>
              <w:marBottom w:val="0"/>
              <w:divBdr>
                <w:top w:val="none" w:sz="0" w:space="0" w:color="auto"/>
                <w:left w:val="none" w:sz="0" w:space="0" w:color="auto"/>
                <w:bottom w:val="none" w:sz="0" w:space="0" w:color="auto"/>
                <w:right w:val="none" w:sz="0" w:space="0" w:color="auto"/>
              </w:divBdr>
              <w:divsChild>
                <w:div w:id="73863052">
                  <w:marLeft w:val="0"/>
                  <w:marRight w:val="0"/>
                  <w:marTop w:val="0"/>
                  <w:marBottom w:val="0"/>
                  <w:divBdr>
                    <w:top w:val="none" w:sz="0" w:space="0" w:color="auto"/>
                    <w:left w:val="none" w:sz="0" w:space="0" w:color="auto"/>
                    <w:bottom w:val="none" w:sz="0" w:space="0" w:color="auto"/>
                    <w:right w:val="none" w:sz="0" w:space="0" w:color="auto"/>
                  </w:divBdr>
                </w:div>
                <w:div w:id="307395005">
                  <w:marLeft w:val="0"/>
                  <w:marRight w:val="0"/>
                  <w:marTop w:val="0"/>
                  <w:marBottom w:val="0"/>
                  <w:divBdr>
                    <w:top w:val="none" w:sz="0" w:space="0" w:color="auto"/>
                    <w:left w:val="none" w:sz="0" w:space="0" w:color="auto"/>
                    <w:bottom w:val="none" w:sz="0" w:space="0" w:color="auto"/>
                    <w:right w:val="none" w:sz="0" w:space="0" w:color="auto"/>
                  </w:divBdr>
                </w:div>
              </w:divsChild>
            </w:div>
            <w:div w:id="1785807658">
              <w:marLeft w:val="0"/>
              <w:marRight w:val="0"/>
              <w:marTop w:val="0"/>
              <w:marBottom w:val="0"/>
              <w:divBdr>
                <w:top w:val="none" w:sz="0" w:space="0" w:color="auto"/>
                <w:left w:val="none" w:sz="0" w:space="0" w:color="auto"/>
                <w:bottom w:val="none" w:sz="0" w:space="0" w:color="auto"/>
                <w:right w:val="none" w:sz="0" w:space="0" w:color="auto"/>
              </w:divBdr>
              <w:divsChild>
                <w:div w:id="489372505">
                  <w:marLeft w:val="0"/>
                  <w:marRight w:val="0"/>
                  <w:marTop w:val="0"/>
                  <w:marBottom w:val="0"/>
                  <w:divBdr>
                    <w:top w:val="none" w:sz="0" w:space="0" w:color="auto"/>
                    <w:left w:val="none" w:sz="0" w:space="0" w:color="auto"/>
                    <w:bottom w:val="none" w:sz="0" w:space="0" w:color="auto"/>
                    <w:right w:val="none" w:sz="0" w:space="0" w:color="auto"/>
                  </w:divBdr>
                </w:div>
                <w:div w:id="1044907993">
                  <w:marLeft w:val="0"/>
                  <w:marRight w:val="0"/>
                  <w:marTop w:val="0"/>
                  <w:marBottom w:val="0"/>
                  <w:divBdr>
                    <w:top w:val="none" w:sz="0" w:space="0" w:color="auto"/>
                    <w:left w:val="none" w:sz="0" w:space="0" w:color="auto"/>
                    <w:bottom w:val="none" w:sz="0" w:space="0" w:color="auto"/>
                    <w:right w:val="none" w:sz="0" w:space="0" w:color="auto"/>
                  </w:divBdr>
                </w:div>
              </w:divsChild>
            </w:div>
            <w:div w:id="1802190206">
              <w:marLeft w:val="0"/>
              <w:marRight w:val="0"/>
              <w:marTop w:val="0"/>
              <w:marBottom w:val="0"/>
              <w:divBdr>
                <w:top w:val="none" w:sz="0" w:space="0" w:color="auto"/>
                <w:left w:val="none" w:sz="0" w:space="0" w:color="auto"/>
                <w:bottom w:val="none" w:sz="0" w:space="0" w:color="auto"/>
                <w:right w:val="none" w:sz="0" w:space="0" w:color="auto"/>
              </w:divBdr>
              <w:divsChild>
                <w:div w:id="102117009">
                  <w:marLeft w:val="0"/>
                  <w:marRight w:val="0"/>
                  <w:marTop w:val="0"/>
                  <w:marBottom w:val="0"/>
                  <w:divBdr>
                    <w:top w:val="none" w:sz="0" w:space="0" w:color="auto"/>
                    <w:left w:val="none" w:sz="0" w:space="0" w:color="auto"/>
                    <w:bottom w:val="none" w:sz="0" w:space="0" w:color="auto"/>
                    <w:right w:val="none" w:sz="0" w:space="0" w:color="auto"/>
                  </w:divBdr>
                </w:div>
                <w:div w:id="148864054">
                  <w:marLeft w:val="0"/>
                  <w:marRight w:val="0"/>
                  <w:marTop w:val="0"/>
                  <w:marBottom w:val="0"/>
                  <w:divBdr>
                    <w:top w:val="none" w:sz="0" w:space="0" w:color="auto"/>
                    <w:left w:val="none" w:sz="0" w:space="0" w:color="auto"/>
                    <w:bottom w:val="none" w:sz="0" w:space="0" w:color="auto"/>
                    <w:right w:val="none" w:sz="0" w:space="0" w:color="auto"/>
                  </w:divBdr>
                </w:div>
                <w:div w:id="196965731">
                  <w:marLeft w:val="0"/>
                  <w:marRight w:val="0"/>
                  <w:marTop w:val="0"/>
                  <w:marBottom w:val="0"/>
                  <w:divBdr>
                    <w:top w:val="none" w:sz="0" w:space="0" w:color="auto"/>
                    <w:left w:val="none" w:sz="0" w:space="0" w:color="auto"/>
                    <w:bottom w:val="none" w:sz="0" w:space="0" w:color="auto"/>
                    <w:right w:val="none" w:sz="0" w:space="0" w:color="auto"/>
                  </w:divBdr>
                </w:div>
                <w:div w:id="208416031">
                  <w:marLeft w:val="0"/>
                  <w:marRight w:val="0"/>
                  <w:marTop w:val="0"/>
                  <w:marBottom w:val="0"/>
                  <w:divBdr>
                    <w:top w:val="none" w:sz="0" w:space="0" w:color="auto"/>
                    <w:left w:val="none" w:sz="0" w:space="0" w:color="auto"/>
                    <w:bottom w:val="none" w:sz="0" w:space="0" w:color="auto"/>
                    <w:right w:val="none" w:sz="0" w:space="0" w:color="auto"/>
                  </w:divBdr>
                </w:div>
                <w:div w:id="322854185">
                  <w:marLeft w:val="0"/>
                  <w:marRight w:val="0"/>
                  <w:marTop w:val="0"/>
                  <w:marBottom w:val="0"/>
                  <w:divBdr>
                    <w:top w:val="none" w:sz="0" w:space="0" w:color="auto"/>
                    <w:left w:val="none" w:sz="0" w:space="0" w:color="auto"/>
                    <w:bottom w:val="none" w:sz="0" w:space="0" w:color="auto"/>
                    <w:right w:val="none" w:sz="0" w:space="0" w:color="auto"/>
                  </w:divBdr>
                </w:div>
                <w:div w:id="394544576">
                  <w:marLeft w:val="0"/>
                  <w:marRight w:val="0"/>
                  <w:marTop w:val="0"/>
                  <w:marBottom w:val="0"/>
                  <w:divBdr>
                    <w:top w:val="none" w:sz="0" w:space="0" w:color="auto"/>
                    <w:left w:val="none" w:sz="0" w:space="0" w:color="auto"/>
                    <w:bottom w:val="none" w:sz="0" w:space="0" w:color="auto"/>
                    <w:right w:val="none" w:sz="0" w:space="0" w:color="auto"/>
                  </w:divBdr>
                </w:div>
                <w:div w:id="445545281">
                  <w:marLeft w:val="0"/>
                  <w:marRight w:val="0"/>
                  <w:marTop w:val="0"/>
                  <w:marBottom w:val="0"/>
                  <w:divBdr>
                    <w:top w:val="none" w:sz="0" w:space="0" w:color="auto"/>
                    <w:left w:val="none" w:sz="0" w:space="0" w:color="auto"/>
                    <w:bottom w:val="none" w:sz="0" w:space="0" w:color="auto"/>
                    <w:right w:val="none" w:sz="0" w:space="0" w:color="auto"/>
                  </w:divBdr>
                </w:div>
                <w:div w:id="674116981">
                  <w:marLeft w:val="0"/>
                  <w:marRight w:val="0"/>
                  <w:marTop w:val="0"/>
                  <w:marBottom w:val="0"/>
                  <w:divBdr>
                    <w:top w:val="none" w:sz="0" w:space="0" w:color="auto"/>
                    <w:left w:val="none" w:sz="0" w:space="0" w:color="auto"/>
                    <w:bottom w:val="none" w:sz="0" w:space="0" w:color="auto"/>
                    <w:right w:val="none" w:sz="0" w:space="0" w:color="auto"/>
                  </w:divBdr>
                </w:div>
                <w:div w:id="748188433">
                  <w:marLeft w:val="0"/>
                  <w:marRight w:val="0"/>
                  <w:marTop w:val="0"/>
                  <w:marBottom w:val="0"/>
                  <w:divBdr>
                    <w:top w:val="none" w:sz="0" w:space="0" w:color="auto"/>
                    <w:left w:val="none" w:sz="0" w:space="0" w:color="auto"/>
                    <w:bottom w:val="none" w:sz="0" w:space="0" w:color="auto"/>
                    <w:right w:val="none" w:sz="0" w:space="0" w:color="auto"/>
                  </w:divBdr>
                </w:div>
                <w:div w:id="1026714946">
                  <w:marLeft w:val="0"/>
                  <w:marRight w:val="0"/>
                  <w:marTop w:val="0"/>
                  <w:marBottom w:val="0"/>
                  <w:divBdr>
                    <w:top w:val="none" w:sz="0" w:space="0" w:color="auto"/>
                    <w:left w:val="none" w:sz="0" w:space="0" w:color="auto"/>
                    <w:bottom w:val="none" w:sz="0" w:space="0" w:color="auto"/>
                    <w:right w:val="none" w:sz="0" w:space="0" w:color="auto"/>
                  </w:divBdr>
                </w:div>
                <w:div w:id="1224680351">
                  <w:marLeft w:val="0"/>
                  <w:marRight w:val="0"/>
                  <w:marTop w:val="0"/>
                  <w:marBottom w:val="0"/>
                  <w:divBdr>
                    <w:top w:val="none" w:sz="0" w:space="0" w:color="auto"/>
                    <w:left w:val="none" w:sz="0" w:space="0" w:color="auto"/>
                    <w:bottom w:val="none" w:sz="0" w:space="0" w:color="auto"/>
                    <w:right w:val="none" w:sz="0" w:space="0" w:color="auto"/>
                  </w:divBdr>
                </w:div>
                <w:div w:id="1303384797">
                  <w:marLeft w:val="0"/>
                  <w:marRight w:val="0"/>
                  <w:marTop w:val="0"/>
                  <w:marBottom w:val="0"/>
                  <w:divBdr>
                    <w:top w:val="none" w:sz="0" w:space="0" w:color="auto"/>
                    <w:left w:val="none" w:sz="0" w:space="0" w:color="auto"/>
                    <w:bottom w:val="none" w:sz="0" w:space="0" w:color="auto"/>
                    <w:right w:val="none" w:sz="0" w:space="0" w:color="auto"/>
                  </w:divBdr>
                </w:div>
                <w:div w:id="1318803191">
                  <w:marLeft w:val="0"/>
                  <w:marRight w:val="0"/>
                  <w:marTop w:val="0"/>
                  <w:marBottom w:val="0"/>
                  <w:divBdr>
                    <w:top w:val="none" w:sz="0" w:space="0" w:color="auto"/>
                    <w:left w:val="none" w:sz="0" w:space="0" w:color="auto"/>
                    <w:bottom w:val="none" w:sz="0" w:space="0" w:color="auto"/>
                    <w:right w:val="none" w:sz="0" w:space="0" w:color="auto"/>
                  </w:divBdr>
                </w:div>
                <w:div w:id="1452748481">
                  <w:marLeft w:val="0"/>
                  <w:marRight w:val="0"/>
                  <w:marTop w:val="0"/>
                  <w:marBottom w:val="0"/>
                  <w:divBdr>
                    <w:top w:val="none" w:sz="0" w:space="0" w:color="auto"/>
                    <w:left w:val="none" w:sz="0" w:space="0" w:color="auto"/>
                    <w:bottom w:val="none" w:sz="0" w:space="0" w:color="auto"/>
                    <w:right w:val="none" w:sz="0" w:space="0" w:color="auto"/>
                  </w:divBdr>
                </w:div>
                <w:div w:id="1502432538">
                  <w:marLeft w:val="0"/>
                  <w:marRight w:val="0"/>
                  <w:marTop w:val="0"/>
                  <w:marBottom w:val="0"/>
                  <w:divBdr>
                    <w:top w:val="none" w:sz="0" w:space="0" w:color="auto"/>
                    <w:left w:val="none" w:sz="0" w:space="0" w:color="auto"/>
                    <w:bottom w:val="none" w:sz="0" w:space="0" w:color="auto"/>
                    <w:right w:val="none" w:sz="0" w:space="0" w:color="auto"/>
                  </w:divBdr>
                </w:div>
                <w:div w:id="1602761507">
                  <w:marLeft w:val="0"/>
                  <w:marRight w:val="0"/>
                  <w:marTop w:val="0"/>
                  <w:marBottom w:val="0"/>
                  <w:divBdr>
                    <w:top w:val="none" w:sz="0" w:space="0" w:color="auto"/>
                    <w:left w:val="none" w:sz="0" w:space="0" w:color="auto"/>
                    <w:bottom w:val="none" w:sz="0" w:space="0" w:color="auto"/>
                    <w:right w:val="none" w:sz="0" w:space="0" w:color="auto"/>
                  </w:divBdr>
                </w:div>
                <w:div w:id="1810896576">
                  <w:marLeft w:val="0"/>
                  <w:marRight w:val="0"/>
                  <w:marTop w:val="0"/>
                  <w:marBottom w:val="0"/>
                  <w:divBdr>
                    <w:top w:val="none" w:sz="0" w:space="0" w:color="auto"/>
                    <w:left w:val="none" w:sz="0" w:space="0" w:color="auto"/>
                    <w:bottom w:val="none" w:sz="0" w:space="0" w:color="auto"/>
                    <w:right w:val="none" w:sz="0" w:space="0" w:color="auto"/>
                  </w:divBdr>
                </w:div>
                <w:div w:id="1912545721">
                  <w:marLeft w:val="0"/>
                  <w:marRight w:val="0"/>
                  <w:marTop w:val="0"/>
                  <w:marBottom w:val="0"/>
                  <w:divBdr>
                    <w:top w:val="none" w:sz="0" w:space="0" w:color="auto"/>
                    <w:left w:val="none" w:sz="0" w:space="0" w:color="auto"/>
                    <w:bottom w:val="none" w:sz="0" w:space="0" w:color="auto"/>
                    <w:right w:val="none" w:sz="0" w:space="0" w:color="auto"/>
                  </w:divBdr>
                </w:div>
                <w:div w:id="1914661610">
                  <w:marLeft w:val="0"/>
                  <w:marRight w:val="0"/>
                  <w:marTop w:val="0"/>
                  <w:marBottom w:val="0"/>
                  <w:divBdr>
                    <w:top w:val="none" w:sz="0" w:space="0" w:color="auto"/>
                    <w:left w:val="none" w:sz="0" w:space="0" w:color="auto"/>
                    <w:bottom w:val="none" w:sz="0" w:space="0" w:color="auto"/>
                    <w:right w:val="none" w:sz="0" w:space="0" w:color="auto"/>
                  </w:divBdr>
                </w:div>
                <w:div w:id="1930499920">
                  <w:marLeft w:val="0"/>
                  <w:marRight w:val="0"/>
                  <w:marTop w:val="0"/>
                  <w:marBottom w:val="0"/>
                  <w:divBdr>
                    <w:top w:val="none" w:sz="0" w:space="0" w:color="auto"/>
                    <w:left w:val="none" w:sz="0" w:space="0" w:color="auto"/>
                    <w:bottom w:val="none" w:sz="0" w:space="0" w:color="auto"/>
                    <w:right w:val="none" w:sz="0" w:space="0" w:color="auto"/>
                  </w:divBdr>
                </w:div>
              </w:divsChild>
            </w:div>
            <w:div w:id="1861509526">
              <w:marLeft w:val="0"/>
              <w:marRight w:val="0"/>
              <w:marTop w:val="0"/>
              <w:marBottom w:val="0"/>
              <w:divBdr>
                <w:top w:val="none" w:sz="0" w:space="0" w:color="auto"/>
                <w:left w:val="none" w:sz="0" w:space="0" w:color="auto"/>
                <w:bottom w:val="none" w:sz="0" w:space="0" w:color="auto"/>
                <w:right w:val="none" w:sz="0" w:space="0" w:color="auto"/>
              </w:divBdr>
            </w:div>
            <w:div w:id="1890336581">
              <w:marLeft w:val="0"/>
              <w:marRight w:val="0"/>
              <w:marTop w:val="0"/>
              <w:marBottom w:val="0"/>
              <w:divBdr>
                <w:top w:val="none" w:sz="0" w:space="0" w:color="auto"/>
                <w:left w:val="none" w:sz="0" w:space="0" w:color="auto"/>
                <w:bottom w:val="none" w:sz="0" w:space="0" w:color="auto"/>
                <w:right w:val="none" w:sz="0" w:space="0" w:color="auto"/>
              </w:divBdr>
            </w:div>
            <w:div w:id="2040617131">
              <w:marLeft w:val="0"/>
              <w:marRight w:val="0"/>
              <w:marTop w:val="0"/>
              <w:marBottom w:val="0"/>
              <w:divBdr>
                <w:top w:val="none" w:sz="0" w:space="0" w:color="auto"/>
                <w:left w:val="none" w:sz="0" w:space="0" w:color="auto"/>
                <w:bottom w:val="none" w:sz="0" w:space="0" w:color="auto"/>
                <w:right w:val="none" w:sz="0" w:space="0" w:color="auto"/>
              </w:divBdr>
            </w:div>
            <w:div w:id="2073037483">
              <w:marLeft w:val="0"/>
              <w:marRight w:val="0"/>
              <w:marTop w:val="0"/>
              <w:marBottom w:val="0"/>
              <w:divBdr>
                <w:top w:val="none" w:sz="0" w:space="0" w:color="auto"/>
                <w:left w:val="none" w:sz="0" w:space="0" w:color="auto"/>
                <w:bottom w:val="none" w:sz="0" w:space="0" w:color="auto"/>
                <w:right w:val="none" w:sz="0" w:space="0" w:color="auto"/>
              </w:divBdr>
              <w:divsChild>
                <w:div w:id="106431795">
                  <w:marLeft w:val="0"/>
                  <w:marRight w:val="0"/>
                  <w:marTop w:val="0"/>
                  <w:marBottom w:val="0"/>
                  <w:divBdr>
                    <w:top w:val="none" w:sz="0" w:space="0" w:color="auto"/>
                    <w:left w:val="none" w:sz="0" w:space="0" w:color="auto"/>
                    <w:bottom w:val="none" w:sz="0" w:space="0" w:color="auto"/>
                    <w:right w:val="none" w:sz="0" w:space="0" w:color="auto"/>
                  </w:divBdr>
                  <w:divsChild>
                    <w:div w:id="374357450">
                      <w:marLeft w:val="0"/>
                      <w:marRight w:val="0"/>
                      <w:marTop w:val="0"/>
                      <w:marBottom w:val="0"/>
                      <w:divBdr>
                        <w:top w:val="none" w:sz="0" w:space="0" w:color="auto"/>
                        <w:left w:val="none" w:sz="0" w:space="0" w:color="auto"/>
                        <w:bottom w:val="none" w:sz="0" w:space="0" w:color="auto"/>
                        <w:right w:val="none" w:sz="0" w:space="0" w:color="auto"/>
                      </w:divBdr>
                    </w:div>
                    <w:div w:id="470485407">
                      <w:marLeft w:val="0"/>
                      <w:marRight w:val="0"/>
                      <w:marTop w:val="0"/>
                      <w:marBottom w:val="0"/>
                      <w:divBdr>
                        <w:top w:val="none" w:sz="0" w:space="0" w:color="auto"/>
                        <w:left w:val="none" w:sz="0" w:space="0" w:color="auto"/>
                        <w:bottom w:val="none" w:sz="0" w:space="0" w:color="auto"/>
                        <w:right w:val="none" w:sz="0" w:space="0" w:color="auto"/>
                      </w:divBdr>
                    </w:div>
                  </w:divsChild>
                </w:div>
                <w:div w:id="708409956">
                  <w:marLeft w:val="0"/>
                  <w:marRight w:val="0"/>
                  <w:marTop w:val="0"/>
                  <w:marBottom w:val="0"/>
                  <w:divBdr>
                    <w:top w:val="none" w:sz="0" w:space="0" w:color="auto"/>
                    <w:left w:val="none" w:sz="0" w:space="0" w:color="auto"/>
                    <w:bottom w:val="none" w:sz="0" w:space="0" w:color="auto"/>
                    <w:right w:val="none" w:sz="0" w:space="0" w:color="auto"/>
                  </w:divBdr>
                </w:div>
                <w:div w:id="1021590086">
                  <w:marLeft w:val="0"/>
                  <w:marRight w:val="0"/>
                  <w:marTop w:val="0"/>
                  <w:marBottom w:val="0"/>
                  <w:divBdr>
                    <w:top w:val="none" w:sz="0" w:space="0" w:color="auto"/>
                    <w:left w:val="none" w:sz="0" w:space="0" w:color="auto"/>
                    <w:bottom w:val="none" w:sz="0" w:space="0" w:color="auto"/>
                    <w:right w:val="none" w:sz="0" w:space="0" w:color="auto"/>
                  </w:divBdr>
                </w:div>
                <w:div w:id="1975940773">
                  <w:marLeft w:val="0"/>
                  <w:marRight w:val="0"/>
                  <w:marTop w:val="0"/>
                  <w:marBottom w:val="0"/>
                  <w:divBdr>
                    <w:top w:val="none" w:sz="0" w:space="0" w:color="auto"/>
                    <w:left w:val="none" w:sz="0" w:space="0" w:color="auto"/>
                    <w:bottom w:val="none" w:sz="0" w:space="0" w:color="auto"/>
                    <w:right w:val="none" w:sz="0" w:space="0" w:color="auto"/>
                  </w:divBdr>
                  <w:divsChild>
                    <w:div w:id="312221644">
                      <w:marLeft w:val="0"/>
                      <w:marRight w:val="0"/>
                      <w:marTop w:val="0"/>
                      <w:marBottom w:val="0"/>
                      <w:divBdr>
                        <w:top w:val="none" w:sz="0" w:space="0" w:color="auto"/>
                        <w:left w:val="none" w:sz="0" w:space="0" w:color="auto"/>
                        <w:bottom w:val="none" w:sz="0" w:space="0" w:color="auto"/>
                        <w:right w:val="none" w:sz="0" w:space="0" w:color="auto"/>
                      </w:divBdr>
                    </w:div>
                    <w:div w:id="1124664587">
                      <w:marLeft w:val="0"/>
                      <w:marRight w:val="0"/>
                      <w:marTop w:val="0"/>
                      <w:marBottom w:val="0"/>
                      <w:divBdr>
                        <w:top w:val="none" w:sz="0" w:space="0" w:color="auto"/>
                        <w:left w:val="none" w:sz="0" w:space="0" w:color="auto"/>
                        <w:bottom w:val="none" w:sz="0" w:space="0" w:color="auto"/>
                        <w:right w:val="none" w:sz="0" w:space="0" w:color="auto"/>
                      </w:divBdr>
                    </w:div>
                    <w:div w:id="1872499054">
                      <w:marLeft w:val="0"/>
                      <w:marRight w:val="0"/>
                      <w:marTop w:val="0"/>
                      <w:marBottom w:val="0"/>
                      <w:divBdr>
                        <w:top w:val="none" w:sz="0" w:space="0" w:color="auto"/>
                        <w:left w:val="none" w:sz="0" w:space="0" w:color="auto"/>
                        <w:bottom w:val="none" w:sz="0" w:space="0" w:color="auto"/>
                        <w:right w:val="none" w:sz="0" w:space="0" w:color="auto"/>
                      </w:divBdr>
                    </w:div>
                    <w:div w:id="187885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2176">
              <w:marLeft w:val="0"/>
              <w:marRight w:val="0"/>
              <w:marTop w:val="0"/>
              <w:marBottom w:val="0"/>
              <w:divBdr>
                <w:top w:val="none" w:sz="0" w:space="0" w:color="auto"/>
                <w:left w:val="none" w:sz="0" w:space="0" w:color="auto"/>
                <w:bottom w:val="none" w:sz="0" w:space="0" w:color="auto"/>
                <w:right w:val="none" w:sz="0" w:space="0" w:color="auto"/>
              </w:divBdr>
            </w:div>
          </w:divsChild>
        </w:div>
        <w:div w:id="1962104896">
          <w:marLeft w:val="0"/>
          <w:marRight w:val="0"/>
          <w:marTop w:val="0"/>
          <w:marBottom w:val="0"/>
          <w:divBdr>
            <w:top w:val="none" w:sz="0" w:space="0" w:color="auto"/>
            <w:left w:val="none" w:sz="0" w:space="0" w:color="auto"/>
            <w:bottom w:val="none" w:sz="0" w:space="0" w:color="auto"/>
            <w:right w:val="none" w:sz="0" w:space="0" w:color="auto"/>
          </w:divBdr>
          <w:divsChild>
            <w:div w:id="436029184">
              <w:marLeft w:val="0"/>
              <w:marRight w:val="0"/>
              <w:marTop w:val="0"/>
              <w:marBottom w:val="0"/>
              <w:divBdr>
                <w:top w:val="none" w:sz="0" w:space="0" w:color="auto"/>
                <w:left w:val="none" w:sz="0" w:space="0" w:color="auto"/>
                <w:bottom w:val="none" w:sz="0" w:space="0" w:color="auto"/>
                <w:right w:val="none" w:sz="0" w:space="0" w:color="auto"/>
              </w:divBdr>
            </w:div>
            <w:div w:id="917906328">
              <w:marLeft w:val="0"/>
              <w:marRight w:val="0"/>
              <w:marTop w:val="0"/>
              <w:marBottom w:val="0"/>
              <w:divBdr>
                <w:top w:val="none" w:sz="0" w:space="0" w:color="auto"/>
                <w:left w:val="none" w:sz="0" w:space="0" w:color="auto"/>
                <w:bottom w:val="none" w:sz="0" w:space="0" w:color="auto"/>
                <w:right w:val="none" w:sz="0" w:space="0" w:color="auto"/>
              </w:divBdr>
            </w:div>
            <w:div w:id="1152872524">
              <w:marLeft w:val="0"/>
              <w:marRight w:val="0"/>
              <w:marTop w:val="0"/>
              <w:marBottom w:val="0"/>
              <w:divBdr>
                <w:top w:val="none" w:sz="0" w:space="0" w:color="auto"/>
                <w:left w:val="none" w:sz="0" w:space="0" w:color="auto"/>
                <w:bottom w:val="none" w:sz="0" w:space="0" w:color="auto"/>
                <w:right w:val="none" w:sz="0" w:space="0" w:color="auto"/>
              </w:divBdr>
            </w:div>
            <w:div w:id="1271888230">
              <w:marLeft w:val="0"/>
              <w:marRight w:val="0"/>
              <w:marTop w:val="0"/>
              <w:marBottom w:val="0"/>
              <w:divBdr>
                <w:top w:val="none" w:sz="0" w:space="0" w:color="auto"/>
                <w:left w:val="none" w:sz="0" w:space="0" w:color="auto"/>
                <w:bottom w:val="none" w:sz="0" w:space="0" w:color="auto"/>
                <w:right w:val="none" w:sz="0" w:space="0" w:color="auto"/>
              </w:divBdr>
            </w:div>
            <w:div w:id="1694184244">
              <w:marLeft w:val="0"/>
              <w:marRight w:val="0"/>
              <w:marTop w:val="0"/>
              <w:marBottom w:val="0"/>
              <w:divBdr>
                <w:top w:val="none" w:sz="0" w:space="0" w:color="auto"/>
                <w:left w:val="none" w:sz="0" w:space="0" w:color="auto"/>
                <w:bottom w:val="none" w:sz="0" w:space="0" w:color="auto"/>
                <w:right w:val="none" w:sz="0" w:space="0" w:color="auto"/>
              </w:divBdr>
            </w:div>
            <w:div w:id="179470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917934">
      <w:bodyDiv w:val="1"/>
      <w:marLeft w:val="0"/>
      <w:marRight w:val="0"/>
      <w:marTop w:val="0"/>
      <w:marBottom w:val="0"/>
      <w:divBdr>
        <w:top w:val="none" w:sz="0" w:space="0" w:color="auto"/>
        <w:left w:val="none" w:sz="0" w:space="0" w:color="auto"/>
        <w:bottom w:val="none" w:sz="0" w:space="0" w:color="auto"/>
        <w:right w:val="none" w:sz="0" w:space="0" w:color="auto"/>
      </w:divBdr>
    </w:div>
    <w:div w:id="681010579">
      <w:bodyDiv w:val="1"/>
      <w:marLeft w:val="0"/>
      <w:marRight w:val="0"/>
      <w:marTop w:val="0"/>
      <w:marBottom w:val="0"/>
      <w:divBdr>
        <w:top w:val="none" w:sz="0" w:space="0" w:color="auto"/>
        <w:left w:val="none" w:sz="0" w:space="0" w:color="auto"/>
        <w:bottom w:val="none" w:sz="0" w:space="0" w:color="auto"/>
        <w:right w:val="none" w:sz="0" w:space="0" w:color="auto"/>
      </w:divBdr>
    </w:div>
    <w:div w:id="686105217">
      <w:bodyDiv w:val="1"/>
      <w:marLeft w:val="0"/>
      <w:marRight w:val="0"/>
      <w:marTop w:val="0"/>
      <w:marBottom w:val="0"/>
      <w:divBdr>
        <w:top w:val="none" w:sz="0" w:space="0" w:color="auto"/>
        <w:left w:val="none" w:sz="0" w:space="0" w:color="auto"/>
        <w:bottom w:val="none" w:sz="0" w:space="0" w:color="auto"/>
        <w:right w:val="none" w:sz="0" w:space="0" w:color="auto"/>
      </w:divBdr>
    </w:div>
    <w:div w:id="697319605">
      <w:bodyDiv w:val="1"/>
      <w:marLeft w:val="0"/>
      <w:marRight w:val="0"/>
      <w:marTop w:val="0"/>
      <w:marBottom w:val="0"/>
      <w:divBdr>
        <w:top w:val="none" w:sz="0" w:space="0" w:color="auto"/>
        <w:left w:val="none" w:sz="0" w:space="0" w:color="auto"/>
        <w:bottom w:val="none" w:sz="0" w:space="0" w:color="auto"/>
        <w:right w:val="none" w:sz="0" w:space="0" w:color="auto"/>
      </w:divBdr>
    </w:div>
    <w:div w:id="703872991">
      <w:bodyDiv w:val="1"/>
      <w:marLeft w:val="0"/>
      <w:marRight w:val="0"/>
      <w:marTop w:val="0"/>
      <w:marBottom w:val="0"/>
      <w:divBdr>
        <w:top w:val="none" w:sz="0" w:space="0" w:color="auto"/>
        <w:left w:val="none" w:sz="0" w:space="0" w:color="auto"/>
        <w:bottom w:val="none" w:sz="0" w:space="0" w:color="auto"/>
        <w:right w:val="none" w:sz="0" w:space="0" w:color="auto"/>
      </w:divBdr>
    </w:div>
    <w:div w:id="704403809">
      <w:bodyDiv w:val="1"/>
      <w:marLeft w:val="0"/>
      <w:marRight w:val="0"/>
      <w:marTop w:val="0"/>
      <w:marBottom w:val="0"/>
      <w:divBdr>
        <w:top w:val="none" w:sz="0" w:space="0" w:color="auto"/>
        <w:left w:val="none" w:sz="0" w:space="0" w:color="auto"/>
        <w:bottom w:val="none" w:sz="0" w:space="0" w:color="auto"/>
        <w:right w:val="none" w:sz="0" w:space="0" w:color="auto"/>
      </w:divBdr>
    </w:div>
    <w:div w:id="710885939">
      <w:bodyDiv w:val="1"/>
      <w:marLeft w:val="0"/>
      <w:marRight w:val="0"/>
      <w:marTop w:val="0"/>
      <w:marBottom w:val="0"/>
      <w:divBdr>
        <w:top w:val="none" w:sz="0" w:space="0" w:color="auto"/>
        <w:left w:val="none" w:sz="0" w:space="0" w:color="auto"/>
        <w:bottom w:val="none" w:sz="0" w:space="0" w:color="auto"/>
        <w:right w:val="none" w:sz="0" w:space="0" w:color="auto"/>
      </w:divBdr>
      <w:divsChild>
        <w:div w:id="1647008268">
          <w:marLeft w:val="0"/>
          <w:marRight w:val="0"/>
          <w:marTop w:val="0"/>
          <w:marBottom w:val="0"/>
          <w:divBdr>
            <w:top w:val="none" w:sz="0" w:space="0" w:color="auto"/>
            <w:left w:val="none" w:sz="0" w:space="0" w:color="auto"/>
            <w:bottom w:val="none" w:sz="0" w:space="0" w:color="auto"/>
            <w:right w:val="none" w:sz="0" w:space="0" w:color="auto"/>
          </w:divBdr>
          <w:divsChild>
            <w:div w:id="1488130725">
              <w:marLeft w:val="0"/>
              <w:marRight w:val="0"/>
              <w:marTop w:val="0"/>
              <w:marBottom w:val="0"/>
              <w:divBdr>
                <w:top w:val="none" w:sz="0" w:space="0" w:color="auto"/>
                <w:left w:val="none" w:sz="0" w:space="0" w:color="auto"/>
                <w:bottom w:val="none" w:sz="0" w:space="0" w:color="auto"/>
                <w:right w:val="none" w:sz="0" w:space="0" w:color="auto"/>
              </w:divBdr>
              <w:divsChild>
                <w:div w:id="1226188418">
                  <w:marLeft w:val="0"/>
                  <w:marRight w:val="0"/>
                  <w:marTop w:val="0"/>
                  <w:marBottom w:val="0"/>
                  <w:divBdr>
                    <w:top w:val="none" w:sz="0" w:space="0" w:color="auto"/>
                    <w:left w:val="none" w:sz="0" w:space="0" w:color="auto"/>
                    <w:bottom w:val="none" w:sz="0" w:space="0" w:color="auto"/>
                    <w:right w:val="none" w:sz="0" w:space="0" w:color="auto"/>
                  </w:divBdr>
                  <w:divsChild>
                    <w:div w:id="1004212060">
                      <w:marLeft w:val="0"/>
                      <w:marRight w:val="0"/>
                      <w:marTop w:val="0"/>
                      <w:marBottom w:val="0"/>
                      <w:divBdr>
                        <w:top w:val="none" w:sz="0" w:space="0" w:color="auto"/>
                        <w:left w:val="none" w:sz="0" w:space="0" w:color="auto"/>
                        <w:bottom w:val="none" w:sz="0" w:space="0" w:color="auto"/>
                        <w:right w:val="none" w:sz="0" w:space="0" w:color="auto"/>
                      </w:divBdr>
                      <w:divsChild>
                        <w:div w:id="747580614">
                          <w:marLeft w:val="0"/>
                          <w:marRight w:val="0"/>
                          <w:marTop w:val="0"/>
                          <w:marBottom w:val="0"/>
                          <w:divBdr>
                            <w:top w:val="none" w:sz="0" w:space="0" w:color="auto"/>
                            <w:left w:val="none" w:sz="0" w:space="0" w:color="auto"/>
                            <w:bottom w:val="none" w:sz="0" w:space="0" w:color="auto"/>
                            <w:right w:val="none" w:sz="0" w:space="0" w:color="auto"/>
                          </w:divBdr>
                          <w:divsChild>
                            <w:div w:id="1747609051">
                              <w:marLeft w:val="0"/>
                              <w:marRight w:val="0"/>
                              <w:marTop w:val="0"/>
                              <w:marBottom w:val="0"/>
                              <w:divBdr>
                                <w:top w:val="none" w:sz="0" w:space="0" w:color="auto"/>
                                <w:left w:val="none" w:sz="0" w:space="0" w:color="auto"/>
                                <w:bottom w:val="none" w:sz="0" w:space="0" w:color="auto"/>
                                <w:right w:val="none" w:sz="0" w:space="0" w:color="auto"/>
                              </w:divBdr>
                              <w:divsChild>
                                <w:div w:id="909776103">
                                  <w:marLeft w:val="0"/>
                                  <w:marRight w:val="0"/>
                                  <w:marTop w:val="0"/>
                                  <w:marBottom w:val="0"/>
                                  <w:divBdr>
                                    <w:top w:val="none" w:sz="0" w:space="0" w:color="auto"/>
                                    <w:left w:val="none" w:sz="0" w:space="0" w:color="auto"/>
                                    <w:bottom w:val="none" w:sz="0" w:space="0" w:color="auto"/>
                                    <w:right w:val="none" w:sz="0" w:space="0" w:color="auto"/>
                                  </w:divBdr>
                                  <w:divsChild>
                                    <w:div w:id="800346579">
                                      <w:marLeft w:val="0"/>
                                      <w:marRight w:val="0"/>
                                      <w:marTop w:val="0"/>
                                      <w:marBottom w:val="0"/>
                                      <w:divBdr>
                                        <w:top w:val="none" w:sz="0" w:space="0" w:color="auto"/>
                                        <w:left w:val="none" w:sz="0" w:space="0" w:color="auto"/>
                                        <w:bottom w:val="none" w:sz="0" w:space="0" w:color="auto"/>
                                        <w:right w:val="none" w:sz="0" w:space="0" w:color="auto"/>
                                      </w:divBdr>
                                      <w:divsChild>
                                        <w:div w:id="727724817">
                                          <w:marLeft w:val="0"/>
                                          <w:marRight w:val="0"/>
                                          <w:marTop w:val="0"/>
                                          <w:marBottom w:val="0"/>
                                          <w:divBdr>
                                            <w:top w:val="none" w:sz="0" w:space="0" w:color="auto"/>
                                            <w:left w:val="none" w:sz="0" w:space="0" w:color="auto"/>
                                            <w:bottom w:val="none" w:sz="0" w:space="0" w:color="auto"/>
                                            <w:right w:val="none" w:sz="0" w:space="0" w:color="auto"/>
                                          </w:divBdr>
                                          <w:divsChild>
                                            <w:div w:id="433745422">
                                              <w:marLeft w:val="0"/>
                                              <w:marRight w:val="0"/>
                                              <w:marTop w:val="0"/>
                                              <w:marBottom w:val="0"/>
                                              <w:divBdr>
                                                <w:top w:val="none" w:sz="0" w:space="0" w:color="auto"/>
                                                <w:left w:val="none" w:sz="0" w:space="0" w:color="auto"/>
                                                <w:bottom w:val="none" w:sz="0" w:space="0" w:color="auto"/>
                                                <w:right w:val="none" w:sz="0" w:space="0" w:color="auto"/>
                                              </w:divBdr>
                                              <w:divsChild>
                                                <w:div w:id="14425184">
                                                  <w:marLeft w:val="0"/>
                                                  <w:marRight w:val="0"/>
                                                  <w:marTop w:val="0"/>
                                                  <w:marBottom w:val="0"/>
                                                  <w:divBdr>
                                                    <w:top w:val="none" w:sz="0" w:space="0" w:color="auto"/>
                                                    <w:left w:val="none" w:sz="0" w:space="0" w:color="auto"/>
                                                    <w:bottom w:val="none" w:sz="0" w:space="0" w:color="auto"/>
                                                    <w:right w:val="none" w:sz="0" w:space="0" w:color="auto"/>
                                                  </w:divBdr>
                                                  <w:divsChild>
                                                    <w:div w:id="1005595277">
                                                      <w:marLeft w:val="0"/>
                                                      <w:marRight w:val="0"/>
                                                      <w:marTop w:val="0"/>
                                                      <w:marBottom w:val="0"/>
                                                      <w:divBdr>
                                                        <w:top w:val="none" w:sz="0" w:space="0" w:color="auto"/>
                                                        <w:left w:val="none" w:sz="0" w:space="0" w:color="auto"/>
                                                        <w:bottom w:val="none" w:sz="0" w:space="0" w:color="auto"/>
                                                        <w:right w:val="none" w:sz="0" w:space="0" w:color="auto"/>
                                                      </w:divBdr>
                                                      <w:divsChild>
                                                        <w:div w:id="2091465990">
                                                          <w:marLeft w:val="0"/>
                                                          <w:marRight w:val="0"/>
                                                          <w:marTop w:val="0"/>
                                                          <w:marBottom w:val="0"/>
                                                          <w:divBdr>
                                                            <w:top w:val="none" w:sz="0" w:space="0" w:color="auto"/>
                                                            <w:left w:val="none" w:sz="0" w:space="0" w:color="auto"/>
                                                            <w:bottom w:val="none" w:sz="0" w:space="0" w:color="auto"/>
                                                            <w:right w:val="none" w:sz="0" w:space="0" w:color="auto"/>
                                                          </w:divBdr>
                                                          <w:divsChild>
                                                            <w:div w:id="1547721774">
                                                              <w:marLeft w:val="0"/>
                                                              <w:marRight w:val="0"/>
                                                              <w:marTop w:val="0"/>
                                                              <w:marBottom w:val="0"/>
                                                              <w:divBdr>
                                                                <w:top w:val="none" w:sz="0" w:space="0" w:color="auto"/>
                                                                <w:left w:val="none" w:sz="0" w:space="0" w:color="auto"/>
                                                                <w:bottom w:val="none" w:sz="0" w:space="0" w:color="auto"/>
                                                                <w:right w:val="none" w:sz="0" w:space="0" w:color="auto"/>
                                                              </w:divBdr>
                                                              <w:divsChild>
                                                                <w:div w:id="88308159">
                                                                  <w:marLeft w:val="0"/>
                                                                  <w:marRight w:val="0"/>
                                                                  <w:marTop w:val="0"/>
                                                                  <w:marBottom w:val="0"/>
                                                                  <w:divBdr>
                                                                    <w:top w:val="none" w:sz="0" w:space="0" w:color="auto"/>
                                                                    <w:left w:val="none" w:sz="0" w:space="0" w:color="auto"/>
                                                                    <w:bottom w:val="none" w:sz="0" w:space="0" w:color="auto"/>
                                                                    <w:right w:val="none" w:sz="0" w:space="0" w:color="auto"/>
                                                                  </w:divBdr>
                                                                </w:div>
                                                                <w:div w:id="157625150">
                                                                  <w:marLeft w:val="0"/>
                                                                  <w:marRight w:val="0"/>
                                                                  <w:marTop w:val="0"/>
                                                                  <w:marBottom w:val="0"/>
                                                                  <w:divBdr>
                                                                    <w:top w:val="none" w:sz="0" w:space="0" w:color="auto"/>
                                                                    <w:left w:val="none" w:sz="0" w:space="0" w:color="auto"/>
                                                                    <w:bottom w:val="none" w:sz="0" w:space="0" w:color="auto"/>
                                                                    <w:right w:val="none" w:sz="0" w:space="0" w:color="auto"/>
                                                                  </w:divBdr>
                                                                </w:div>
                                                                <w:div w:id="510608686">
                                                                  <w:marLeft w:val="0"/>
                                                                  <w:marRight w:val="0"/>
                                                                  <w:marTop w:val="0"/>
                                                                  <w:marBottom w:val="0"/>
                                                                  <w:divBdr>
                                                                    <w:top w:val="none" w:sz="0" w:space="0" w:color="auto"/>
                                                                    <w:left w:val="none" w:sz="0" w:space="0" w:color="auto"/>
                                                                    <w:bottom w:val="none" w:sz="0" w:space="0" w:color="auto"/>
                                                                    <w:right w:val="none" w:sz="0" w:space="0" w:color="auto"/>
                                                                  </w:divBdr>
                                                                </w:div>
                                                                <w:div w:id="1074280494">
                                                                  <w:marLeft w:val="0"/>
                                                                  <w:marRight w:val="0"/>
                                                                  <w:marTop w:val="0"/>
                                                                  <w:marBottom w:val="0"/>
                                                                  <w:divBdr>
                                                                    <w:top w:val="none" w:sz="0" w:space="0" w:color="auto"/>
                                                                    <w:left w:val="none" w:sz="0" w:space="0" w:color="auto"/>
                                                                    <w:bottom w:val="none" w:sz="0" w:space="0" w:color="auto"/>
                                                                    <w:right w:val="none" w:sz="0" w:space="0" w:color="auto"/>
                                                                  </w:divBdr>
                                                                </w:div>
                                                                <w:div w:id="1076896683">
                                                                  <w:marLeft w:val="0"/>
                                                                  <w:marRight w:val="0"/>
                                                                  <w:marTop w:val="0"/>
                                                                  <w:marBottom w:val="0"/>
                                                                  <w:divBdr>
                                                                    <w:top w:val="none" w:sz="0" w:space="0" w:color="auto"/>
                                                                    <w:left w:val="none" w:sz="0" w:space="0" w:color="auto"/>
                                                                    <w:bottom w:val="none" w:sz="0" w:space="0" w:color="auto"/>
                                                                    <w:right w:val="none" w:sz="0" w:space="0" w:color="auto"/>
                                                                  </w:divBdr>
                                                                </w:div>
                                                                <w:div w:id="1658723596">
                                                                  <w:marLeft w:val="0"/>
                                                                  <w:marRight w:val="0"/>
                                                                  <w:marTop w:val="120"/>
                                                                  <w:marBottom w:val="120"/>
                                                                  <w:divBdr>
                                                                    <w:top w:val="none" w:sz="0" w:space="0" w:color="auto"/>
                                                                    <w:left w:val="none" w:sz="0" w:space="0" w:color="auto"/>
                                                                    <w:bottom w:val="none" w:sz="0" w:space="0" w:color="auto"/>
                                                                    <w:right w:val="none" w:sz="0" w:space="0" w:color="auto"/>
                                                                  </w:divBdr>
                                                                  <w:divsChild>
                                                                    <w:div w:id="149906415">
                                                                      <w:marLeft w:val="0"/>
                                                                      <w:marRight w:val="0"/>
                                                                      <w:marTop w:val="0"/>
                                                                      <w:marBottom w:val="0"/>
                                                                      <w:divBdr>
                                                                        <w:top w:val="none" w:sz="0" w:space="0" w:color="auto"/>
                                                                        <w:left w:val="none" w:sz="0" w:space="0" w:color="auto"/>
                                                                        <w:bottom w:val="none" w:sz="0" w:space="0" w:color="auto"/>
                                                                        <w:right w:val="none" w:sz="0" w:space="0" w:color="auto"/>
                                                                      </w:divBdr>
                                                                    </w:div>
                                                                    <w:div w:id="218517269">
                                                                      <w:marLeft w:val="0"/>
                                                                      <w:marRight w:val="0"/>
                                                                      <w:marTop w:val="0"/>
                                                                      <w:marBottom w:val="0"/>
                                                                      <w:divBdr>
                                                                        <w:top w:val="none" w:sz="0" w:space="0" w:color="auto"/>
                                                                        <w:left w:val="none" w:sz="0" w:space="0" w:color="auto"/>
                                                                        <w:bottom w:val="none" w:sz="0" w:space="0" w:color="auto"/>
                                                                        <w:right w:val="none" w:sz="0" w:space="0" w:color="auto"/>
                                                                      </w:divBdr>
                                                                    </w:div>
                                                                    <w:div w:id="2136412722">
                                                                      <w:marLeft w:val="0"/>
                                                                      <w:marRight w:val="0"/>
                                                                      <w:marTop w:val="0"/>
                                                                      <w:marBottom w:val="0"/>
                                                                      <w:divBdr>
                                                                        <w:top w:val="none" w:sz="0" w:space="0" w:color="auto"/>
                                                                        <w:left w:val="none" w:sz="0" w:space="0" w:color="auto"/>
                                                                        <w:bottom w:val="none" w:sz="0" w:space="0" w:color="auto"/>
                                                                        <w:right w:val="none" w:sz="0" w:space="0" w:color="auto"/>
                                                                      </w:divBdr>
                                                                    </w:div>
                                                                  </w:divsChild>
                                                                </w:div>
                                                                <w:div w:id="1735008795">
                                                                  <w:marLeft w:val="0"/>
                                                                  <w:marRight w:val="0"/>
                                                                  <w:marTop w:val="0"/>
                                                                  <w:marBottom w:val="0"/>
                                                                  <w:divBdr>
                                                                    <w:top w:val="none" w:sz="0" w:space="0" w:color="auto"/>
                                                                    <w:left w:val="none" w:sz="0" w:space="0" w:color="auto"/>
                                                                    <w:bottom w:val="none" w:sz="0" w:space="0" w:color="auto"/>
                                                                    <w:right w:val="none" w:sz="0" w:space="0" w:color="auto"/>
                                                                  </w:divBdr>
                                                                </w:div>
                                                                <w:div w:id="191693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12971864">
      <w:bodyDiv w:val="1"/>
      <w:marLeft w:val="0"/>
      <w:marRight w:val="0"/>
      <w:marTop w:val="0"/>
      <w:marBottom w:val="0"/>
      <w:divBdr>
        <w:top w:val="none" w:sz="0" w:space="0" w:color="auto"/>
        <w:left w:val="none" w:sz="0" w:space="0" w:color="auto"/>
        <w:bottom w:val="none" w:sz="0" w:space="0" w:color="auto"/>
        <w:right w:val="none" w:sz="0" w:space="0" w:color="auto"/>
      </w:divBdr>
      <w:divsChild>
        <w:div w:id="1244685407">
          <w:marLeft w:val="0"/>
          <w:marRight w:val="0"/>
          <w:marTop w:val="0"/>
          <w:marBottom w:val="0"/>
          <w:divBdr>
            <w:top w:val="none" w:sz="0" w:space="0" w:color="auto"/>
            <w:left w:val="none" w:sz="0" w:space="0" w:color="auto"/>
            <w:bottom w:val="none" w:sz="0" w:space="0" w:color="auto"/>
            <w:right w:val="none" w:sz="0" w:space="0" w:color="auto"/>
          </w:divBdr>
          <w:divsChild>
            <w:div w:id="1216703808">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721517159">
      <w:bodyDiv w:val="1"/>
      <w:marLeft w:val="0"/>
      <w:marRight w:val="0"/>
      <w:marTop w:val="0"/>
      <w:marBottom w:val="450"/>
      <w:divBdr>
        <w:top w:val="none" w:sz="0" w:space="0" w:color="auto"/>
        <w:left w:val="none" w:sz="0" w:space="0" w:color="auto"/>
        <w:bottom w:val="none" w:sz="0" w:space="0" w:color="auto"/>
        <w:right w:val="none" w:sz="0" w:space="0" w:color="auto"/>
      </w:divBdr>
      <w:divsChild>
        <w:div w:id="1829131795">
          <w:marLeft w:val="0"/>
          <w:marRight w:val="0"/>
          <w:marTop w:val="100"/>
          <w:marBottom w:val="100"/>
          <w:divBdr>
            <w:top w:val="none" w:sz="0" w:space="0" w:color="auto"/>
            <w:left w:val="none" w:sz="0" w:space="0" w:color="auto"/>
            <w:bottom w:val="none" w:sz="0" w:space="0" w:color="auto"/>
            <w:right w:val="none" w:sz="0" w:space="0" w:color="auto"/>
          </w:divBdr>
          <w:divsChild>
            <w:div w:id="1366717524">
              <w:marLeft w:val="0"/>
              <w:marRight w:val="0"/>
              <w:marTop w:val="0"/>
              <w:marBottom w:val="0"/>
              <w:divBdr>
                <w:top w:val="none" w:sz="0" w:space="0" w:color="auto"/>
                <w:left w:val="none" w:sz="0" w:space="0" w:color="auto"/>
                <w:bottom w:val="none" w:sz="0" w:space="0" w:color="auto"/>
                <w:right w:val="none" w:sz="0" w:space="0" w:color="auto"/>
              </w:divBdr>
              <w:divsChild>
                <w:div w:id="669721945">
                  <w:marLeft w:val="300"/>
                  <w:marRight w:val="300"/>
                  <w:marTop w:val="0"/>
                  <w:marBottom w:val="0"/>
                  <w:divBdr>
                    <w:top w:val="none" w:sz="0" w:space="0" w:color="auto"/>
                    <w:left w:val="none" w:sz="0" w:space="0" w:color="auto"/>
                    <w:bottom w:val="none" w:sz="0" w:space="0" w:color="auto"/>
                    <w:right w:val="none" w:sz="0" w:space="0" w:color="auto"/>
                  </w:divBdr>
                  <w:divsChild>
                    <w:div w:id="2113158463">
                      <w:marLeft w:val="0"/>
                      <w:marRight w:val="0"/>
                      <w:marTop w:val="0"/>
                      <w:marBottom w:val="0"/>
                      <w:divBdr>
                        <w:top w:val="none" w:sz="0" w:space="0" w:color="auto"/>
                        <w:left w:val="none" w:sz="0" w:space="0" w:color="auto"/>
                        <w:bottom w:val="none" w:sz="0" w:space="0" w:color="auto"/>
                        <w:right w:val="none" w:sz="0" w:space="0" w:color="auto"/>
                      </w:divBdr>
                      <w:divsChild>
                        <w:div w:id="945771929">
                          <w:marLeft w:val="0"/>
                          <w:marRight w:val="0"/>
                          <w:marTop w:val="0"/>
                          <w:marBottom w:val="0"/>
                          <w:divBdr>
                            <w:top w:val="none" w:sz="0" w:space="0" w:color="auto"/>
                            <w:left w:val="none" w:sz="0" w:space="0" w:color="auto"/>
                            <w:bottom w:val="none" w:sz="0" w:space="0" w:color="auto"/>
                            <w:right w:val="none" w:sz="0" w:space="0" w:color="auto"/>
                          </w:divBdr>
                          <w:divsChild>
                            <w:div w:id="107243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446264">
      <w:bodyDiv w:val="1"/>
      <w:marLeft w:val="0"/>
      <w:marRight w:val="0"/>
      <w:marTop w:val="0"/>
      <w:marBottom w:val="0"/>
      <w:divBdr>
        <w:top w:val="none" w:sz="0" w:space="0" w:color="auto"/>
        <w:left w:val="none" w:sz="0" w:space="0" w:color="auto"/>
        <w:bottom w:val="none" w:sz="0" w:space="0" w:color="auto"/>
        <w:right w:val="none" w:sz="0" w:space="0" w:color="auto"/>
      </w:divBdr>
      <w:divsChild>
        <w:div w:id="316150310">
          <w:marLeft w:val="0"/>
          <w:marRight w:val="0"/>
          <w:marTop w:val="0"/>
          <w:marBottom w:val="0"/>
          <w:divBdr>
            <w:top w:val="none" w:sz="0" w:space="0" w:color="auto"/>
            <w:left w:val="none" w:sz="0" w:space="0" w:color="auto"/>
            <w:bottom w:val="none" w:sz="0" w:space="0" w:color="auto"/>
            <w:right w:val="none" w:sz="0" w:space="0" w:color="auto"/>
          </w:divBdr>
          <w:divsChild>
            <w:div w:id="2046056211">
              <w:marLeft w:val="0"/>
              <w:marRight w:val="0"/>
              <w:marTop w:val="0"/>
              <w:marBottom w:val="0"/>
              <w:divBdr>
                <w:top w:val="none" w:sz="0" w:space="0" w:color="auto"/>
                <w:left w:val="none" w:sz="0" w:space="0" w:color="auto"/>
                <w:bottom w:val="none" w:sz="0" w:space="0" w:color="auto"/>
                <w:right w:val="none" w:sz="0" w:space="0" w:color="auto"/>
              </w:divBdr>
              <w:divsChild>
                <w:div w:id="426463788">
                  <w:marLeft w:val="0"/>
                  <w:marRight w:val="0"/>
                  <w:marTop w:val="0"/>
                  <w:marBottom w:val="0"/>
                  <w:divBdr>
                    <w:top w:val="none" w:sz="0" w:space="0" w:color="auto"/>
                    <w:left w:val="none" w:sz="0" w:space="0" w:color="auto"/>
                    <w:bottom w:val="none" w:sz="0" w:space="0" w:color="auto"/>
                    <w:right w:val="none" w:sz="0" w:space="0" w:color="auto"/>
                  </w:divBdr>
                </w:div>
                <w:div w:id="139389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90199">
          <w:marLeft w:val="0"/>
          <w:marRight w:val="0"/>
          <w:marTop w:val="0"/>
          <w:marBottom w:val="0"/>
          <w:divBdr>
            <w:top w:val="none" w:sz="0" w:space="0" w:color="auto"/>
            <w:left w:val="none" w:sz="0" w:space="0" w:color="auto"/>
            <w:bottom w:val="none" w:sz="0" w:space="0" w:color="auto"/>
            <w:right w:val="none" w:sz="0" w:space="0" w:color="auto"/>
          </w:divBdr>
          <w:divsChild>
            <w:div w:id="772435995">
              <w:marLeft w:val="0"/>
              <w:marRight w:val="0"/>
              <w:marTop w:val="0"/>
              <w:marBottom w:val="0"/>
              <w:divBdr>
                <w:top w:val="none" w:sz="0" w:space="0" w:color="auto"/>
                <w:left w:val="none" w:sz="0" w:space="0" w:color="auto"/>
                <w:bottom w:val="none" w:sz="0" w:space="0" w:color="auto"/>
                <w:right w:val="none" w:sz="0" w:space="0" w:color="auto"/>
              </w:divBdr>
              <w:divsChild>
                <w:div w:id="222645161">
                  <w:marLeft w:val="0"/>
                  <w:marRight w:val="0"/>
                  <w:marTop w:val="0"/>
                  <w:marBottom w:val="0"/>
                  <w:divBdr>
                    <w:top w:val="none" w:sz="0" w:space="0" w:color="auto"/>
                    <w:left w:val="none" w:sz="0" w:space="0" w:color="auto"/>
                    <w:bottom w:val="none" w:sz="0" w:space="0" w:color="auto"/>
                    <w:right w:val="none" w:sz="0" w:space="0" w:color="auto"/>
                  </w:divBdr>
                </w:div>
                <w:div w:id="114087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76756">
          <w:marLeft w:val="0"/>
          <w:marRight w:val="0"/>
          <w:marTop w:val="0"/>
          <w:marBottom w:val="0"/>
          <w:divBdr>
            <w:top w:val="none" w:sz="0" w:space="0" w:color="auto"/>
            <w:left w:val="none" w:sz="0" w:space="0" w:color="auto"/>
            <w:bottom w:val="none" w:sz="0" w:space="0" w:color="auto"/>
            <w:right w:val="none" w:sz="0" w:space="0" w:color="auto"/>
          </w:divBdr>
          <w:divsChild>
            <w:div w:id="1773352793">
              <w:marLeft w:val="0"/>
              <w:marRight w:val="0"/>
              <w:marTop w:val="0"/>
              <w:marBottom w:val="0"/>
              <w:divBdr>
                <w:top w:val="none" w:sz="0" w:space="0" w:color="auto"/>
                <w:left w:val="none" w:sz="0" w:space="0" w:color="auto"/>
                <w:bottom w:val="none" w:sz="0" w:space="0" w:color="auto"/>
                <w:right w:val="none" w:sz="0" w:space="0" w:color="auto"/>
              </w:divBdr>
              <w:divsChild>
                <w:div w:id="152336912">
                  <w:marLeft w:val="0"/>
                  <w:marRight w:val="0"/>
                  <w:marTop w:val="0"/>
                  <w:marBottom w:val="0"/>
                  <w:divBdr>
                    <w:top w:val="none" w:sz="0" w:space="0" w:color="auto"/>
                    <w:left w:val="none" w:sz="0" w:space="0" w:color="auto"/>
                    <w:bottom w:val="none" w:sz="0" w:space="0" w:color="auto"/>
                    <w:right w:val="none" w:sz="0" w:space="0" w:color="auto"/>
                  </w:divBdr>
                </w:div>
                <w:div w:id="154312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315687">
          <w:marLeft w:val="0"/>
          <w:marRight w:val="0"/>
          <w:marTop w:val="0"/>
          <w:marBottom w:val="0"/>
          <w:divBdr>
            <w:top w:val="none" w:sz="0" w:space="0" w:color="auto"/>
            <w:left w:val="none" w:sz="0" w:space="0" w:color="auto"/>
            <w:bottom w:val="none" w:sz="0" w:space="0" w:color="auto"/>
            <w:right w:val="none" w:sz="0" w:space="0" w:color="auto"/>
          </w:divBdr>
          <w:divsChild>
            <w:div w:id="85155846">
              <w:marLeft w:val="0"/>
              <w:marRight w:val="0"/>
              <w:marTop w:val="0"/>
              <w:marBottom w:val="0"/>
              <w:divBdr>
                <w:top w:val="none" w:sz="0" w:space="0" w:color="auto"/>
                <w:left w:val="none" w:sz="0" w:space="0" w:color="auto"/>
                <w:bottom w:val="none" w:sz="0" w:space="0" w:color="auto"/>
                <w:right w:val="none" w:sz="0" w:space="0" w:color="auto"/>
              </w:divBdr>
              <w:divsChild>
                <w:div w:id="364136834">
                  <w:marLeft w:val="0"/>
                  <w:marRight w:val="0"/>
                  <w:marTop w:val="0"/>
                  <w:marBottom w:val="0"/>
                  <w:divBdr>
                    <w:top w:val="none" w:sz="0" w:space="0" w:color="auto"/>
                    <w:left w:val="none" w:sz="0" w:space="0" w:color="auto"/>
                    <w:bottom w:val="none" w:sz="0" w:space="0" w:color="auto"/>
                    <w:right w:val="none" w:sz="0" w:space="0" w:color="auto"/>
                  </w:divBdr>
                </w:div>
                <w:div w:id="73239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007504">
      <w:bodyDiv w:val="1"/>
      <w:marLeft w:val="0"/>
      <w:marRight w:val="0"/>
      <w:marTop w:val="0"/>
      <w:marBottom w:val="0"/>
      <w:divBdr>
        <w:top w:val="none" w:sz="0" w:space="0" w:color="auto"/>
        <w:left w:val="none" w:sz="0" w:space="0" w:color="auto"/>
        <w:bottom w:val="none" w:sz="0" w:space="0" w:color="auto"/>
        <w:right w:val="none" w:sz="0" w:space="0" w:color="auto"/>
      </w:divBdr>
    </w:div>
    <w:div w:id="751244573">
      <w:bodyDiv w:val="1"/>
      <w:marLeft w:val="0"/>
      <w:marRight w:val="0"/>
      <w:marTop w:val="0"/>
      <w:marBottom w:val="0"/>
      <w:divBdr>
        <w:top w:val="none" w:sz="0" w:space="0" w:color="auto"/>
        <w:left w:val="none" w:sz="0" w:space="0" w:color="auto"/>
        <w:bottom w:val="none" w:sz="0" w:space="0" w:color="auto"/>
        <w:right w:val="none" w:sz="0" w:space="0" w:color="auto"/>
      </w:divBdr>
    </w:div>
    <w:div w:id="758719588">
      <w:bodyDiv w:val="1"/>
      <w:marLeft w:val="0"/>
      <w:marRight w:val="0"/>
      <w:marTop w:val="0"/>
      <w:marBottom w:val="0"/>
      <w:divBdr>
        <w:top w:val="none" w:sz="0" w:space="0" w:color="auto"/>
        <w:left w:val="none" w:sz="0" w:space="0" w:color="auto"/>
        <w:bottom w:val="none" w:sz="0" w:space="0" w:color="auto"/>
        <w:right w:val="none" w:sz="0" w:space="0" w:color="auto"/>
      </w:divBdr>
    </w:div>
    <w:div w:id="767506840">
      <w:bodyDiv w:val="1"/>
      <w:marLeft w:val="0"/>
      <w:marRight w:val="0"/>
      <w:marTop w:val="0"/>
      <w:marBottom w:val="0"/>
      <w:divBdr>
        <w:top w:val="none" w:sz="0" w:space="0" w:color="auto"/>
        <w:left w:val="none" w:sz="0" w:space="0" w:color="auto"/>
        <w:bottom w:val="none" w:sz="0" w:space="0" w:color="auto"/>
        <w:right w:val="none" w:sz="0" w:space="0" w:color="auto"/>
      </w:divBdr>
    </w:div>
    <w:div w:id="770703579">
      <w:bodyDiv w:val="1"/>
      <w:marLeft w:val="0"/>
      <w:marRight w:val="0"/>
      <w:marTop w:val="0"/>
      <w:marBottom w:val="0"/>
      <w:divBdr>
        <w:top w:val="none" w:sz="0" w:space="0" w:color="auto"/>
        <w:left w:val="none" w:sz="0" w:space="0" w:color="auto"/>
        <w:bottom w:val="none" w:sz="0" w:space="0" w:color="auto"/>
        <w:right w:val="none" w:sz="0" w:space="0" w:color="auto"/>
      </w:divBdr>
    </w:div>
    <w:div w:id="773017753">
      <w:bodyDiv w:val="1"/>
      <w:marLeft w:val="0"/>
      <w:marRight w:val="0"/>
      <w:marTop w:val="0"/>
      <w:marBottom w:val="0"/>
      <w:divBdr>
        <w:top w:val="none" w:sz="0" w:space="0" w:color="auto"/>
        <w:left w:val="none" w:sz="0" w:space="0" w:color="auto"/>
        <w:bottom w:val="none" w:sz="0" w:space="0" w:color="auto"/>
        <w:right w:val="none" w:sz="0" w:space="0" w:color="auto"/>
      </w:divBdr>
    </w:div>
    <w:div w:id="780105768">
      <w:bodyDiv w:val="1"/>
      <w:marLeft w:val="0"/>
      <w:marRight w:val="0"/>
      <w:marTop w:val="0"/>
      <w:marBottom w:val="0"/>
      <w:divBdr>
        <w:top w:val="none" w:sz="0" w:space="0" w:color="auto"/>
        <w:left w:val="none" w:sz="0" w:space="0" w:color="auto"/>
        <w:bottom w:val="none" w:sz="0" w:space="0" w:color="auto"/>
        <w:right w:val="none" w:sz="0" w:space="0" w:color="auto"/>
      </w:divBdr>
    </w:div>
    <w:div w:id="783840764">
      <w:bodyDiv w:val="1"/>
      <w:marLeft w:val="0"/>
      <w:marRight w:val="0"/>
      <w:marTop w:val="0"/>
      <w:marBottom w:val="0"/>
      <w:divBdr>
        <w:top w:val="none" w:sz="0" w:space="0" w:color="auto"/>
        <w:left w:val="none" w:sz="0" w:space="0" w:color="auto"/>
        <w:bottom w:val="none" w:sz="0" w:space="0" w:color="auto"/>
        <w:right w:val="none" w:sz="0" w:space="0" w:color="auto"/>
      </w:divBdr>
    </w:div>
    <w:div w:id="788939849">
      <w:bodyDiv w:val="1"/>
      <w:marLeft w:val="0"/>
      <w:marRight w:val="0"/>
      <w:marTop w:val="0"/>
      <w:marBottom w:val="0"/>
      <w:divBdr>
        <w:top w:val="none" w:sz="0" w:space="0" w:color="auto"/>
        <w:left w:val="none" w:sz="0" w:space="0" w:color="auto"/>
        <w:bottom w:val="none" w:sz="0" w:space="0" w:color="auto"/>
        <w:right w:val="none" w:sz="0" w:space="0" w:color="auto"/>
      </w:divBdr>
    </w:div>
    <w:div w:id="796920092">
      <w:bodyDiv w:val="1"/>
      <w:marLeft w:val="0"/>
      <w:marRight w:val="0"/>
      <w:marTop w:val="0"/>
      <w:marBottom w:val="0"/>
      <w:divBdr>
        <w:top w:val="none" w:sz="0" w:space="0" w:color="auto"/>
        <w:left w:val="none" w:sz="0" w:space="0" w:color="auto"/>
        <w:bottom w:val="none" w:sz="0" w:space="0" w:color="auto"/>
        <w:right w:val="none" w:sz="0" w:space="0" w:color="auto"/>
      </w:divBdr>
      <w:divsChild>
        <w:div w:id="2129471425">
          <w:marLeft w:val="0"/>
          <w:marRight w:val="0"/>
          <w:marTop w:val="0"/>
          <w:marBottom w:val="0"/>
          <w:divBdr>
            <w:top w:val="none" w:sz="0" w:space="0" w:color="auto"/>
            <w:left w:val="none" w:sz="0" w:space="0" w:color="auto"/>
            <w:bottom w:val="none" w:sz="0" w:space="0" w:color="auto"/>
            <w:right w:val="none" w:sz="0" w:space="0" w:color="auto"/>
          </w:divBdr>
        </w:div>
      </w:divsChild>
    </w:div>
    <w:div w:id="801575634">
      <w:bodyDiv w:val="1"/>
      <w:marLeft w:val="0"/>
      <w:marRight w:val="0"/>
      <w:marTop w:val="0"/>
      <w:marBottom w:val="0"/>
      <w:divBdr>
        <w:top w:val="none" w:sz="0" w:space="0" w:color="auto"/>
        <w:left w:val="none" w:sz="0" w:space="0" w:color="auto"/>
        <w:bottom w:val="none" w:sz="0" w:space="0" w:color="auto"/>
        <w:right w:val="none" w:sz="0" w:space="0" w:color="auto"/>
      </w:divBdr>
    </w:div>
    <w:div w:id="815954728">
      <w:bodyDiv w:val="1"/>
      <w:marLeft w:val="0"/>
      <w:marRight w:val="0"/>
      <w:marTop w:val="0"/>
      <w:marBottom w:val="0"/>
      <w:divBdr>
        <w:top w:val="none" w:sz="0" w:space="0" w:color="auto"/>
        <w:left w:val="none" w:sz="0" w:space="0" w:color="auto"/>
        <w:bottom w:val="none" w:sz="0" w:space="0" w:color="auto"/>
        <w:right w:val="none" w:sz="0" w:space="0" w:color="auto"/>
      </w:divBdr>
      <w:divsChild>
        <w:div w:id="658078186">
          <w:marLeft w:val="0"/>
          <w:marRight w:val="0"/>
          <w:marTop w:val="0"/>
          <w:marBottom w:val="0"/>
          <w:divBdr>
            <w:top w:val="none" w:sz="0" w:space="0" w:color="auto"/>
            <w:left w:val="none" w:sz="0" w:space="0" w:color="auto"/>
            <w:bottom w:val="none" w:sz="0" w:space="0" w:color="auto"/>
            <w:right w:val="none" w:sz="0" w:space="0" w:color="auto"/>
          </w:divBdr>
          <w:divsChild>
            <w:div w:id="1586650476">
              <w:marLeft w:val="3225"/>
              <w:marRight w:val="0"/>
              <w:marTop w:val="0"/>
              <w:marBottom w:val="0"/>
              <w:divBdr>
                <w:top w:val="none" w:sz="0" w:space="0" w:color="auto"/>
                <w:left w:val="none" w:sz="0" w:space="0" w:color="auto"/>
                <w:bottom w:val="none" w:sz="0" w:space="0" w:color="auto"/>
                <w:right w:val="none" w:sz="0" w:space="0" w:color="auto"/>
              </w:divBdr>
              <w:divsChild>
                <w:div w:id="1151484795">
                  <w:marLeft w:val="90"/>
                  <w:marRight w:val="0"/>
                  <w:marTop w:val="0"/>
                  <w:marBottom w:val="0"/>
                  <w:divBdr>
                    <w:top w:val="single" w:sz="6" w:space="0" w:color="EEEEEE"/>
                    <w:left w:val="none" w:sz="0" w:space="0" w:color="auto"/>
                    <w:bottom w:val="none" w:sz="0" w:space="0" w:color="auto"/>
                    <w:right w:val="none" w:sz="0" w:space="0" w:color="auto"/>
                  </w:divBdr>
                  <w:divsChild>
                    <w:div w:id="1567956666">
                      <w:marLeft w:val="0"/>
                      <w:marRight w:val="0"/>
                      <w:marTop w:val="0"/>
                      <w:marBottom w:val="0"/>
                      <w:divBdr>
                        <w:top w:val="none" w:sz="0" w:space="0" w:color="auto"/>
                        <w:left w:val="none" w:sz="0" w:space="0" w:color="auto"/>
                        <w:bottom w:val="none" w:sz="0" w:space="0" w:color="auto"/>
                        <w:right w:val="none" w:sz="0" w:space="0" w:color="auto"/>
                      </w:divBdr>
                      <w:divsChild>
                        <w:div w:id="49291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132994">
      <w:bodyDiv w:val="1"/>
      <w:marLeft w:val="0"/>
      <w:marRight w:val="0"/>
      <w:marTop w:val="0"/>
      <w:marBottom w:val="0"/>
      <w:divBdr>
        <w:top w:val="none" w:sz="0" w:space="0" w:color="auto"/>
        <w:left w:val="none" w:sz="0" w:space="0" w:color="auto"/>
        <w:bottom w:val="none" w:sz="0" w:space="0" w:color="auto"/>
        <w:right w:val="none" w:sz="0" w:space="0" w:color="auto"/>
      </w:divBdr>
    </w:div>
    <w:div w:id="831527577">
      <w:bodyDiv w:val="1"/>
      <w:marLeft w:val="0"/>
      <w:marRight w:val="0"/>
      <w:marTop w:val="0"/>
      <w:marBottom w:val="0"/>
      <w:divBdr>
        <w:top w:val="none" w:sz="0" w:space="0" w:color="auto"/>
        <w:left w:val="none" w:sz="0" w:space="0" w:color="auto"/>
        <w:bottom w:val="none" w:sz="0" w:space="0" w:color="auto"/>
        <w:right w:val="none" w:sz="0" w:space="0" w:color="auto"/>
      </w:divBdr>
    </w:div>
    <w:div w:id="835800094">
      <w:bodyDiv w:val="1"/>
      <w:marLeft w:val="0"/>
      <w:marRight w:val="0"/>
      <w:marTop w:val="0"/>
      <w:marBottom w:val="0"/>
      <w:divBdr>
        <w:top w:val="none" w:sz="0" w:space="0" w:color="auto"/>
        <w:left w:val="none" w:sz="0" w:space="0" w:color="auto"/>
        <w:bottom w:val="none" w:sz="0" w:space="0" w:color="auto"/>
        <w:right w:val="none" w:sz="0" w:space="0" w:color="auto"/>
      </w:divBdr>
    </w:div>
    <w:div w:id="836506791">
      <w:bodyDiv w:val="1"/>
      <w:marLeft w:val="0"/>
      <w:marRight w:val="0"/>
      <w:marTop w:val="0"/>
      <w:marBottom w:val="0"/>
      <w:divBdr>
        <w:top w:val="none" w:sz="0" w:space="0" w:color="auto"/>
        <w:left w:val="none" w:sz="0" w:space="0" w:color="auto"/>
        <w:bottom w:val="none" w:sz="0" w:space="0" w:color="auto"/>
        <w:right w:val="none" w:sz="0" w:space="0" w:color="auto"/>
      </w:divBdr>
    </w:div>
    <w:div w:id="836848220">
      <w:bodyDiv w:val="1"/>
      <w:marLeft w:val="0"/>
      <w:marRight w:val="0"/>
      <w:marTop w:val="0"/>
      <w:marBottom w:val="0"/>
      <w:divBdr>
        <w:top w:val="none" w:sz="0" w:space="0" w:color="auto"/>
        <w:left w:val="none" w:sz="0" w:space="0" w:color="auto"/>
        <w:bottom w:val="none" w:sz="0" w:space="0" w:color="auto"/>
        <w:right w:val="none" w:sz="0" w:space="0" w:color="auto"/>
      </w:divBdr>
      <w:divsChild>
        <w:div w:id="1367564700">
          <w:marLeft w:val="0"/>
          <w:marRight w:val="0"/>
          <w:marTop w:val="0"/>
          <w:marBottom w:val="0"/>
          <w:divBdr>
            <w:top w:val="none" w:sz="0" w:space="0" w:color="auto"/>
            <w:left w:val="none" w:sz="0" w:space="0" w:color="auto"/>
            <w:bottom w:val="none" w:sz="0" w:space="0" w:color="auto"/>
            <w:right w:val="none" w:sz="0" w:space="0" w:color="auto"/>
          </w:divBdr>
          <w:divsChild>
            <w:div w:id="1065027370">
              <w:marLeft w:val="0"/>
              <w:marRight w:val="0"/>
              <w:marTop w:val="0"/>
              <w:marBottom w:val="0"/>
              <w:divBdr>
                <w:top w:val="none" w:sz="0" w:space="0" w:color="auto"/>
                <w:left w:val="none" w:sz="0" w:space="0" w:color="auto"/>
                <w:bottom w:val="none" w:sz="0" w:space="0" w:color="auto"/>
                <w:right w:val="none" w:sz="0" w:space="0" w:color="auto"/>
              </w:divBdr>
              <w:divsChild>
                <w:div w:id="1882554051">
                  <w:marLeft w:val="0"/>
                  <w:marRight w:val="0"/>
                  <w:marTop w:val="0"/>
                  <w:marBottom w:val="0"/>
                  <w:divBdr>
                    <w:top w:val="none" w:sz="0" w:space="0" w:color="auto"/>
                    <w:left w:val="none" w:sz="0" w:space="0" w:color="auto"/>
                    <w:bottom w:val="none" w:sz="0" w:space="0" w:color="auto"/>
                    <w:right w:val="none" w:sz="0" w:space="0" w:color="auto"/>
                  </w:divBdr>
                  <w:divsChild>
                    <w:div w:id="144600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659223">
      <w:bodyDiv w:val="1"/>
      <w:marLeft w:val="0"/>
      <w:marRight w:val="0"/>
      <w:marTop w:val="0"/>
      <w:marBottom w:val="0"/>
      <w:divBdr>
        <w:top w:val="none" w:sz="0" w:space="0" w:color="auto"/>
        <w:left w:val="none" w:sz="0" w:space="0" w:color="auto"/>
        <w:bottom w:val="none" w:sz="0" w:space="0" w:color="auto"/>
        <w:right w:val="none" w:sz="0" w:space="0" w:color="auto"/>
      </w:divBdr>
    </w:div>
    <w:div w:id="846287671">
      <w:bodyDiv w:val="1"/>
      <w:marLeft w:val="0"/>
      <w:marRight w:val="0"/>
      <w:marTop w:val="0"/>
      <w:marBottom w:val="0"/>
      <w:divBdr>
        <w:top w:val="none" w:sz="0" w:space="0" w:color="auto"/>
        <w:left w:val="none" w:sz="0" w:space="0" w:color="auto"/>
        <w:bottom w:val="none" w:sz="0" w:space="0" w:color="auto"/>
        <w:right w:val="none" w:sz="0" w:space="0" w:color="auto"/>
      </w:divBdr>
    </w:div>
    <w:div w:id="847448944">
      <w:bodyDiv w:val="1"/>
      <w:marLeft w:val="0"/>
      <w:marRight w:val="0"/>
      <w:marTop w:val="0"/>
      <w:marBottom w:val="0"/>
      <w:divBdr>
        <w:top w:val="none" w:sz="0" w:space="0" w:color="auto"/>
        <w:left w:val="none" w:sz="0" w:space="0" w:color="auto"/>
        <w:bottom w:val="none" w:sz="0" w:space="0" w:color="auto"/>
        <w:right w:val="none" w:sz="0" w:space="0" w:color="auto"/>
      </w:divBdr>
    </w:div>
    <w:div w:id="855192919">
      <w:bodyDiv w:val="1"/>
      <w:marLeft w:val="0"/>
      <w:marRight w:val="0"/>
      <w:marTop w:val="0"/>
      <w:marBottom w:val="0"/>
      <w:divBdr>
        <w:top w:val="none" w:sz="0" w:space="0" w:color="auto"/>
        <w:left w:val="none" w:sz="0" w:space="0" w:color="auto"/>
        <w:bottom w:val="none" w:sz="0" w:space="0" w:color="auto"/>
        <w:right w:val="none" w:sz="0" w:space="0" w:color="auto"/>
      </w:divBdr>
      <w:divsChild>
        <w:div w:id="640620330">
          <w:marLeft w:val="0"/>
          <w:marRight w:val="0"/>
          <w:marTop w:val="0"/>
          <w:marBottom w:val="0"/>
          <w:divBdr>
            <w:top w:val="none" w:sz="0" w:space="0" w:color="auto"/>
            <w:left w:val="none" w:sz="0" w:space="0" w:color="auto"/>
            <w:bottom w:val="none" w:sz="0" w:space="0" w:color="auto"/>
            <w:right w:val="none" w:sz="0" w:space="0" w:color="auto"/>
          </w:divBdr>
          <w:divsChild>
            <w:div w:id="895894297">
              <w:marLeft w:val="0"/>
              <w:marRight w:val="0"/>
              <w:marTop w:val="0"/>
              <w:marBottom w:val="0"/>
              <w:divBdr>
                <w:top w:val="none" w:sz="0" w:space="0" w:color="auto"/>
                <w:left w:val="none" w:sz="0" w:space="0" w:color="auto"/>
                <w:bottom w:val="none" w:sz="0" w:space="0" w:color="auto"/>
                <w:right w:val="none" w:sz="0" w:space="0" w:color="auto"/>
              </w:divBdr>
              <w:divsChild>
                <w:div w:id="655184760">
                  <w:marLeft w:val="0"/>
                  <w:marRight w:val="0"/>
                  <w:marTop w:val="0"/>
                  <w:marBottom w:val="0"/>
                  <w:divBdr>
                    <w:top w:val="none" w:sz="0" w:space="0" w:color="auto"/>
                    <w:left w:val="none" w:sz="0" w:space="0" w:color="auto"/>
                    <w:bottom w:val="none" w:sz="0" w:space="0" w:color="auto"/>
                    <w:right w:val="none" w:sz="0" w:space="0" w:color="auto"/>
                  </w:divBdr>
                  <w:divsChild>
                    <w:div w:id="1709260615">
                      <w:marLeft w:val="0"/>
                      <w:marRight w:val="0"/>
                      <w:marTop w:val="75"/>
                      <w:marBottom w:val="75"/>
                      <w:divBdr>
                        <w:top w:val="none" w:sz="0" w:space="0" w:color="auto"/>
                        <w:left w:val="none" w:sz="0" w:space="0" w:color="auto"/>
                        <w:bottom w:val="none" w:sz="0" w:space="0" w:color="auto"/>
                        <w:right w:val="none" w:sz="0" w:space="0" w:color="auto"/>
                      </w:divBdr>
                      <w:divsChild>
                        <w:div w:id="1749695528">
                          <w:marLeft w:val="0"/>
                          <w:marRight w:val="0"/>
                          <w:marTop w:val="0"/>
                          <w:marBottom w:val="0"/>
                          <w:divBdr>
                            <w:top w:val="none" w:sz="0" w:space="0" w:color="auto"/>
                            <w:left w:val="none" w:sz="0" w:space="0" w:color="auto"/>
                            <w:bottom w:val="none" w:sz="0" w:space="0" w:color="auto"/>
                            <w:right w:val="none" w:sz="0" w:space="0" w:color="auto"/>
                          </w:divBdr>
                          <w:divsChild>
                            <w:div w:id="1247615991">
                              <w:marLeft w:val="0"/>
                              <w:marRight w:val="300"/>
                              <w:marTop w:val="0"/>
                              <w:marBottom w:val="0"/>
                              <w:divBdr>
                                <w:top w:val="none" w:sz="0" w:space="0" w:color="auto"/>
                                <w:left w:val="none" w:sz="0" w:space="0" w:color="auto"/>
                                <w:bottom w:val="none" w:sz="0" w:space="0" w:color="auto"/>
                                <w:right w:val="none" w:sz="0" w:space="0" w:color="auto"/>
                              </w:divBdr>
                              <w:divsChild>
                                <w:div w:id="1090543641">
                                  <w:marLeft w:val="0"/>
                                  <w:marRight w:val="0"/>
                                  <w:marTop w:val="0"/>
                                  <w:marBottom w:val="0"/>
                                  <w:divBdr>
                                    <w:top w:val="none" w:sz="0" w:space="0" w:color="auto"/>
                                    <w:left w:val="none" w:sz="0" w:space="0" w:color="auto"/>
                                    <w:bottom w:val="none" w:sz="0" w:space="0" w:color="auto"/>
                                    <w:right w:val="none" w:sz="0" w:space="0" w:color="auto"/>
                                  </w:divBdr>
                                  <w:divsChild>
                                    <w:div w:id="589050959">
                                      <w:marLeft w:val="0"/>
                                      <w:marRight w:val="0"/>
                                      <w:marTop w:val="0"/>
                                      <w:marBottom w:val="0"/>
                                      <w:divBdr>
                                        <w:top w:val="none" w:sz="0" w:space="0" w:color="auto"/>
                                        <w:left w:val="none" w:sz="0" w:space="0" w:color="auto"/>
                                        <w:bottom w:val="none" w:sz="0" w:space="0" w:color="auto"/>
                                        <w:right w:val="none" w:sz="0" w:space="0" w:color="auto"/>
                                      </w:divBdr>
                                      <w:divsChild>
                                        <w:div w:id="1663269404">
                                          <w:marLeft w:val="0"/>
                                          <w:marRight w:val="0"/>
                                          <w:marTop w:val="0"/>
                                          <w:marBottom w:val="0"/>
                                          <w:divBdr>
                                            <w:top w:val="none" w:sz="0" w:space="0" w:color="auto"/>
                                            <w:left w:val="none" w:sz="0" w:space="0" w:color="auto"/>
                                            <w:bottom w:val="none" w:sz="0" w:space="0" w:color="auto"/>
                                            <w:right w:val="none" w:sz="0" w:space="0" w:color="auto"/>
                                          </w:divBdr>
                                          <w:divsChild>
                                            <w:div w:id="303047648">
                                              <w:marLeft w:val="0"/>
                                              <w:marRight w:val="0"/>
                                              <w:marTop w:val="0"/>
                                              <w:marBottom w:val="0"/>
                                              <w:divBdr>
                                                <w:top w:val="none" w:sz="0" w:space="0" w:color="auto"/>
                                                <w:left w:val="none" w:sz="0" w:space="0" w:color="auto"/>
                                                <w:bottom w:val="none" w:sz="0" w:space="0" w:color="auto"/>
                                                <w:right w:val="none" w:sz="0" w:space="0" w:color="auto"/>
                                              </w:divBdr>
                                              <w:divsChild>
                                                <w:div w:id="1590844873">
                                                  <w:marLeft w:val="4"/>
                                                  <w:marRight w:val="0"/>
                                                  <w:marTop w:val="0"/>
                                                  <w:marBottom w:val="0"/>
                                                  <w:divBdr>
                                                    <w:top w:val="none" w:sz="0" w:space="0" w:color="auto"/>
                                                    <w:left w:val="none" w:sz="0" w:space="0" w:color="auto"/>
                                                    <w:bottom w:val="none" w:sz="0" w:space="0" w:color="auto"/>
                                                    <w:right w:val="none" w:sz="0" w:space="0" w:color="auto"/>
                                                  </w:divBdr>
                                                  <w:divsChild>
                                                    <w:div w:id="155583168">
                                                      <w:marLeft w:val="4"/>
                                                      <w:marRight w:val="0"/>
                                                      <w:marTop w:val="0"/>
                                                      <w:marBottom w:val="0"/>
                                                      <w:divBdr>
                                                        <w:top w:val="none" w:sz="0" w:space="0" w:color="auto"/>
                                                        <w:left w:val="none" w:sz="0" w:space="0" w:color="auto"/>
                                                        <w:bottom w:val="none" w:sz="0" w:space="0" w:color="auto"/>
                                                        <w:right w:val="none" w:sz="0" w:space="0" w:color="auto"/>
                                                      </w:divBdr>
                                                    </w:div>
                                                    <w:div w:id="278881329">
                                                      <w:marLeft w:val="4"/>
                                                      <w:marRight w:val="0"/>
                                                      <w:marTop w:val="0"/>
                                                      <w:marBottom w:val="0"/>
                                                      <w:divBdr>
                                                        <w:top w:val="none" w:sz="0" w:space="0" w:color="auto"/>
                                                        <w:left w:val="none" w:sz="0" w:space="0" w:color="auto"/>
                                                        <w:bottom w:val="none" w:sz="0" w:space="0" w:color="auto"/>
                                                        <w:right w:val="none" w:sz="0" w:space="0" w:color="auto"/>
                                                      </w:divBdr>
                                                    </w:div>
                                                    <w:div w:id="456605902">
                                                      <w:marLeft w:val="4"/>
                                                      <w:marRight w:val="0"/>
                                                      <w:marTop w:val="0"/>
                                                      <w:marBottom w:val="0"/>
                                                      <w:divBdr>
                                                        <w:top w:val="none" w:sz="0" w:space="0" w:color="auto"/>
                                                        <w:left w:val="none" w:sz="0" w:space="0" w:color="auto"/>
                                                        <w:bottom w:val="none" w:sz="0" w:space="0" w:color="auto"/>
                                                        <w:right w:val="none" w:sz="0" w:space="0" w:color="auto"/>
                                                      </w:divBdr>
                                                    </w:div>
                                                    <w:div w:id="525218163">
                                                      <w:marLeft w:val="4"/>
                                                      <w:marRight w:val="0"/>
                                                      <w:marTop w:val="0"/>
                                                      <w:marBottom w:val="0"/>
                                                      <w:divBdr>
                                                        <w:top w:val="none" w:sz="0" w:space="0" w:color="auto"/>
                                                        <w:left w:val="none" w:sz="0" w:space="0" w:color="auto"/>
                                                        <w:bottom w:val="none" w:sz="0" w:space="0" w:color="auto"/>
                                                        <w:right w:val="none" w:sz="0" w:space="0" w:color="auto"/>
                                                      </w:divBdr>
                                                      <w:divsChild>
                                                        <w:div w:id="31997916">
                                                          <w:marLeft w:val="4"/>
                                                          <w:marRight w:val="0"/>
                                                          <w:marTop w:val="0"/>
                                                          <w:marBottom w:val="0"/>
                                                          <w:divBdr>
                                                            <w:top w:val="none" w:sz="0" w:space="0" w:color="auto"/>
                                                            <w:left w:val="none" w:sz="0" w:space="0" w:color="auto"/>
                                                            <w:bottom w:val="none" w:sz="0" w:space="0" w:color="auto"/>
                                                            <w:right w:val="none" w:sz="0" w:space="0" w:color="auto"/>
                                                          </w:divBdr>
                                                        </w:div>
                                                        <w:div w:id="308677433">
                                                          <w:marLeft w:val="4"/>
                                                          <w:marRight w:val="0"/>
                                                          <w:marTop w:val="0"/>
                                                          <w:marBottom w:val="0"/>
                                                          <w:divBdr>
                                                            <w:top w:val="none" w:sz="0" w:space="0" w:color="auto"/>
                                                            <w:left w:val="none" w:sz="0" w:space="0" w:color="auto"/>
                                                            <w:bottom w:val="none" w:sz="0" w:space="0" w:color="auto"/>
                                                            <w:right w:val="none" w:sz="0" w:space="0" w:color="auto"/>
                                                          </w:divBdr>
                                                          <w:divsChild>
                                                            <w:div w:id="1883399562">
                                                              <w:marLeft w:val="-5"/>
                                                              <w:marRight w:val="0"/>
                                                              <w:marTop w:val="0"/>
                                                              <w:marBottom w:val="0"/>
                                                              <w:divBdr>
                                                                <w:top w:val="none" w:sz="0" w:space="0" w:color="auto"/>
                                                                <w:left w:val="none" w:sz="0" w:space="0" w:color="auto"/>
                                                                <w:bottom w:val="none" w:sz="0" w:space="0" w:color="auto"/>
                                                                <w:right w:val="none" w:sz="0" w:space="0" w:color="auto"/>
                                                              </w:divBdr>
                                                            </w:div>
                                                          </w:divsChild>
                                                        </w:div>
                                                      </w:divsChild>
                                                    </w:div>
                                                    <w:div w:id="683631948">
                                                      <w:marLeft w:val="0"/>
                                                      <w:marRight w:val="0"/>
                                                      <w:marTop w:val="0"/>
                                                      <w:marBottom w:val="0"/>
                                                      <w:divBdr>
                                                        <w:top w:val="none" w:sz="0" w:space="0" w:color="auto"/>
                                                        <w:left w:val="none" w:sz="0" w:space="0" w:color="auto"/>
                                                        <w:bottom w:val="none" w:sz="0" w:space="0" w:color="auto"/>
                                                        <w:right w:val="none" w:sz="0" w:space="0" w:color="auto"/>
                                                      </w:divBdr>
                                                    </w:div>
                                                    <w:div w:id="777915592">
                                                      <w:marLeft w:val="0"/>
                                                      <w:marRight w:val="0"/>
                                                      <w:marTop w:val="0"/>
                                                      <w:marBottom w:val="0"/>
                                                      <w:divBdr>
                                                        <w:top w:val="none" w:sz="0" w:space="0" w:color="auto"/>
                                                        <w:left w:val="none" w:sz="0" w:space="0" w:color="auto"/>
                                                        <w:bottom w:val="none" w:sz="0" w:space="0" w:color="auto"/>
                                                        <w:right w:val="none" w:sz="0" w:space="0" w:color="auto"/>
                                                      </w:divBdr>
                                                    </w:div>
                                                    <w:div w:id="942301255">
                                                      <w:marLeft w:val="4"/>
                                                      <w:marRight w:val="0"/>
                                                      <w:marTop w:val="0"/>
                                                      <w:marBottom w:val="0"/>
                                                      <w:divBdr>
                                                        <w:top w:val="none" w:sz="0" w:space="0" w:color="auto"/>
                                                        <w:left w:val="none" w:sz="0" w:space="0" w:color="auto"/>
                                                        <w:bottom w:val="none" w:sz="0" w:space="0" w:color="auto"/>
                                                        <w:right w:val="none" w:sz="0" w:space="0" w:color="auto"/>
                                                      </w:divBdr>
                                                    </w:div>
                                                    <w:div w:id="1098523209">
                                                      <w:marLeft w:val="4"/>
                                                      <w:marRight w:val="0"/>
                                                      <w:marTop w:val="0"/>
                                                      <w:marBottom w:val="0"/>
                                                      <w:divBdr>
                                                        <w:top w:val="none" w:sz="0" w:space="0" w:color="auto"/>
                                                        <w:left w:val="none" w:sz="0" w:space="0" w:color="auto"/>
                                                        <w:bottom w:val="none" w:sz="0" w:space="0" w:color="auto"/>
                                                        <w:right w:val="none" w:sz="0" w:space="0" w:color="auto"/>
                                                      </w:divBdr>
                                                    </w:div>
                                                    <w:div w:id="1368215921">
                                                      <w:marLeft w:val="4"/>
                                                      <w:marRight w:val="0"/>
                                                      <w:marTop w:val="0"/>
                                                      <w:marBottom w:val="0"/>
                                                      <w:divBdr>
                                                        <w:top w:val="none" w:sz="0" w:space="0" w:color="auto"/>
                                                        <w:left w:val="none" w:sz="0" w:space="0" w:color="auto"/>
                                                        <w:bottom w:val="none" w:sz="0" w:space="0" w:color="auto"/>
                                                        <w:right w:val="none" w:sz="0" w:space="0" w:color="auto"/>
                                                      </w:divBdr>
                                                    </w:div>
                                                    <w:div w:id="1672414288">
                                                      <w:marLeft w:val="4"/>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5460535">
      <w:bodyDiv w:val="1"/>
      <w:marLeft w:val="0"/>
      <w:marRight w:val="0"/>
      <w:marTop w:val="0"/>
      <w:marBottom w:val="0"/>
      <w:divBdr>
        <w:top w:val="none" w:sz="0" w:space="0" w:color="auto"/>
        <w:left w:val="none" w:sz="0" w:space="0" w:color="auto"/>
        <w:bottom w:val="none" w:sz="0" w:space="0" w:color="auto"/>
        <w:right w:val="none" w:sz="0" w:space="0" w:color="auto"/>
      </w:divBdr>
    </w:div>
    <w:div w:id="859317637">
      <w:bodyDiv w:val="1"/>
      <w:marLeft w:val="0"/>
      <w:marRight w:val="0"/>
      <w:marTop w:val="0"/>
      <w:marBottom w:val="0"/>
      <w:divBdr>
        <w:top w:val="none" w:sz="0" w:space="0" w:color="auto"/>
        <w:left w:val="none" w:sz="0" w:space="0" w:color="auto"/>
        <w:bottom w:val="none" w:sz="0" w:space="0" w:color="auto"/>
        <w:right w:val="none" w:sz="0" w:space="0" w:color="auto"/>
      </w:divBdr>
    </w:div>
    <w:div w:id="866410340">
      <w:bodyDiv w:val="1"/>
      <w:marLeft w:val="0"/>
      <w:marRight w:val="0"/>
      <w:marTop w:val="0"/>
      <w:marBottom w:val="0"/>
      <w:divBdr>
        <w:top w:val="none" w:sz="0" w:space="0" w:color="auto"/>
        <w:left w:val="none" w:sz="0" w:space="0" w:color="auto"/>
        <w:bottom w:val="none" w:sz="0" w:space="0" w:color="auto"/>
        <w:right w:val="none" w:sz="0" w:space="0" w:color="auto"/>
      </w:divBdr>
      <w:divsChild>
        <w:div w:id="159001521">
          <w:marLeft w:val="0"/>
          <w:marRight w:val="0"/>
          <w:marTop w:val="0"/>
          <w:marBottom w:val="0"/>
          <w:divBdr>
            <w:top w:val="none" w:sz="0" w:space="0" w:color="auto"/>
            <w:left w:val="none" w:sz="0" w:space="0" w:color="auto"/>
            <w:bottom w:val="none" w:sz="0" w:space="0" w:color="auto"/>
            <w:right w:val="none" w:sz="0" w:space="0" w:color="auto"/>
          </w:divBdr>
          <w:divsChild>
            <w:div w:id="1923905825">
              <w:marLeft w:val="0"/>
              <w:marRight w:val="0"/>
              <w:marTop w:val="0"/>
              <w:marBottom w:val="0"/>
              <w:divBdr>
                <w:top w:val="none" w:sz="0" w:space="0" w:color="auto"/>
                <w:left w:val="none" w:sz="0" w:space="0" w:color="auto"/>
                <w:bottom w:val="none" w:sz="0" w:space="0" w:color="auto"/>
                <w:right w:val="none" w:sz="0" w:space="0" w:color="auto"/>
              </w:divBdr>
              <w:divsChild>
                <w:div w:id="1058170446">
                  <w:marLeft w:val="0"/>
                  <w:marRight w:val="0"/>
                  <w:marTop w:val="0"/>
                  <w:marBottom w:val="0"/>
                  <w:divBdr>
                    <w:top w:val="none" w:sz="0" w:space="0" w:color="auto"/>
                    <w:left w:val="none" w:sz="0" w:space="0" w:color="auto"/>
                    <w:bottom w:val="none" w:sz="0" w:space="0" w:color="auto"/>
                    <w:right w:val="none" w:sz="0" w:space="0" w:color="auto"/>
                  </w:divBdr>
                  <w:divsChild>
                    <w:div w:id="4785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300514">
      <w:bodyDiv w:val="1"/>
      <w:marLeft w:val="0"/>
      <w:marRight w:val="0"/>
      <w:marTop w:val="0"/>
      <w:marBottom w:val="0"/>
      <w:divBdr>
        <w:top w:val="none" w:sz="0" w:space="0" w:color="auto"/>
        <w:left w:val="none" w:sz="0" w:space="0" w:color="auto"/>
        <w:bottom w:val="none" w:sz="0" w:space="0" w:color="auto"/>
        <w:right w:val="none" w:sz="0" w:space="0" w:color="auto"/>
      </w:divBdr>
    </w:div>
    <w:div w:id="869221307">
      <w:bodyDiv w:val="1"/>
      <w:marLeft w:val="0"/>
      <w:marRight w:val="0"/>
      <w:marTop w:val="0"/>
      <w:marBottom w:val="0"/>
      <w:divBdr>
        <w:top w:val="none" w:sz="0" w:space="0" w:color="auto"/>
        <w:left w:val="none" w:sz="0" w:space="0" w:color="auto"/>
        <w:bottom w:val="none" w:sz="0" w:space="0" w:color="auto"/>
        <w:right w:val="none" w:sz="0" w:space="0" w:color="auto"/>
      </w:divBdr>
    </w:div>
    <w:div w:id="893657789">
      <w:bodyDiv w:val="1"/>
      <w:marLeft w:val="0"/>
      <w:marRight w:val="0"/>
      <w:marTop w:val="0"/>
      <w:marBottom w:val="0"/>
      <w:divBdr>
        <w:top w:val="none" w:sz="0" w:space="0" w:color="auto"/>
        <w:left w:val="none" w:sz="0" w:space="0" w:color="auto"/>
        <w:bottom w:val="none" w:sz="0" w:space="0" w:color="auto"/>
        <w:right w:val="none" w:sz="0" w:space="0" w:color="auto"/>
      </w:divBdr>
    </w:div>
    <w:div w:id="897277477">
      <w:bodyDiv w:val="1"/>
      <w:marLeft w:val="0"/>
      <w:marRight w:val="0"/>
      <w:marTop w:val="0"/>
      <w:marBottom w:val="0"/>
      <w:divBdr>
        <w:top w:val="none" w:sz="0" w:space="0" w:color="auto"/>
        <w:left w:val="none" w:sz="0" w:space="0" w:color="auto"/>
        <w:bottom w:val="none" w:sz="0" w:space="0" w:color="auto"/>
        <w:right w:val="none" w:sz="0" w:space="0" w:color="auto"/>
      </w:divBdr>
    </w:div>
    <w:div w:id="898438139">
      <w:bodyDiv w:val="1"/>
      <w:marLeft w:val="0"/>
      <w:marRight w:val="0"/>
      <w:marTop w:val="0"/>
      <w:marBottom w:val="0"/>
      <w:divBdr>
        <w:top w:val="none" w:sz="0" w:space="0" w:color="auto"/>
        <w:left w:val="none" w:sz="0" w:space="0" w:color="auto"/>
        <w:bottom w:val="none" w:sz="0" w:space="0" w:color="auto"/>
        <w:right w:val="none" w:sz="0" w:space="0" w:color="auto"/>
      </w:divBdr>
    </w:div>
    <w:div w:id="900868312">
      <w:bodyDiv w:val="1"/>
      <w:marLeft w:val="0"/>
      <w:marRight w:val="0"/>
      <w:marTop w:val="0"/>
      <w:marBottom w:val="0"/>
      <w:divBdr>
        <w:top w:val="none" w:sz="0" w:space="0" w:color="auto"/>
        <w:left w:val="none" w:sz="0" w:space="0" w:color="auto"/>
        <w:bottom w:val="none" w:sz="0" w:space="0" w:color="auto"/>
        <w:right w:val="none" w:sz="0" w:space="0" w:color="auto"/>
      </w:divBdr>
    </w:div>
    <w:div w:id="906771173">
      <w:bodyDiv w:val="1"/>
      <w:marLeft w:val="0"/>
      <w:marRight w:val="0"/>
      <w:marTop w:val="0"/>
      <w:marBottom w:val="0"/>
      <w:divBdr>
        <w:top w:val="none" w:sz="0" w:space="0" w:color="auto"/>
        <w:left w:val="none" w:sz="0" w:space="0" w:color="auto"/>
        <w:bottom w:val="none" w:sz="0" w:space="0" w:color="auto"/>
        <w:right w:val="none" w:sz="0" w:space="0" w:color="auto"/>
      </w:divBdr>
    </w:div>
    <w:div w:id="909074737">
      <w:bodyDiv w:val="1"/>
      <w:marLeft w:val="0"/>
      <w:marRight w:val="0"/>
      <w:marTop w:val="0"/>
      <w:marBottom w:val="0"/>
      <w:divBdr>
        <w:top w:val="none" w:sz="0" w:space="0" w:color="auto"/>
        <w:left w:val="none" w:sz="0" w:space="0" w:color="auto"/>
        <w:bottom w:val="none" w:sz="0" w:space="0" w:color="auto"/>
        <w:right w:val="none" w:sz="0" w:space="0" w:color="auto"/>
      </w:divBdr>
    </w:div>
    <w:div w:id="912007060">
      <w:bodyDiv w:val="1"/>
      <w:marLeft w:val="0"/>
      <w:marRight w:val="0"/>
      <w:marTop w:val="0"/>
      <w:marBottom w:val="0"/>
      <w:divBdr>
        <w:top w:val="none" w:sz="0" w:space="0" w:color="auto"/>
        <w:left w:val="none" w:sz="0" w:space="0" w:color="auto"/>
        <w:bottom w:val="none" w:sz="0" w:space="0" w:color="auto"/>
        <w:right w:val="none" w:sz="0" w:space="0" w:color="auto"/>
      </w:divBdr>
    </w:div>
    <w:div w:id="913973298">
      <w:bodyDiv w:val="1"/>
      <w:marLeft w:val="0"/>
      <w:marRight w:val="0"/>
      <w:marTop w:val="0"/>
      <w:marBottom w:val="0"/>
      <w:divBdr>
        <w:top w:val="none" w:sz="0" w:space="0" w:color="auto"/>
        <w:left w:val="none" w:sz="0" w:space="0" w:color="auto"/>
        <w:bottom w:val="none" w:sz="0" w:space="0" w:color="auto"/>
        <w:right w:val="none" w:sz="0" w:space="0" w:color="auto"/>
      </w:divBdr>
    </w:div>
    <w:div w:id="917401736">
      <w:bodyDiv w:val="1"/>
      <w:marLeft w:val="0"/>
      <w:marRight w:val="0"/>
      <w:marTop w:val="0"/>
      <w:marBottom w:val="0"/>
      <w:divBdr>
        <w:top w:val="none" w:sz="0" w:space="0" w:color="auto"/>
        <w:left w:val="none" w:sz="0" w:space="0" w:color="auto"/>
        <w:bottom w:val="none" w:sz="0" w:space="0" w:color="auto"/>
        <w:right w:val="none" w:sz="0" w:space="0" w:color="auto"/>
      </w:divBdr>
    </w:div>
    <w:div w:id="925000661">
      <w:bodyDiv w:val="1"/>
      <w:marLeft w:val="0"/>
      <w:marRight w:val="0"/>
      <w:marTop w:val="0"/>
      <w:marBottom w:val="0"/>
      <w:divBdr>
        <w:top w:val="none" w:sz="0" w:space="0" w:color="auto"/>
        <w:left w:val="none" w:sz="0" w:space="0" w:color="auto"/>
        <w:bottom w:val="none" w:sz="0" w:space="0" w:color="auto"/>
        <w:right w:val="none" w:sz="0" w:space="0" w:color="auto"/>
      </w:divBdr>
    </w:div>
    <w:div w:id="940458454">
      <w:bodyDiv w:val="1"/>
      <w:marLeft w:val="0"/>
      <w:marRight w:val="0"/>
      <w:marTop w:val="0"/>
      <w:marBottom w:val="0"/>
      <w:divBdr>
        <w:top w:val="none" w:sz="0" w:space="0" w:color="auto"/>
        <w:left w:val="none" w:sz="0" w:space="0" w:color="auto"/>
        <w:bottom w:val="none" w:sz="0" w:space="0" w:color="auto"/>
        <w:right w:val="none" w:sz="0" w:space="0" w:color="auto"/>
      </w:divBdr>
    </w:div>
    <w:div w:id="945621795">
      <w:bodyDiv w:val="1"/>
      <w:marLeft w:val="0"/>
      <w:marRight w:val="0"/>
      <w:marTop w:val="0"/>
      <w:marBottom w:val="0"/>
      <w:divBdr>
        <w:top w:val="none" w:sz="0" w:space="0" w:color="auto"/>
        <w:left w:val="none" w:sz="0" w:space="0" w:color="auto"/>
        <w:bottom w:val="none" w:sz="0" w:space="0" w:color="auto"/>
        <w:right w:val="none" w:sz="0" w:space="0" w:color="auto"/>
      </w:divBdr>
    </w:div>
    <w:div w:id="949626528">
      <w:bodyDiv w:val="1"/>
      <w:marLeft w:val="0"/>
      <w:marRight w:val="0"/>
      <w:marTop w:val="0"/>
      <w:marBottom w:val="0"/>
      <w:divBdr>
        <w:top w:val="none" w:sz="0" w:space="0" w:color="auto"/>
        <w:left w:val="none" w:sz="0" w:space="0" w:color="auto"/>
        <w:bottom w:val="none" w:sz="0" w:space="0" w:color="auto"/>
        <w:right w:val="none" w:sz="0" w:space="0" w:color="auto"/>
      </w:divBdr>
    </w:div>
    <w:div w:id="957834715">
      <w:bodyDiv w:val="1"/>
      <w:marLeft w:val="0"/>
      <w:marRight w:val="0"/>
      <w:marTop w:val="0"/>
      <w:marBottom w:val="0"/>
      <w:divBdr>
        <w:top w:val="none" w:sz="0" w:space="0" w:color="auto"/>
        <w:left w:val="none" w:sz="0" w:space="0" w:color="auto"/>
        <w:bottom w:val="none" w:sz="0" w:space="0" w:color="auto"/>
        <w:right w:val="none" w:sz="0" w:space="0" w:color="auto"/>
      </w:divBdr>
    </w:div>
    <w:div w:id="958875386">
      <w:bodyDiv w:val="1"/>
      <w:marLeft w:val="0"/>
      <w:marRight w:val="0"/>
      <w:marTop w:val="0"/>
      <w:marBottom w:val="0"/>
      <w:divBdr>
        <w:top w:val="none" w:sz="0" w:space="0" w:color="auto"/>
        <w:left w:val="none" w:sz="0" w:space="0" w:color="auto"/>
        <w:bottom w:val="none" w:sz="0" w:space="0" w:color="auto"/>
        <w:right w:val="none" w:sz="0" w:space="0" w:color="auto"/>
      </w:divBdr>
    </w:div>
    <w:div w:id="969943374">
      <w:bodyDiv w:val="1"/>
      <w:marLeft w:val="0"/>
      <w:marRight w:val="0"/>
      <w:marTop w:val="0"/>
      <w:marBottom w:val="0"/>
      <w:divBdr>
        <w:top w:val="none" w:sz="0" w:space="0" w:color="auto"/>
        <w:left w:val="none" w:sz="0" w:space="0" w:color="auto"/>
        <w:bottom w:val="none" w:sz="0" w:space="0" w:color="auto"/>
        <w:right w:val="none" w:sz="0" w:space="0" w:color="auto"/>
      </w:divBdr>
      <w:divsChild>
        <w:div w:id="1659992324">
          <w:marLeft w:val="0"/>
          <w:marRight w:val="0"/>
          <w:marTop w:val="0"/>
          <w:marBottom w:val="0"/>
          <w:divBdr>
            <w:top w:val="none" w:sz="0" w:space="0" w:color="auto"/>
            <w:left w:val="none" w:sz="0" w:space="0" w:color="auto"/>
            <w:bottom w:val="none" w:sz="0" w:space="0" w:color="auto"/>
            <w:right w:val="none" w:sz="0" w:space="0" w:color="auto"/>
          </w:divBdr>
          <w:divsChild>
            <w:div w:id="300767838">
              <w:marLeft w:val="0"/>
              <w:marRight w:val="0"/>
              <w:marTop w:val="0"/>
              <w:marBottom w:val="0"/>
              <w:divBdr>
                <w:top w:val="none" w:sz="0" w:space="0" w:color="auto"/>
                <w:left w:val="none" w:sz="0" w:space="0" w:color="auto"/>
                <w:bottom w:val="none" w:sz="0" w:space="0" w:color="auto"/>
                <w:right w:val="none" w:sz="0" w:space="0" w:color="auto"/>
              </w:divBdr>
              <w:divsChild>
                <w:div w:id="399402759">
                  <w:marLeft w:val="0"/>
                  <w:marRight w:val="0"/>
                  <w:marTop w:val="0"/>
                  <w:marBottom w:val="0"/>
                  <w:divBdr>
                    <w:top w:val="none" w:sz="0" w:space="0" w:color="auto"/>
                    <w:left w:val="none" w:sz="0" w:space="0" w:color="auto"/>
                    <w:bottom w:val="none" w:sz="0" w:space="0" w:color="auto"/>
                    <w:right w:val="none" w:sz="0" w:space="0" w:color="auto"/>
                  </w:divBdr>
                  <w:divsChild>
                    <w:div w:id="22965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668226">
      <w:bodyDiv w:val="1"/>
      <w:marLeft w:val="0"/>
      <w:marRight w:val="0"/>
      <w:marTop w:val="0"/>
      <w:marBottom w:val="0"/>
      <w:divBdr>
        <w:top w:val="none" w:sz="0" w:space="0" w:color="auto"/>
        <w:left w:val="none" w:sz="0" w:space="0" w:color="auto"/>
        <w:bottom w:val="none" w:sz="0" w:space="0" w:color="auto"/>
        <w:right w:val="none" w:sz="0" w:space="0" w:color="auto"/>
      </w:divBdr>
      <w:divsChild>
        <w:div w:id="569076902">
          <w:marLeft w:val="0"/>
          <w:marRight w:val="0"/>
          <w:marTop w:val="0"/>
          <w:marBottom w:val="0"/>
          <w:divBdr>
            <w:top w:val="none" w:sz="0" w:space="0" w:color="auto"/>
            <w:left w:val="none" w:sz="0" w:space="0" w:color="auto"/>
            <w:bottom w:val="none" w:sz="0" w:space="0" w:color="auto"/>
            <w:right w:val="none" w:sz="0" w:space="0" w:color="auto"/>
          </w:divBdr>
        </w:div>
      </w:divsChild>
    </w:div>
    <w:div w:id="974069239">
      <w:bodyDiv w:val="1"/>
      <w:marLeft w:val="0"/>
      <w:marRight w:val="0"/>
      <w:marTop w:val="0"/>
      <w:marBottom w:val="0"/>
      <w:divBdr>
        <w:top w:val="none" w:sz="0" w:space="0" w:color="auto"/>
        <w:left w:val="none" w:sz="0" w:space="0" w:color="auto"/>
        <w:bottom w:val="none" w:sz="0" w:space="0" w:color="auto"/>
        <w:right w:val="none" w:sz="0" w:space="0" w:color="auto"/>
      </w:divBdr>
    </w:div>
    <w:div w:id="980577681">
      <w:bodyDiv w:val="1"/>
      <w:marLeft w:val="0"/>
      <w:marRight w:val="0"/>
      <w:marTop w:val="0"/>
      <w:marBottom w:val="0"/>
      <w:divBdr>
        <w:top w:val="none" w:sz="0" w:space="0" w:color="auto"/>
        <w:left w:val="none" w:sz="0" w:space="0" w:color="auto"/>
        <w:bottom w:val="none" w:sz="0" w:space="0" w:color="auto"/>
        <w:right w:val="none" w:sz="0" w:space="0" w:color="auto"/>
      </w:divBdr>
    </w:div>
    <w:div w:id="984163145">
      <w:bodyDiv w:val="1"/>
      <w:marLeft w:val="0"/>
      <w:marRight w:val="0"/>
      <w:marTop w:val="0"/>
      <w:marBottom w:val="0"/>
      <w:divBdr>
        <w:top w:val="none" w:sz="0" w:space="0" w:color="auto"/>
        <w:left w:val="none" w:sz="0" w:space="0" w:color="auto"/>
        <w:bottom w:val="none" w:sz="0" w:space="0" w:color="auto"/>
        <w:right w:val="none" w:sz="0" w:space="0" w:color="auto"/>
      </w:divBdr>
    </w:div>
    <w:div w:id="986201420">
      <w:bodyDiv w:val="1"/>
      <w:marLeft w:val="0"/>
      <w:marRight w:val="0"/>
      <w:marTop w:val="0"/>
      <w:marBottom w:val="0"/>
      <w:divBdr>
        <w:top w:val="none" w:sz="0" w:space="0" w:color="auto"/>
        <w:left w:val="none" w:sz="0" w:space="0" w:color="auto"/>
        <w:bottom w:val="none" w:sz="0" w:space="0" w:color="auto"/>
        <w:right w:val="none" w:sz="0" w:space="0" w:color="auto"/>
      </w:divBdr>
      <w:divsChild>
        <w:div w:id="2031950281">
          <w:marLeft w:val="0"/>
          <w:marRight w:val="0"/>
          <w:marTop w:val="0"/>
          <w:marBottom w:val="0"/>
          <w:divBdr>
            <w:top w:val="none" w:sz="0" w:space="0" w:color="auto"/>
            <w:left w:val="none" w:sz="0" w:space="0" w:color="auto"/>
            <w:bottom w:val="none" w:sz="0" w:space="0" w:color="auto"/>
            <w:right w:val="none" w:sz="0" w:space="0" w:color="auto"/>
          </w:divBdr>
        </w:div>
      </w:divsChild>
    </w:div>
    <w:div w:id="988897765">
      <w:bodyDiv w:val="1"/>
      <w:marLeft w:val="0"/>
      <w:marRight w:val="0"/>
      <w:marTop w:val="0"/>
      <w:marBottom w:val="0"/>
      <w:divBdr>
        <w:top w:val="none" w:sz="0" w:space="0" w:color="auto"/>
        <w:left w:val="none" w:sz="0" w:space="0" w:color="auto"/>
        <w:bottom w:val="none" w:sz="0" w:space="0" w:color="auto"/>
        <w:right w:val="none" w:sz="0" w:space="0" w:color="auto"/>
      </w:divBdr>
    </w:div>
    <w:div w:id="989942095">
      <w:bodyDiv w:val="1"/>
      <w:marLeft w:val="0"/>
      <w:marRight w:val="0"/>
      <w:marTop w:val="0"/>
      <w:marBottom w:val="0"/>
      <w:divBdr>
        <w:top w:val="none" w:sz="0" w:space="0" w:color="auto"/>
        <w:left w:val="none" w:sz="0" w:space="0" w:color="auto"/>
        <w:bottom w:val="none" w:sz="0" w:space="0" w:color="auto"/>
        <w:right w:val="none" w:sz="0" w:space="0" w:color="auto"/>
      </w:divBdr>
    </w:div>
    <w:div w:id="990602030">
      <w:bodyDiv w:val="1"/>
      <w:marLeft w:val="0"/>
      <w:marRight w:val="0"/>
      <w:marTop w:val="0"/>
      <w:marBottom w:val="0"/>
      <w:divBdr>
        <w:top w:val="none" w:sz="0" w:space="0" w:color="auto"/>
        <w:left w:val="none" w:sz="0" w:space="0" w:color="auto"/>
        <w:bottom w:val="none" w:sz="0" w:space="0" w:color="auto"/>
        <w:right w:val="none" w:sz="0" w:space="0" w:color="auto"/>
      </w:divBdr>
      <w:divsChild>
        <w:div w:id="1892767387">
          <w:marLeft w:val="0"/>
          <w:marRight w:val="0"/>
          <w:marTop w:val="0"/>
          <w:marBottom w:val="0"/>
          <w:divBdr>
            <w:top w:val="single" w:sz="6" w:space="8" w:color="7A8093"/>
            <w:left w:val="single" w:sz="6" w:space="8" w:color="7A8093"/>
            <w:bottom w:val="single" w:sz="6" w:space="8" w:color="7A8093"/>
            <w:right w:val="single" w:sz="6" w:space="8" w:color="7A8093"/>
          </w:divBdr>
          <w:divsChild>
            <w:div w:id="1901861916">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351571328">
                  <w:marLeft w:val="0"/>
                  <w:marRight w:val="0"/>
                  <w:marTop w:val="0"/>
                  <w:marBottom w:val="0"/>
                  <w:divBdr>
                    <w:top w:val="none" w:sz="0" w:space="0" w:color="auto"/>
                    <w:left w:val="none" w:sz="0" w:space="0" w:color="auto"/>
                    <w:bottom w:val="none" w:sz="0" w:space="0" w:color="auto"/>
                    <w:right w:val="none" w:sz="0" w:space="0" w:color="auto"/>
                  </w:divBdr>
                </w:div>
                <w:div w:id="160997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9688">
          <w:marLeft w:val="0"/>
          <w:marRight w:val="0"/>
          <w:marTop w:val="0"/>
          <w:marBottom w:val="0"/>
          <w:divBdr>
            <w:top w:val="single" w:sz="6" w:space="8" w:color="7A8093"/>
            <w:left w:val="single" w:sz="6" w:space="8" w:color="7A8093"/>
            <w:bottom w:val="single" w:sz="6" w:space="8" w:color="7A8093"/>
            <w:right w:val="single" w:sz="6" w:space="8" w:color="7A8093"/>
          </w:divBdr>
          <w:divsChild>
            <w:div w:id="1099370624">
              <w:marLeft w:val="-150"/>
              <w:marRight w:val="-150"/>
              <w:marTop w:val="0"/>
              <w:marBottom w:val="240"/>
              <w:divBdr>
                <w:top w:val="single" w:sz="6" w:space="5" w:color="C2C2C2"/>
                <w:left w:val="single" w:sz="6" w:space="5" w:color="C2C2C2"/>
                <w:bottom w:val="single" w:sz="24" w:space="5" w:color="C2C2C2"/>
                <w:right w:val="single" w:sz="6" w:space="5" w:color="C2C2C2"/>
              </w:divBdr>
              <w:divsChild>
                <w:div w:id="718628862">
                  <w:marLeft w:val="0"/>
                  <w:marRight w:val="0"/>
                  <w:marTop w:val="0"/>
                  <w:marBottom w:val="0"/>
                  <w:divBdr>
                    <w:top w:val="none" w:sz="0" w:space="0" w:color="auto"/>
                    <w:left w:val="none" w:sz="0" w:space="0" w:color="auto"/>
                    <w:bottom w:val="none" w:sz="0" w:space="0" w:color="auto"/>
                    <w:right w:val="none" w:sz="0" w:space="0" w:color="auto"/>
                  </w:divBdr>
                </w:div>
                <w:div w:id="81660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415491">
      <w:bodyDiv w:val="1"/>
      <w:marLeft w:val="0"/>
      <w:marRight w:val="0"/>
      <w:marTop w:val="0"/>
      <w:marBottom w:val="0"/>
      <w:divBdr>
        <w:top w:val="none" w:sz="0" w:space="0" w:color="auto"/>
        <w:left w:val="none" w:sz="0" w:space="0" w:color="auto"/>
        <w:bottom w:val="none" w:sz="0" w:space="0" w:color="auto"/>
        <w:right w:val="none" w:sz="0" w:space="0" w:color="auto"/>
      </w:divBdr>
      <w:divsChild>
        <w:div w:id="1843087657">
          <w:marLeft w:val="0"/>
          <w:marRight w:val="0"/>
          <w:marTop w:val="0"/>
          <w:marBottom w:val="0"/>
          <w:divBdr>
            <w:top w:val="single" w:sz="6" w:space="8" w:color="7A8093"/>
            <w:left w:val="single" w:sz="6" w:space="8" w:color="7A8093"/>
            <w:bottom w:val="single" w:sz="6" w:space="8" w:color="7A8093"/>
            <w:right w:val="single" w:sz="6" w:space="8" w:color="7A8093"/>
          </w:divBdr>
          <w:divsChild>
            <w:div w:id="1876576347">
              <w:marLeft w:val="-150"/>
              <w:marRight w:val="-150"/>
              <w:marTop w:val="0"/>
              <w:marBottom w:val="240"/>
              <w:divBdr>
                <w:top w:val="single" w:sz="6" w:space="5" w:color="C2C2C2"/>
                <w:left w:val="single" w:sz="6" w:space="5" w:color="C2C2C2"/>
                <w:bottom w:val="single" w:sz="24" w:space="5" w:color="C2C2C2"/>
                <w:right w:val="single" w:sz="6" w:space="5" w:color="C2C2C2"/>
              </w:divBdr>
              <w:divsChild>
                <w:div w:id="28334706">
                  <w:marLeft w:val="0"/>
                  <w:marRight w:val="0"/>
                  <w:marTop w:val="0"/>
                  <w:marBottom w:val="0"/>
                  <w:divBdr>
                    <w:top w:val="none" w:sz="0" w:space="0" w:color="auto"/>
                    <w:left w:val="none" w:sz="0" w:space="0" w:color="auto"/>
                    <w:bottom w:val="none" w:sz="0" w:space="0" w:color="auto"/>
                    <w:right w:val="none" w:sz="0" w:space="0" w:color="auto"/>
                  </w:divBdr>
                </w:div>
                <w:div w:id="194599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44009">
          <w:marLeft w:val="0"/>
          <w:marRight w:val="0"/>
          <w:marTop w:val="0"/>
          <w:marBottom w:val="0"/>
          <w:divBdr>
            <w:top w:val="single" w:sz="6" w:space="8" w:color="7A8093"/>
            <w:left w:val="single" w:sz="6" w:space="8" w:color="7A8093"/>
            <w:bottom w:val="single" w:sz="6" w:space="8" w:color="7A8093"/>
            <w:right w:val="single" w:sz="6" w:space="8" w:color="7A8093"/>
          </w:divBdr>
          <w:divsChild>
            <w:div w:id="461768707">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430158094">
                  <w:marLeft w:val="0"/>
                  <w:marRight w:val="0"/>
                  <w:marTop w:val="0"/>
                  <w:marBottom w:val="0"/>
                  <w:divBdr>
                    <w:top w:val="none" w:sz="0" w:space="0" w:color="auto"/>
                    <w:left w:val="none" w:sz="0" w:space="0" w:color="auto"/>
                    <w:bottom w:val="none" w:sz="0" w:space="0" w:color="auto"/>
                    <w:right w:val="none" w:sz="0" w:space="0" w:color="auto"/>
                  </w:divBdr>
                </w:div>
                <w:div w:id="192009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345714">
      <w:bodyDiv w:val="1"/>
      <w:marLeft w:val="0"/>
      <w:marRight w:val="0"/>
      <w:marTop w:val="0"/>
      <w:marBottom w:val="0"/>
      <w:divBdr>
        <w:top w:val="none" w:sz="0" w:space="0" w:color="auto"/>
        <w:left w:val="none" w:sz="0" w:space="0" w:color="auto"/>
        <w:bottom w:val="none" w:sz="0" w:space="0" w:color="auto"/>
        <w:right w:val="none" w:sz="0" w:space="0" w:color="auto"/>
      </w:divBdr>
      <w:divsChild>
        <w:div w:id="1326471362">
          <w:marLeft w:val="0"/>
          <w:marRight w:val="0"/>
          <w:marTop w:val="0"/>
          <w:marBottom w:val="0"/>
          <w:divBdr>
            <w:top w:val="none" w:sz="0" w:space="0" w:color="auto"/>
            <w:left w:val="none" w:sz="0" w:space="0" w:color="auto"/>
            <w:bottom w:val="none" w:sz="0" w:space="0" w:color="auto"/>
            <w:right w:val="none" w:sz="0" w:space="0" w:color="auto"/>
          </w:divBdr>
        </w:div>
      </w:divsChild>
    </w:div>
    <w:div w:id="1011444688">
      <w:bodyDiv w:val="1"/>
      <w:marLeft w:val="0"/>
      <w:marRight w:val="0"/>
      <w:marTop w:val="0"/>
      <w:marBottom w:val="0"/>
      <w:divBdr>
        <w:top w:val="none" w:sz="0" w:space="0" w:color="auto"/>
        <w:left w:val="none" w:sz="0" w:space="0" w:color="auto"/>
        <w:bottom w:val="none" w:sz="0" w:space="0" w:color="auto"/>
        <w:right w:val="none" w:sz="0" w:space="0" w:color="auto"/>
      </w:divBdr>
    </w:div>
    <w:div w:id="1021006238">
      <w:bodyDiv w:val="1"/>
      <w:marLeft w:val="0"/>
      <w:marRight w:val="0"/>
      <w:marTop w:val="0"/>
      <w:marBottom w:val="0"/>
      <w:divBdr>
        <w:top w:val="none" w:sz="0" w:space="0" w:color="auto"/>
        <w:left w:val="none" w:sz="0" w:space="0" w:color="auto"/>
        <w:bottom w:val="none" w:sz="0" w:space="0" w:color="auto"/>
        <w:right w:val="none" w:sz="0" w:space="0" w:color="auto"/>
      </w:divBdr>
      <w:divsChild>
        <w:div w:id="1812669994">
          <w:marLeft w:val="0"/>
          <w:marRight w:val="0"/>
          <w:marTop w:val="0"/>
          <w:marBottom w:val="0"/>
          <w:divBdr>
            <w:top w:val="none" w:sz="0" w:space="0" w:color="auto"/>
            <w:left w:val="none" w:sz="0" w:space="0" w:color="auto"/>
            <w:bottom w:val="none" w:sz="0" w:space="0" w:color="auto"/>
            <w:right w:val="none" w:sz="0" w:space="0" w:color="auto"/>
          </w:divBdr>
          <w:divsChild>
            <w:div w:id="1677920343">
              <w:marLeft w:val="0"/>
              <w:marRight w:val="0"/>
              <w:marTop w:val="0"/>
              <w:marBottom w:val="0"/>
              <w:divBdr>
                <w:top w:val="none" w:sz="0" w:space="0" w:color="auto"/>
                <w:left w:val="none" w:sz="0" w:space="0" w:color="auto"/>
                <w:bottom w:val="none" w:sz="0" w:space="0" w:color="auto"/>
                <w:right w:val="none" w:sz="0" w:space="0" w:color="auto"/>
              </w:divBdr>
              <w:divsChild>
                <w:div w:id="1241478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027365071">
      <w:bodyDiv w:val="1"/>
      <w:marLeft w:val="0"/>
      <w:marRight w:val="0"/>
      <w:marTop w:val="0"/>
      <w:marBottom w:val="0"/>
      <w:divBdr>
        <w:top w:val="none" w:sz="0" w:space="0" w:color="auto"/>
        <w:left w:val="none" w:sz="0" w:space="0" w:color="auto"/>
        <w:bottom w:val="none" w:sz="0" w:space="0" w:color="auto"/>
        <w:right w:val="none" w:sz="0" w:space="0" w:color="auto"/>
      </w:divBdr>
      <w:divsChild>
        <w:div w:id="117992664">
          <w:marLeft w:val="0"/>
          <w:marRight w:val="0"/>
          <w:marTop w:val="0"/>
          <w:marBottom w:val="0"/>
          <w:divBdr>
            <w:top w:val="none" w:sz="0" w:space="0" w:color="auto"/>
            <w:left w:val="none" w:sz="0" w:space="0" w:color="auto"/>
            <w:bottom w:val="none" w:sz="0" w:space="0" w:color="auto"/>
            <w:right w:val="none" w:sz="0" w:space="0" w:color="auto"/>
          </w:divBdr>
          <w:divsChild>
            <w:div w:id="1821925937">
              <w:marLeft w:val="0"/>
              <w:marRight w:val="0"/>
              <w:marTop w:val="0"/>
              <w:marBottom w:val="0"/>
              <w:divBdr>
                <w:top w:val="none" w:sz="0" w:space="0" w:color="auto"/>
                <w:left w:val="none" w:sz="0" w:space="0" w:color="auto"/>
                <w:bottom w:val="none" w:sz="0" w:space="0" w:color="auto"/>
                <w:right w:val="none" w:sz="0" w:space="0" w:color="auto"/>
              </w:divBdr>
              <w:divsChild>
                <w:div w:id="753016520">
                  <w:marLeft w:val="0"/>
                  <w:marRight w:val="0"/>
                  <w:marTop w:val="0"/>
                  <w:marBottom w:val="0"/>
                  <w:divBdr>
                    <w:top w:val="none" w:sz="0" w:space="0" w:color="auto"/>
                    <w:left w:val="none" w:sz="0" w:space="0" w:color="auto"/>
                    <w:bottom w:val="none" w:sz="0" w:space="0" w:color="auto"/>
                    <w:right w:val="none" w:sz="0" w:space="0" w:color="auto"/>
                  </w:divBdr>
                  <w:divsChild>
                    <w:div w:id="179269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443149">
      <w:bodyDiv w:val="1"/>
      <w:marLeft w:val="0"/>
      <w:marRight w:val="0"/>
      <w:marTop w:val="0"/>
      <w:marBottom w:val="0"/>
      <w:divBdr>
        <w:top w:val="none" w:sz="0" w:space="0" w:color="auto"/>
        <w:left w:val="none" w:sz="0" w:space="0" w:color="auto"/>
        <w:bottom w:val="none" w:sz="0" w:space="0" w:color="auto"/>
        <w:right w:val="none" w:sz="0" w:space="0" w:color="auto"/>
      </w:divBdr>
    </w:div>
    <w:div w:id="1047560135">
      <w:bodyDiv w:val="1"/>
      <w:marLeft w:val="0"/>
      <w:marRight w:val="0"/>
      <w:marTop w:val="0"/>
      <w:marBottom w:val="0"/>
      <w:divBdr>
        <w:top w:val="none" w:sz="0" w:space="0" w:color="auto"/>
        <w:left w:val="none" w:sz="0" w:space="0" w:color="auto"/>
        <w:bottom w:val="none" w:sz="0" w:space="0" w:color="auto"/>
        <w:right w:val="none" w:sz="0" w:space="0" w:color="auto"/>
      </w:divBdr>
    </w:div>
    <w:div w:id="1049840193">
      <w:bodyDiv w:val="1"/>
      <w:marLeft w:val="0"/>
      <w:marRight w:val="0"/>
      <w:marTop w:val="0"/>
      <w:marBottom w:val="0"/>
      <w:divBdr>
        <w:top w:val="none" w:sz="0" w:space="0" w:color="auto"/>
        <w:left w:val="none" w:sz="0" w:space="0" w:color="auto"/>
        <w:bottom w:val="none" w:sz="0" w:space="0" w:color="auto"/>
        <w:right w:val="none" w:sz="0" w:space="0" w:color="auto"/>
      </w:divBdr>
    </w:div>
    <w:div w:id="1052772856">
      <w:bodyDiv w:val="1"/>
      <w:marLeft w:val="0"/>
      <w:marRight w:val="0"/>
      <w:marTop w:val="0"/>
      <w:marBottom w:val="0"/>
      <w:divBdr>
        <w:top w:val="none" w:sz="0" w:space="0" w:color="auto"/>
        <w:left w:val="none" w:sz="0" w:space="0" w:color="auto"/>
        <w:bottom w:val="none" w:sz="0" w:space="0" w:color="auto"/>
        <w:right w:val="none" w:sz="0" w:space="0" w:color="auto"/>
      </w:divBdr>
    </w:div>
    <w:div w:id="1052923624">
      <w:bodyDiv w:val="1"/>
      <w:marLeft w:val="0"/>
      <w:marRight w:val="0"/>
      <w:marTop w:val="0"/>
      <w:marBottom w:val="0"/>
      <w:divBdr>
        <w:top w:val="none" w:sz="0" w:space="0" w:color="auto"/>
        <w:left w:val="none" w:sz="0" w:space="0" w:color="auto"/>
        <w:bottom w:val="none" w:sz="0" w:space="0" w:color="auto"/>
        <w:right w:val="none" w:sz="0" w:space="0" w:color="auto"/>
      </w:divBdr>
      <w:divsChild>
        <w:div w:id="839350008">
          <w:marLeft w:val="0"/>
          <w:marRight w:val="0"/>
          <w:marTop w:val="0"/>
          <w:marBottom w:val="0"/>
          <w:divBdr>
            <w:top w:val="single" w:sz="6" w:space="8" w:color="7A8093"/>
            <w:left w:val="single" w:sz="6" w:space="8" w:color="7A8093"/>
            <w:bottom w:val="single" w:sz="6" w:space="8" w:color="7A8093"/>
            <w:right w:val="single" w:sz="6" w:space="8" w:color="7A8093"/>
          </w:divBdr>
          <w:divsChild>
            <w:div w:id="554044598">
              <w:marLeft w:val="-150"/>
              <w:marRight w:val="-150"/>
              <w:marTop w:val="0"/>
              <w:marBottom w:val="240"/>
              <w:divBdr>
                <w:top w:val="single" w:sz="6" w:space="5" w:color="C2C2C2"/>
                <w:left w:val="single" w:sz="6" w:space="5" w:color="C2C2C2"/>
                <w:bottom w:val="single" w:sz="24" w:space="5" w:color="C2C2C2"/>
                <w:right w:val="single" w:sz="6" w:space="5" w:color="C2C2C2"/>
              </w:divBdr>
              <w:divsChild>
                <w:div w:id="813327474">
                  <w:marLeft w:val="0"/>
                  <w:marRight w:val="0"/>
                  <w:marTop w:val="0"/>
                  <w:marBottom w:val="0"/>
                  <w:divBdr>
                    <w:top w:val="none" w:sz="0" w:space="0" w:color="auto"/>
                    <w:left w:val="none" w:sz="0" w:space="0" w:color="auto"/>
                    <w:bottom w:val="none" w:sz="0" w:space="0" w:color="auto"/>
                    <w:right w:val="none" w:sz="0" w:space="0" w:color="auto"/>
                  </w:divBdr>
                </w:div>
                <w:div w:id="115664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784043">
          <w:marLeft w:val="0"/>
          <w:marRight w:val="0"/>
          <w:marTop w:val="0"/>
          <w:marBottom w:val="0"/>
          <w:divBdr>
            <w:top w:val="single" w:sz="6" w:space="8" w:color="7A8093"/>
            <w:left w:val="single" w:sz="6" w:space="8" w:color="7A8093"/>
            <w:bottom w:val="single" w:sz="6" w:space="8" w:color="7A8093"/>
            <w:right w:val="single" w:sz="6" w:space="8" w:color="7A8093"/>
          </w:divBdr>
          <w:divsChild>
            <w:div w:id="962349161">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852527043">
                  <w:marLeft w:val="0"/>
                  <w:marRight w:val="0"/>
                  <w:marTop w:val="0"/>
                  <w:marBottom w:val="0"/>
                  <w:divBdr>
                    <w:top w:val="none" w:sz="0" w:space="0" w:color="auto"/>
                    <w:left w:val="none" w:sz="0" w:space="0" w:color="auto"/>
                    <w:bottom w:val="none" w:sz="0" w:space="0" w:color="auto"/>
                    <w:right w:val="none" w:sz="0" w:space="0" w:color="auto"/>
                  </w:divBdr>
                </w:div>
                <w:div w:id="189773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694892">
      <w:bodyDiv w:val="1"/>
      <w:marLeft w:val="0"/>
      <w:marRight w:val="0"/>
      <w:marTop w:val="0"/>
      <w:marBottom w:val="0"/>
      <w:divBdr>
        <w:top w:val="none" w:sz="0" w:space="0" w:color="auto"/>
        <w:left w:val="none" w:sz="0" w:space="0" w:color="auto"/>
        <w:bottom w:val="none" w:sz="0" w:space="0" w:color="auto"/>
        <w:right w:val="none" w:sz="0" w:space="0" w:color="auto"/>
      </w:divBdr>
    </w:div>
    <w:div w:id="1059521085">
      <w:bodyDiv w:val="1"/>
      <w:marLeft w:val="0"/>
      <w:marRight w:val="0"/>
      <w:marTop w:val="0"/>
      <w:marBottom w:val="0"/>
      <w:divBdr>
        <w:top w:val="none" w:sz="0" w:space="0" w:color="auto"/>
        <w:left w:val="none" w:sz="0" w:space="0" w:color="auto"/>
        <w:bottom w:val="none" w:sz="0" w:space="0" w:color="auto"/>
        <w:right w:val="none" w:sz="0" w:space="0" w:color="auto"/>
      </w:divBdr>
    </w:div>
    <w:div w:id="1061758936">
      <w:bodyDiv w:val="1"/>
      <w:marLeft w:val="0"/>
      <w:marRight w:val="0"/>
      <w:marTop w:val="0"/>
      <w:marBottom w:val="0"/>
      <w:divBdr>
        <w:top w:val="none" w:sz="0" w:space="0" w:color="auto"/>
        <w:left w:val="none" w:sz="0" w:space="0" w:color="auto"/>
        <w:bottom w:val="none" w:sz="0" w:space="0" w:color="auto"/>
        <w:right w:val="none" w:sz="0" w:space="0" w:color="auto"/>
      </w:divBdr>
      <w:divsChild>
        <w:div w:id="501092724">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47552671">
              <w:marLeft w:val="0"/>
              <w:marRight w:val="0"/>
              <w:marTop w:val="0"/>
              <w:marBottom w:val="0"/>
              <w:divBdr>
                <w:top w:val="none" w:sz="0" w:space="0" w:color="auto"/>
                <w:left w:val="none" w:sz="0" w:space="0" w:color="auto"/>
                <w:bottom w:val="none" w:sz="0" w:space="0" w:color="auto"/>
                <w:right w:val="none" w:sz="0" w:space="0" w:color="auto"/>
              </w:divBdr>
            </w:div>
            <w:div w:id="1585535090">
              <w:marLeft w:val="0"/>
              <w:marRight w:val="0"/>
              <w:marTop w:val="0"/>
              <w:marBottom w:val="0"/>
              <w:divBdr>
                <w:top w:val="none" w:sz="0" w:space="0" w:color="auto"/>
                <w:left w:val="none" w:sz="0" w:space="0" w:color="auto"/>
                <w:bottom w:val="none" w:sz="0" w:space="0" w:color="auto"/>
                <w:right w:val="none" w:sz="0" w:space="0" w:color="auto"/>
              </w:divBdr>
            </w:div>
            <w:div w:id="2084445672">
              <w:marLeft w:val="0"/>
              <w:marRight w:val="0"/>
              <w:marTop w:val="0"/>
              <w:marBottom w:val="0"/>
              <w:divBdr>
                <w:top w:val="none" w:sz="0" w:space="0" w:color="auto"/>
                <w:left w:val="none" w:sz="0" w:space="0" w:color="auto"/>
                <w:bottom w:val="none" w:sz="0" w:space="0" w:color="auto"/>
                <w:right w:val="none" w:sz="0" w:space="0" w:color="auto"/>
              </w:divBdr>
            </w:div>
          </w:divsChild>
        </w:div>
        <w:div w:id="1739790119">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62164009">
              <w:marLeft w:val="0"/>
              <w:marRight w:val="0"/>
              <w:marTop w:val="0"/>
              <w:marBottom w:val="0"/>
              <w:divBdr>
                <w:top w:val="none" w:sz="0" w:space="0" w:color="auto"/>
                <w:left w:val="none" w:sz="0" w:space="0" w:color="auto"/>
                <w:bottom w:val="none" w:sz="0" w:space="0" w:color="auto"/>
                <w:right w:val="none" w:sz="0" w:space="0" w:color="auto"/>
              </w:divBdr>
            </w:div>
            <w:div w:id="485556819">
              <w:marLeft w:val="0"/>
              <w:marRight w:val="0"/>
              <w:marTop w:val="0"/>
              <w:marBottom w:val="0"/>
              <w:divBdr>
                <w:top w:val="none" w:sz="0" w:space="0" w:color="auto"/>
                <w:left w:val="none" w:sz="0" w:space="0" w:color="auto"/>
                <w:bottom w:val="none" w:sz="0" w:space="0" w:color="auto"/>
                <w:right w:val="none" w:sz="0" w:space="0" w:color="auto"/>
              </w:divBdr>
            </w:div>
            <w:div w:id="106557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023953">
      <w:bodyDiv w:val="1"/>
      <w:marLeft w:val="0"/>
      <w:marRight w:val="0"/>
      <w:marTop w:val="0"/>
      <w:marBottom w:val="0"/>
      <w:divBdr>
        <w:top w:val="none" w:sz="0" w:space="0" w:color="auto"/>
        <w:left w:val="none" w:sz="0" w:space="0" w:color="auto"/>
        <w:bottom w:val="none" w:sz="0" w:space="0" w:color="auto"/>
        <w:right w:val="none" w:sz="0" w:space="0" w:color="auto"/>
      </w:divBdr>
    </w:div>
    <w:div w:id="1070619730">
      <w:bodyDiv w:val="1"/>
      <w:marLeft w:val="0"/>
      <w:marRight w:val="0"/>
      <w:marTop w:val="0"/>
      <w:marBottom w:val="0"/>
      <w:divBdr>
        <w:top w:val="none" w:sz="0" w:space="0" w:color="auto"/>
        <w:left w:val="none" w:sz="0" w:space="0" w:color="auto"/>
        <w:bottom w:val="none" w:sz="0" w:space="0" w:color="auto"/>
        <w:right w:val="none" w:sz="0" w:space="0" w:color="auto"/>
      </w:divBdr>
    </w:div>
    <w:div w:id="1084107071">
      <w:bodyDiv w:val="1"/>
      <w:marLeft w:val="0"/>
      <w:marRight w:val="0"/>
      <w:marTop w:val="0"/>
      <w:marBottom w:val="0"/>
      <w:divBdr>
        <w:top w:val="none" w:sz="0" w:space="0" w:color="auto"/>
        <w:left w:val="none" w:sz="0" w:space="0" w:color="auto"/>
        <w:bottom w:val="none" w:sz="0" w:space="0" w:color="auto"/>
        <w:right w:val="none" w:sz="0" w:space="0" w:color="auto"/>
      </w:divBdr>
    </w:div>
    <w:div w:id="1084759102">
      <w:bodyDiv w:val="1"/>
      <w:marLeft w:val="0"/>
      <w:marRight w:val="0"/>
      <w:marTop w:val="0"/>
      <w:marBottom w:val="0"/>
      <w:divBdr>
        <w:top w:val="none" w:sz="0" w:space="0" w:color="auto"/>
        <w:left w:val="none" w:sz="0" w:space="0" w:color="auto"/>
        <w:bottom w:val="none" w:sz="0" w:space="0" w:color="auto"/>
        <w:right w:val="none" w:sz="0" w:space="0" w:color="auto"/>
      </w:divBdr>
      <w:divsChild>
        <w:div w:id="1581402909">
          <w:marLeft w:val="0"/>
          <w:marRight w:val="0"/>
          <w:marTop w:val="0"/>
          <w:marBottom w:val="0"/>
          <w:divBdr>
            <w:top w:val="none" w:sz="0" w:space="0" w:color="auto"/>
            <w:left w:val="none" w:sz="0" w:space="0" w:color="auto"/>
            <w:bottom w:val="none" w:sz="0" w:space="0" w:color="auto"/>
            <w:right w:val="none" w:sz="0" w:space="0" w:color="auto"/>
          </w:divBdr>
        </w:div>
      </w:divsChild>
    </w:div>
    <w:div w:id="1087001960">
      <w:bodyDiv w:val="1"/>
      <w:marLeft w:val="0"/>
      <w:marRight w:val="0"/>
      <w:marTop w:val="0"/>
      <w:marBottom w:val="450"/>
      <w:divBdr>
        <w:top w:val="none" w:sz="0" w:space="0" w:color="auto"/>
        <w:left w:val="none" w:sz="0" w:space="0" w:color="auto"/>
        <w:bottom w:val="none" w:sz="0" w:space="0" w:color="auto"/>
        <w:right w:val="none" w:sz="0" w:space="0" w:color="auto"/>
      </w:divBdr>
      <w:divsChild>
        <w:div w:id="872380429">
          <w:marLeft w:val="0"/>
          <w:marRight w:val="0"/>
          <w:marTop w:val="100"/>
          <w:marBottom w:val="100"/>
          <w:divBdr>
            <w:top w:val="none" w:sz="0" w:space="0" w:color="auto"/>
            <w:left w:val="none" w:sz="0" w:space="0" w:color="auto"/>
            <w:bottom w:val="none" w:sz="0" w:space="0" w:color="auto"/>
            <w:right w:val="none" w:sz="0" w:space="0" w:color="auto"/>
          </w:divBdr>
          <w:divsChild>
            <w:div w:id="730234103">
              <w:marLeft w:val="0"/>
              <w:marRight w:val="0"/>
              <w:marTop w:val="0"/>
              <w:marBottom w:val="0"/>
              <w:divBdr>
                <w:top w:val="none" w:sz="0" w:space="0" w:color="auto"/>
                <w:left w:val="none" w:sz="0" w:space="0" w:color="auto"/>
                <w:bottom w:val="none" w:sz="0" w:space="0" w:color="auto"/>
                <w:right w:val="none" w:sz="0" w:space="0" w:color="auto"/>
              </w:divBdr>
              <w:divsChild>
                <w:div w:id="342979840">
                  <w:marLeft w:val="300"/>
                  <w:marRight w:val="300"/>
                  <w:marTop w:val="0"/>
                  <w:marBottom w:val="0"/>
                  <w:divBdr>
                    <w:top w:val="none" w:sz="0" w:space="0" w:color="auto"/>
                    <w:left w:val="none" w:sz="0" w:space="0" w:color="auto"/>
                    <w:bottom w:val="none" w:sz="0" w:space="0" w:color="auto"/>
                    <w:right w:val="none" w:sz="0" w:space="0" w:color="auto"/>
                  </w:divBdr>
                  <w:divsChild>
                    <w:div w:id="1771974333">
                      <w:marLeft w:val="0"/>
                      <w:marRight w:val="0"/>
                      <w:marTop w:val="0"/>
                      <w:marBottom w:val="0"/>
                      <w:divBdr>
                        <w:top w:val="none" w:sz="0" w:space="0" w:color="auto"/>
                        <w:left w:val="none" w:sz="0" w:space="0" w:color="auto"/>
                        <w:bottom w:val="none" w:sz="0" w:space="0" w:color="auto"/>
                        <w:right w:val="none" w:sz="0" w:space="0" w:color="auto"/>
                      </w:divBdr>
                      <w:divsChild>
                        <w:div w:id="659965906">
                          <w:marLeft w:val="0"/>
                          <w:marRight w:val="0"/>
                          <w:marTop w:val="0"/>
                          <w:marBottom w:val="0"/>
                          <w:divBdr>
                            <w:top w:val="none" w:sz="0" w:space="0" w:color="auto"/>
                            <w:left w:val="none" w:sz="0" w:space="0" w:color="auto"/>
                            <w:bottom w:val="none" w:sz="0" w:space="0" w:color="auto"/>
                            <w:right w:val="none" w:sz="0" w:space="0" w:color="auto"/>
                          </w:divBdr>
                          <w:divsChild>
                            <w:div w:id="111440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1969091">
      <w:bodyDiv w:val="1"/>
      <w:marLeft w:val="0"/>
      <w:marRight w:val="0"/>
      <w:marTop w:val="0"/>
      <w:marBottom w:val="0"/>
      <w:divBdr>
        <w:top w:val="none" w:sz="0" w:space="0" w:color="auto"/>
        <w:left w:val="none" w:sz="0" w:space="0" w:color="auto"/>
        <w:bottom w:val="none" w:sz="0" w:space="0" w:color="auto"/>
        <w:right w:val="none" w:sz="0" w:space="0" w:color="auto"/>
      </w:divBdr>
    </w:div>
    <w:div w:id="1103570206">
      <w:bodyDiv w:val="1"/>
      <w:marLeft w:val="0"/>
      <w:marRight w:val="0"/>
      <w:marTop w:val="0"/>
      <w:marBottom w:val="0"/>
      <w:divBdr>
        <w:top w:val="none" w:sz="0" w:space="0" w:color="auto"/>
        <w:left w:val="none" w:sz="0" w:space="0" w:color="auto"/>
        <w:bottom w:val="none" w:sz="0" w:space="0" w:color="auto"/>
        <w:right w:val="none" w:sz="0" w:space="0" w:color="auto"/>
      </w:divBdr>
      <w:divsChild>
        <w:div w:id="905259149">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105610286">
      <w:bodyDiv w:val="1"/>
      <w:marLeft w:val="0"/>
      <w:marRight w:val="0"/>
      <w:marTop w:val="0"/>
      <w:marBottom w:val="0"/>
      <w:divBdr>
        <w:top w:val="none" w:sz="0" w:space="0" w:color="auto"/>
        <w:left w:val="none" w:sz="0" w:space="0" w:color="auto"/>
        <w:bottom w:val="none" w:sz="0" w:space="0" w:color="auto"/>
        <w:right w:val="none" w:sz="0" w:space="0" w:color="auto"/>
      </w:divBdr>
    </w:div>
    <w:div w:id="1114665587">
      <w:bodyDiv w:val="1"/>
      <w:marLeft w:val="0"/>
      <w:marRight w:val="0"/>
      <w:marTop w:val="0"/>
      <w:marBottom w:val="0"/>
      <w:divBdr>
        <w:top w:val="none" w:sz="0" w:space="0" w:color="auto"/>
        <w:left w:val="none" w:sz="0" w:space="0" w:color="auto"/>
        <w:bottom w:val="none" w:sz="0" w:space="0" w:color="auto"/>
        <w:right w:val="none" w:sz="0" w:space="0" w:color="auto"/>
      </w:divBdr>
    </w:div>
    <w:div w:id="1123108588">
      <w:bodyDiv w:val="1"/>
      <w:marLeft w:val="300"/>
      <w:marRight w:val="150"/>
      <w:marTop w:val="150"/>
      <w:marBottom w:val="150"/>
      <w:divBdr>
        <w:top w:val="none" w:sz="0" w:space="0" w:color="auto"/>
        <w:left w:val="none" w:sz="0" w:space="0" w:color="auto"/>
        <w:bottom w:val="none" w:sz="0" w:space="0" w:color="auto"/>
        <w:right w:val="none" w:sz="0" w:space="0" w:color="auto"/>
      </w:divBdr>
      <w:divsChild>
        <w:div w:id="807432930">
          <w:marLeft w:val="0"/>
          <w:marRight w:val="0"/>
          <w:marTop w:val="0"/>
          <w:marBottom w:val="0"/>
          <w:divBdr>
            <w:top w:val="none" w:sz="0" w:space="0" w:color="auto"/>
            <w:left w:val="none" w:sz="0" w:space="0" w:color="auto"/>
            <w:bottom w:val="none" w:sz="0" w:space="0" w:color="auto"/>
            <w:right w:val="none" w:sz="0" w:space="0" w:color="auto"/>
          </w:divBdr>
          <w:divsChild>
            <w:div w:id="354308620">
              <w:marLeft w:val="0"/>
              <w:marRight w:val="0"/>
              <w:marTop w:val="0"/>
              <w:marBottom w:val="0"/>
              <w:divBdr>
                <w:top w:val="none" w:sz="0" w:space="0" w:color="auto"/>
                <w:left w:val="none" w:sz="0" w:space="0" w:color="auto"/>
                <w:bottom w:val="none" w:sz="0" w:space="0" w:color="auto"/>
                <w:right w:val="none" w:sz="0" w:space="0" w:color="auto"/>
              </w:divBdr>
              <w:divsChild>
                <w:div w:id="97870524">
                  <w:marLeft w:val="0"/>
                  <w:marRight w:val="0"/>
                  <w:marTop w:val="0"/>
                  <w:marBottom w:val="0"/>
                  <w:divBdr>
                    <w:top w:val="none" w:sz="0" w:space="0" w:color="auto"/>
                    <w:left w:val="none" w:sz="0" w:space="0" w:color="auto"/>
                    <w:bottom w:val="none" w:sz="0" w:space="0" w:color="auto"/>
                    <w:right w:val="none" w:sz="0" w:space="0" w:color="auto"/>
                  </w:divBdr>
                </w:div>
                <w:div w:id="191215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947092">
      <w:bodyDiv w:val="1"/>
      <w:marLeft w:val="0"/>
      <w:marRight w:val="0"/>
      <w:marTop w:val="0"/>
      <w:marBottom w:val="0"/>
      <w:divBdr>
        <w:top w:val="none" w:sz="0" w:space="0" w:color="auto"/>
        <w:left w:val="none" w:sz="0" w:space="0" w:color="auto"/>
        <w:bottom w:val="none" w:sz="0" w:space="0" w:color="auto"/>
        <w:right w:val="none" w:sz="0" w:space="0" w:color="auto"/>
      </w:divBdr>
      <w:divsChild>
        <w:div w:id="773675853">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134567390">
      <w:bodyDiv w:val="1"/>
      <w:marLeft w:val="0"/>
      <w:marRight w:val="0"/>
      <w:marTop w:val="0"/>
      <w:marBottom w:val="0"/>
      <w:divBdr>
        <w:top w:val="none" w:sz="0" w:space="0" w:color="auto"/>
        <w:left w:val="none" w:sz="0" w:space="0" w:color="auto"/>
        <w:bottom w:val="none" w:sz="0" w:space="0" w:color="auto"/>
        <w:right w:val="none" w:sz="0" w:space="0" w:color="auto"/>
      </w:divBdr>
    </w:div>
    <w:div w:id="1147356328">
      <w:bodyDiv w:val="1"/>
      <w:marLeft w:val="0"/>
      <w:marRight w:val="0"/>
      <w:marTop w:val="0"/>
      <w:marBottom w:val="0"/>
      <w:divBdr>
        <w:top w:val="none" w:sz="0" w:space="0" w:color="auto"/>
        <w:left w:val="none" w:sz="0" w:space="0" w:color="auto"/>
        <w:bottom w:val="none" w:sz="0" w:space="0" w:color="auto"/>
        <w:right w:val="none" w:sz="0" w:space="0" w:color="auto"/>
      </w:divBdr>
      <w:divsChild>
        <w:div w:id="483200656">
          <w:marLeft w:val="0"/>
          <w:marRight w:val="0"/>
          <w:marTop w:val="0"/>
          <w:marBottom w:val="0"/>
          <w:divBdr>
            <w:top w:val="none" w:sz="0" w:space="0" w:color="auto"/>
            <w:left w:val="none" w:sz="0" w:space="0" w:color="auto"/>
            <w:bottom w:val="none" w:sz="0" w:space="0" w:color="auto"/>
            <w:right w:val="none" w:sz="0" w:space="0" w:color="auto"/>
          </w:divBdr>
          <w:divsChild>
            <w:div w:id="1489787524">
              <w:marLeft w:val="0"/>
              <w:marRight w:val="0"/>
              <w:marTop w:val="0"/>
              <w:marBottom w:val="0"/>
              <w:divBdr>
                <w:top w:val="none" w:sz="0" w:space="0" w:color="auto"/>
                <w:left w:val="none" w:sz="0" w:space="0" w:color="auto"/>
                <w:bottom w:val="none" w:sz="0" w:space="0" w:color="auto"/>
                <w:right w:val="none" w:sz="0" w:space="0" w:color="auto"/>
              </w:divBdr>
              <w:divsChild>
                <w:div w:id="753892223">
                  <w:marLeft w:val="0"/>
                  <w:marRight w:val="0"/>
                  <w:marTop w:val="0"/>
                  <w:marBottom w:val="0"/>
                  <w:divBdr>
                    <w:top w:val="none" w:sz="0" w:space="0" w:color="auto"/>
                    <w:left w:val="none" w:sz="0" w:space="0" w:color="auto"/>
                    <w:bottom w:val="none" w:sz="0" w:space="0" w:color="auto"/>
                    <w:right w:val="none" w:sz="0" w:space="0" w:color="auto"/>
                  </w:divBdr>
                  <w:divsChild>
                    <w:div w:id="14153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173240">
      <w:bodyDiv w:val="1"/>
      <w:marLeft w:val="0"/>
      <w:marRight w:val="0"/>
      <w:marTop w:val="0"/>
      <w:marBottom w:val="0"/>
      <w:divBdr>
        <w:top w:val="none" w:sz="0" w:space="0" w:color="auto"/>
        <w:left w:val="none" w:sz="0" w:space="0" w:color="auto"/>
        <w:bottom w:val="none" w:sz="0" w:space="0" w:color="auto"/>
        <w:right w:val="none" w:sz="0" w:space="0" w:color="auto"/>
      </w:divBdr>
    </w:div>
    <w:div w:id="1173834538">
      <w:bodyDiv w:val="1"/>
      <w:marLeft w:val="0"/>
      <w:marRight w:val="0"/>
      <w:marTop w:val="0"/>
      <w:marBottom w:val="0"/>
      <w:divBdr>
        <w:top w:val="none" w:sz="0" w:space="0" w:color="auto"/>
        <w:left w:val="none" w:sz="0" w:space="0" w:color="auto"/>
        <w:bottom w:val="none" w:sz="0" w:space="0" w:color="auto"/>
        <w:right w:val="none" w:sz="0" w:space="0" w:color="auto"/>
      </w:divBdr>
      <w:divsChild>
        <w:div w:id="1316880606">
          <w:marLeft w:val="0"/>
          <w:marRight w:val="0"/>
          <w:marTop w:val="0"/>
          <w:marBottom w:val="0"/>
          <w:divBdr>
            <w:top w:val="none" w:sz="0" w:space="0" w:color="auto"/>
            <w:left w:val="none" w:sz="0" w:space="0" w:color="auto"/>
            <w:bottom w:val="none" w:sz="0" w:space="0" w:color="auto"/>
            <w:right w:val="none" w:sz="0" w:space="0" w:color="auto"/>
          </w:divBdr>
          <w:divsChild>
            <w:div w:id="164372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52304">
      <w:bodyDiv w:val="1"/>
      <w:marLeft w:val="0"/>
      <w:marRight w:val="0"/>
      <w:marTop w:val="0"/>
      <w:marBottom w:val="0"/>
      <w:divBdr>
        <w:top w:val="none" w:sz="0" w:space="0" w:color="auto"/>
        <w:left w:val="none" w:sz="0" w:space="0" w:color="auto"/>
        <w:bottom w:val="none" w:sz="0" w:space="0" w:color="auto"/>
        <w:right w:val="none" w:sz="0" w:space="0" w:color="auto"/>
      </w:divBdr>
    </w:div>
    <w:div w:id="1177424839">
      <w:bodyDiv w:val="1"/>
      <w:marLeft w:val="0"/>
      <w:marRight w:val="0"/>
      <w:marTop w:val="0"/>
      <w:marBottom w:val="0"/>
      <w:divBdr>
        <w:top w:val="none" w:sz="0" w:space="0" w:color="auto"/>
        <w:left w:val="none" w:sz="0" w:space="0" w:color="auto"/>
        <w:bottom w:val="none" w:sz="0" w:space="0" w:color="auto"/>
        <w:right w:val="none" w:sz="0" w:space="0" w:color="auto"/>
      </w:divBdr>
      <w:divsChild>
        <w:div w:id="532963760">
          <w:marLeft w:val="0"/>
          <w:marRight w:val="0"/>
          <w:marTop w:val="0"/>
          <w:marBottom w:val="0"/>
          <w:divBdr>
            <w:top w:val="none" w:sz="0" w:space="0" w:color="auto"/>
            <w:left w:val="none" w:sz="0" w:space="0" w:color="auto"/>
            <w:bottom w:val="none" w:sz="0" w:space="0" w:color="auto"/>
            <w:right w:val="none" w:sz="0" w:space="0" w:color="auto"/>
          </w:divBdr>
          <w:divsChild>
            <w:div w:id="27028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852568">
      <w:bodyDiv w:val="1"/>
      <w:marLeft w:val="0"/>
      <w:marRight w:val="0"/>
      <w:marTop w:val="0"/>
      <w:marBottom w:val="0"/>
      <w:divBdr>
        <w:top w:val="none" w:sz="0" w:space="0" w:color="auto"/>
        <w:left w:val="none" w:sz="0" w:space="0" w:color="auto"/>
        <w:bottom w:val="none" w:sz="0" w:space="0" w:color="auto"/>
        <w:right w:val="none" w:sz="0" w:space="0" w:color="auto"/>
      </w:divBdr>
    </w:div>
    <w:div w:id="1192110011">
      <w:bodyDiv w:val="1"/>
      <w:marLeft w:val="0"/>
      <w:marRight w:val="0"/>
      <w:marTop w:val="0"/>
      <w:marBottom w:val="0"/>
      <w:divBdr>
        <w:top w:val="none" w:sz="0" w:space="0" w:color="auto"/>
        <w:left w:val="none" w:sz="0" w:space="0" w:color="auto"/>
        <w:bottom w:val="none" w:sz="0" w:space="0" w:color="auto"/>
        <w:right w:val="none" w:sz="0" w:space="0" w:color="auto"/>
      </w:divBdr>
    </w:div>
    <w:div w:id="1193422264">
      <w:bodyDiv w:val="1"/>
      <w:marLeft w:val="0"/>
      <w:marRight w:val="0"/>
      <w:marTop w:val="0"/>
      <w:marBottom w:val="0"/>
      <w:divBdr>
        <w:top w:val="none" w:sz="0" w:space="0" w:color="auto"/>
        <w:left w:val="none" w:sz="0" w:space="0" w:color="auto"/>
        <w:bottom w:val="none" w:sz="0" w:space="0" w:color="auto"/>
        <w:right w:val="none" w:sz="0" w:space="0" w:color="auto"/>
      </w:divBdr>
    </w:div>
    <w:div w:id="1211764309">
      <w:bodyDiv w:val="1"/>
      <w:marLeft w:val="0"/>
      <w:marRight w:val="0"/>
      <w:marTop w:val="0"/>
      <w:marBottom w:val="0"/>
      <w:divBdr>
        <w:top w:val="none" w:sz="0" w:space="0" w:color="auto"/>
        <w:left w:val="none" w:sz="0" w:space="0" w:color="auto"/>
        <w:bottom w:val="none" w:sz="0" w:space="0" w:color="auto"/>
        <w:right w:val="none" w:sz="0" w:space="0" w:color="auto"/>
      </w:divBdr>
    </w:div>
    <w:div w:id="1214926827">
      <w:bodyDiv w:val="1"/>
      <w:marLeft w:val="0"/>
      <w:marRight w:val="0"/>
      <w:marTop w:val="0"/>
      <w:marBottom w:val="0"/>
      <w:divBdr>
        <w:top w:val="none" w:sz="0" w:space="0" w:color="auto"/>
        <w:left w:val="none" w:sz="0" w:space="0" w:color="auto"/>
        <w:bottom w:val="none" w:sz="0" w:space="0" w:color="auto"/>
        <w:right w:val="none" w:sz="0" w:space="0" w:color="auto"/>
      </w:divBdr>
    </w:div>
    <w:div w:id="1229076984">
      <w:bodyDiv w:val="1"/>
      <w:marLeft w:val="0"/>
      <w:marRight w:val="0"/>
      <w:marTop w:val="0"/>
      <w:marBottom w:val="0"/>
      <w:divBdr>
        <w:top w:val="none" w:sz="0" w:space="0" w:color="auto"/>
        <w:left w:val="none" w:sz="0" w:space="0" w:color="auto"/>
        <w:bottom w:val="none" w:sz="0" w:space="0" w:color="auto"/>
        <w:right w:val="none" w:sz="0" w:space="0" w:color="auto"/>
      </w:divBdr>
      <w:divsChild>
        <w:div w:id="417094596">
          <w:marLeft w:val="0"/>
          <w:marRight w:val="0"/>
          <w:marTop w:val="150"/>
          <w:marBottom w:val="0"/>
          <w:divBdr>
            <w:top w:val="none" w:sz="0" w:space="0" w:color="auto"/>
            <w:left w:val="none" w:sz="0" w:space="0" w:color="auto"/>
            <w:bottom w:val="none" w:sz="0" w:space="0" w:color="auto"/>
            <w:right w:val="none" w:sz="0" w:space="0" w:color="auto"/>
          </w:divBdr>
        </w:div>
        <w:div w:id="634874709">
          <w:marLeft w:val="0"/>
          <w:marRight w:val="0"/>
          <w:marTop w:val="0"/>
          <w:marBottom w:val="0"/>
          <w:divBdr>
            <w:top w:val="none" w:sz="0" w:space="0" w:color="auto"/>
            <w:left w:val="none" w:sz="0" w:space="0" w:color="auto"/>
            <w:bottom w:val="none" w:sz="0" w:space="0" w:color="auto"/>
            <w:right w:val="none" w:sz="0" w:space="0" w:color="auto"/>
          </w:divBdr>
        </w:div>
      </w:divsChild>
    </w:div>
    <w:div w:id="1242644089">
      <w:bodyDiv w:val="1"/>
      <w:marLeft w:val="0"/>
      <w:marRight w:val="0"/>
      <w:marTop w:val="0"/>
      <w:marBottom w:val="0"/>
      <w:divBdr>
        <w:top w:val="none" w:sz="0" w:space="0" w:color="auto"/>
        <w:left w:val="none" w:sz="0" w:space="0" w:color="auto"/>
        <w:bottom w:val="none" w:sz="0" w:space="0" w:color="auto"/>
        <w:right w:val="none" w:sz="0" w:space="0" w:color="auto"/>
      </w:divBdr>
    </w:div>
    <w:div w:id="1247225915">
      <w:bodyDiv w:val="1"/>
      <w:marLeft w:val="0"/>
      <w:marRight w:val="0"/>
      <w:marTop w:val="0"/>
      <w:marBottom w:val="0"/>
      <w:divBdr>
        <w:top w:val="none" w:sz="0" w:space="0" w:color="auto"/>
        <w:left w:val="none" w:sz="0" w:space="0" w:color="auto"/>
        <w:bottom w:val="none" w:sz="0" w:space="0" w:color="auto"/>
        <w:right w:val="none" w:sz="0" w:space="0" w:color="auto"/>
      </w:divBdr>
    </w:div>
    <w:div w:id="1260604989">
      <w:bodyDiv w:val="1"/>
      <w:marLeft w:val="0"/>
      <w:marRight w:val="0"/>
      <w:marTop w:val="0"/>
      <w:marBottom w:val="0"/>
      <w:divBdr>
        <w:top w:val="none" w:sz="0" w:space="0" w:color="auto"/>
        <w:left w:val="none" w:sz="0" w:space="0" w:color="auto"/>
        <w:bottom w:val="none" w:sz="0" w:space="0" w:color="auto"/>
        <w:right w:val="none" w:sz="0" w:space="0" w:color="auto"/>
      </w:divBdr>
    </w:div>
    <w:div w:id="1269124083">
      <w:bodyDiv w:val="1"/>
      <w:marLeft w:val="0"/>
      <w:marRight w:val="0"/>
      <w:marTop w:val="0"/>
      <w:marBottom w:val="0"/>
      <w:divBdr>
        <w:top w:val="none" w:sz="0" w:space="0" w:color="auto"/>
        <w:left w:val="none" w:sz="0" w:space="0" w:color="auto"/>
        <w:bottom w:val="none" w:sz="0" w:space="0" w:color="auto"/>
        <w:right w:val="none" w:sz="0" w:space="0" w:color="auto"/>
      </w:divBdr>
      <w:divsChild>
        <w:div w:id="659887337">
          <w:blockQuote w:val="1"/>
          <w:marLeft w:val="0"/>
          <w:marRight w:val="0"/>
          <w:marTop w:val="0"/>
          <w:marBottom w:val="255"/>
          <w:divBdr>
            <w:top w:val="none" w:sz="0" w:space="0" w:color="auto"/>
            <w:left w:val="single" w:sz="36" w:space="13" w:color="EEEEEE"/>
            <w:bottom w:val="none" w:sz="0" w:space="0" w:color="auto"/>
            <w:right w:val="none" w:sz="0" w:space="0" w:color="auto"/>
          </w:divBdr>
        </w:div>
        <w:div w:id="1277832520">
          <w:blockQuote w:val="1"/>
          <w:marLeft w:val="0"/>
          <w:marRight w:val="0"/>
          <w:marTop w:val="0"/>
          <w:marBottom w:val="255"/>
          <w:divBdr>
            <w:top w:val="none" w:sz="0" w:space="0" w:color="auto"/>
            <w:left w:val="single" w:sz="36" w:space="13" w:color="EEEEEE"/>
            <w:bottom w:val="none" w:sz="0" w:space="0" w:color="auto"/>
            <w:right w:val="none" w:sz="0" w:space="0" w:color="auto"/>
          </w:divBdr>
        </w:div>
      </w:divsChild>
    </w:div>
    <w:div w:id="1278950571">
      <w:bodyDiv w:val="1"/>
      <w:marLeft w:val="0"/>
      <w:marRight w:val="0"/>
      <w:marTop w:val="0"/>
      <w:marBottom w:val="0"/>
      <w:divBdr>
        <w:top w:val="none" w:sz="0" w:space="0" w:color="auto"/>
        <w:left w:val="none" w:sz="0" w:space="0" w:color="auto"/>
        <w:bottom w:val="none" w:sz="0" w:space="0" w:color="auto"/>
        <w:right w:val="none" w:sz="0" w:space="0" w:color="auto"/>
      </w:divBdr>
    </w:div>
    <w:div w:id="1282033663">
      <w:bodyDiv w:val="1"/>
      <w:marLeft w:val="0"/>
      <w:marRight w:val="0"/>
      <w:marTop w:val="0"/>
      <w:marBottom w:val="0"/>
      <w:divBdr>
        <w:top w:val="none" w:sz="0" w:space="0" w:color="auto"/>
        <w:left w:val="none" w:sz="0" w:space="0" w:color="auto"/>
        <w:bottom w:val="none" w:sz="0" w:space="0" w:color="auto"/>
        <w:right w:val="none" w:sz="0" w:space="0" w:color="auto"/>
      </w:divBdr>
    </w:div>
    <w:div w:id="1295066958">
      <w:bodyDiv w:val="1"/>
      <w:marLeft w:val="0"/>
      <w:marRight w:val="0"/>
      <w:marTop w:val="0"/>
      <w:marBottom w:val="0"/>
      <w:divBdr>
        <w:top w:val="none" w:sz="0" w:space="0" w:color="auto"/>
        <w:left w:val="none" w:sz="0" w:space="0" w:color="auto"/>
        <w:bottom w:val="none" w:sz="0" w:space="0" w:color="auto"/>
        <w:right w:val="none" w:sz="0" w:space="0" w:color="auto"/>
      </w:divBdr>
    </w:div>
    <w:div w:id="1308978698">
      <w:bodyDiv w:val="1"/>
      <w:marLeft w:val="0"/>
      <w:marRight w:val="0"/>
      <w:marTop w:val="0"/>
      <w:marBottom w:val="0"/>
      <w:divBdr>
        <w:top w:val="none" w:sz="0" w:space="0" w:color="auto"/>
        <w:left w:val="none" w:sz="0" w:space="0" w:color="auto"/>
        <w:bottom w:val="none" w:sz="0" w:space="0" w:color="auto"/>
        <w:right w:val="none" w:sz="0" w:space="0" w:color="auto"/>
      </w:divBdr>
      <w:divsChild>
        <w:div w:id="315689580">
          <w:marLeft w:val="0"/>
          <w:marRight w:val="0"/>
          <w:marTop w:val="0"/>
          <w:marBottom w:val="0"/>
          <w:divBdr>
            <w:top w:val="none" w:sz="0" w:space="0" w:color="auto"/>
            <w:left w:val="none" w:sz="0" w:space="0" w:color="auto"/>
            <w:bottom w:val="none" w:sz="0" w:space="0" w:color="auto"/>
            <w:right w:val="none" w:sz="0" w:space="0" w:color="auto"/>
          </w:divBdr>
        </w:div>
      </w:divsChild>
    </w:div>
    <w:div w:id="1313831997">
      <w:bodyDiv w:val="1"/>
      <w:marLeft w:val="0"/>
      <w:marRight w:val="0"/>
      <w:marTop w:val="0"/>
      <w:marBottom w:val="450"/>
      <w:divBdr>
        <w:top w:val="none" w:sz="0" w:space="0" w:color="auto"/>
        <w:left w:val="none" w:sz="0" w:space="0" w:color="auto"/>
        <w:bottom w:val="none" w:sz="0" w:space="0" w:color="auto"/>
        <w:right w:val="none" w:sz="0" w:space="0" w:color="auto"/>
      </w:divBdr>
      <w:divsChild>
        <w:div w:id="285042754">
          <w:marLeft w:val="0"/>
          <w:marRight w:val="0"/>
          <w:marTop w:val="100"/>
          <w:marBottom w:val="100"/>
          <w:divBdr>
            <w:top w:val="none" w:sz="0" w:space="0" w:color="auto"/>
            <w:left w:val="none" w:sz="0" w:space="0" w:color="auto"/>
            <w:bottom w:val="none" w:sz="0" w:space="0" w:color="auto"/>
            <w:right w:val="none" w:sz="0" w:space="0" w:color="auto"/>
          </w:divBdr>
          <w:divsChild>
            <w:div w:id="155541261">
              <w:marLeft w:val="0"/>
              <w:marRight w:val="0"/>
              <w:marTop w:val="0"/>
              <w:marBottom w:val="0"/>
              <w:divBdr>
                <w:top w:val="none" w:sz="0" w:space="0" w:color="auto"/>
                <w:left w:val="none" w:sz="0" w:space="0" w:color="auto"/>
                <w:bottom w:val="none" w:sz="0" w:space="0" w:color="auto"/>
                <w:right w:val="none" w:sz="0" w:space="0" w:color="auto"/>
              </w:divBdr>
              <w:divsChild>
                <w:div w:id="443697371">
                  <w:marLeft w:val="300"/>
                  <w:marRight w:val="300"/>
                  <w:marTop w:val="0"/>
                  <w:marBottom w:val="0"/>
                  <w:divBdr>
                    <w:top w:val="none" w:sz="0" w:space="0" w:color="auto"/>
                    <w:left w:val="none" w:sz="0" w:space="0" w:color="auto"/>
                    <w:bottom w:val="none" w:sz="0" w:space="0" w:color="auto"/>
                    <w:right w:val="none" w:sz="0" w:space="0" w:color="auto"/>
                  </w:divBdr>
                  <w:divsChild>
                    <w:div w:id="679431654">
                      <w:marLeft w:val="0"/>
                      <w:marRight w:val="0"/>
                      <w:marTop w:val="0"/>
                      <w:marBottom w:val="0"/>
                      <w:divBdr>
                        <w:top w:val="none" w:sz="0" w:space="0" w:color="auto"/>
                        <w:left w:val="none" w:sz="0" w:space="0" w:color="auto"/>
                        <w:bottom w:val="none" w:sz="0" w:space="0" w:color="auto"/>
                        <w:right w:val="none" w:sz="0" w:space="0" w:color="auto"/>
                      </w:divBdr>
                      <w:divsChild>
                        <w:div w:id="1779450962">
                          <w:marLeft w:val="0"/>
                          <w:marRight w:val="0"/>
                          <w:marTop w:val="0"/>
                          <w:marBottom w:val="0"/>
                          <w:divBdr>
                            <w:top w:val="none" w:sz="0" w:space="0" w:color="auto"/>
                            <w:left w:val="none" w:sz="0" w:space="0" w:color="auto"/>
                            <w:bottom w:val="none" w:sz="0" w:space="0" w:color="auto"/>
                            <w:right w:val="none" w:sz="0" w:space="0" w:color="auto"/>
                          </w:divBdr>
                          <w:divsChild>
                            <w:div w:id="80034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3871650">
      <w:bodyDiv w:val="1"/>
      <w:marLeft w:val="0"/>
      <w:marRight w:val="0"/>
      <w:marTop w:val="0"/>
      <w:marBottom w:val="0"/>
      <w:divBdr>
        <w:top w:val="none" w:sz="0" w:space="0" w:color="auto"/>
        <w:left w:val="none" w:sz="0" w:space="0" w:color="auto"/>
        <w:bottom w:val="none" w:sz="0" w:space="0" w:color="auto"/>
        <w:right w:val="none" w:sz="0" w:space="0" w:color="auto"/>
      </w:divBdr>
    </w:div>
    <w:div w:id="1326519403">
      <w:bodyDiv w:val="1"/>
      <w:marLeft w:val="0"/>
      <w:marRight w:val="0"/>
      <w:marTop w:val="0"/>
      <w:marBottom w:val="0"/>
      <w:divBdr>
        <w:top w:val="none" w:sz="0" w:space="0" w:color="auto"/>
        <w:left w:val="none" w:sz="0" w:space="0" w:color="auto"/>
        <w:bottom w:val="none" w:sz="0" w:space="0" w:color="auto"/>
        <w:right w:val="none" w:sz="0" w:space="0" w:color="auto"/>
      </w:divBdr>
      <w:divsChild>
        <w:div w:id="2099671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6594044">
      <w:bodyDiv w:val="1"/>
      <w:marLeft w:val="0"/>
      <w:marRight w:val="0"/>
      <w:marTop w:val="0"/>
      <w:marBottom w:val="0"/>
      <w:divBdr>
        <w:top w:val="none" w:sz="0" w:space="0" w:color="auto"/>
        <w:left w:val="none" w:sz="0" w:space="0" w:color="auto"/>
        <w:bottom w:val="none" w:sz="0" w:space="0" w:color="auto"/>
        <w:right w:val="none" w:sz="0" w:space="0" w:color="auto"/>
      </w:divBdr>
      <w:divsChild>
        <w:div w:id="159396729">
          <w:marLeft w:val="0"/>
          <w:marRight w:val="0"/>
          <w:marTop w:val="0"/>
          <w:marBottom w:val="0"/>
          <w:divBdr>
            <w:top w:val="none" w:sz="0" w:space="0" w:color="auto"/>
            <w:left w:val="none" w:sz="0" w:space="0" w:color="auto"/>
            <w:bottom w:val="none" w:sz="0" w:space="0" w:color="auto"/>
            <w:right w:val="none" w:sz="0" w:space="0" w:color="auto"/>
          </w:divBdr>
          <w:divsChild>
            <w:div w:id="1413166347">
              <w:marLeft w:val="0"/>
              <w:marRight w:val="0"/>
              <w:marTop w:val="144"/>
              <w:marBottom w:val="0"/>
              <w:divBdr>
                <w:top w:val="none" w:sz="0" w:space="0" w:color="auto"/>
                <w:left w:val="none" w:sz="0" w:space="0" w:color="auto"/>
                <w:bottom w:val="none" w:sz="0" w:space="0" w:color="auto"/>
                <w:right w:val="none" w:sz="0" w:space="0" w:color="auto"/>
              </w:divBdr>
              <w:divsChild>
                <w:div w:id="743913214">
                  <w:marLeft w:val="0"/>
                  <w:marRight w:val="0"/>
                  <w:marTop w:val="144"/>
                  <w:marBottom w:val="0"/>
                  <w:divBdr>
                    <w:top w:val="none" w:sz="0" w:space="0" w:color="auto"/>
                    <w:left w:val="none" w:sz="0" w:space="0" w:color="auto"/>
                    <w:bottom w:val="none" w:sz="0" w:space="0" w:color="auto"/>
                    <w:right w:val="none" w:sz="0" w:space="0" w:color="auto"/>
                  </w:divBdr>
                  <w:divsChild>
                    <w:div w:id="1049837400">
                      <w:marLeft w:val="0"/>
                      <w:marRight w:val="0"/>
                      <w:marTop w:val="144"/>
                      <w:marBottom w:val="0"/>
                      <w:divBdr>
                        <w:top w:val="none" w:sz="0" w:space="0" w:color="auto"/>
                        <w:left w:val="none" w:sz="0" w:space="0" w:color="auto"/>
                        <w:bottom w:val="none" w:sz="0" w:space="0" w:color="auto"/>
                        <w:right w:val="none" w:sz="0" w:space="0" w:color="auto"/>
                      </w:divBdr>
                      <w:divsChild>
                        <w:div w:id="526990626">
                          <w:marLeft w:val="-216"/>
                          <w:marRight w:val="0"/>
                          <w:marTop w:val="0"/>
                          <w:marBottom w:val="0"/>
                          <w:divBdr>
                            <w:top w:val="none" w:sz="0" w:space="0" w:color="auto"/>
                            <w:left w:val="none" w:sz="0" w:space="0" w:color="auto"/>
                            <w:bottom w:val="none" w:sz="0" w:space="0" w:color="auto"/>
                            <w:right w:val="none" w:sz="0" w:space="0" w:color="auto"/>
                          </w:divBdr>
                        </w:div>
                        <w:div w:id="1272934990">
                          <w:marLeft w:val="1080"/>
                          <w:marRight w:val="0"/>
                          <w:marTop w:val="0"/>
                          <w:marBottom w:val="0"/>
                          <w:divBdr>
                            <w:top w:val="none" w:sz="0" w:space="0" w:color="auto"/>
                            <w:left w:val="none" w:sz="0" w:space="0" w:color="auto"/>
                            <w:bottom w:val="none" w:sz="0" w:space="0" w:color="auto"/>
                            <w:right w:val="none" w:sz="0" w:space="0" w:color="auto"/>
                          </w:divBdr>
                        </w:div>
                      </w:divsChild>
                    </w:div>
                    <w:div w:id="1291281152">
                      <w:marLeft w:val="0"/>
                      <w:marRight w:val="0"/>
                      <w:marTop w:val="144"/>
                      <w:marBottom w:val="0"/>
                      <w:divBdr>
                        <w:top w:val="none" w:sz="0" w:space="0" w:color="auto"/>
                        <w:left w:val="none" w:sz="0" w:space="0" w:color="auto"/>
                        <w:bottom w:val="none" w:sz="0" w:space="0" w:color="auto"/>
                        <w:right w:val="none" w:sz="0" w:space="0" w:color="auto"/>
                      </w:divBdr>
                    </w:div>
                    <w:div w:id="1423797110">
                      <w:marLeft w:val="0"/>
                      <w:marRight w:val="0"/>
                      <w:marTop w:val="144"/>
                      <w:marBottom w:val="0"/>
                      <w:divBdr>
                        <w:top w:val="none" w:sz="0" w:space="0" w:color="auto"/>
                        <w:left w:val="none" w:sz="0" w:space="0" w:color="auto"/>
                        <w:bottom w:val="none" w:sz="0" w:space="0" w:color="auto"/>
                        <w:right w:val="none" w:sz="0" w:space="0" w:color="auto"/>
                      </w:divBdr>
                      <w:divsChild>
                        <w:div w:id="799300803">
                          <w:marLeft w:val="-216"/>
                          <w:marRight w:val="0"/>
                          <w:marTop w:val="0"/>
                          <w:marBottom w:val="0"/>
                          <w:divBdr>
                            <w:top w:val="none" w:sz="0" w:space="0" w:color="auto"/>
                            <w:left w:val="none" w:sz="0" w:space="0" w:color="auto"/>
                            <w:bottom w:val="none" w:sz="0" w:space="0" w:color="auto"/>
                            <w:right w:val="none" w:sz="0" w:space="0" w:color="auto"/>
                          </w:divBdr>
                        </w:div>
                        <w:div w:id="1219316456">
                          <w:marLeft w:val="1080"/>
                          <w:marRight w:val="0"/>
                          <w:marTop w:val="0"/>
                          <w:marBottom w:val="0"/>
                          <w:divBdr>
                            <w:top w:val="none" w:sz="0" w:space="0" w:color="auto"/>
                            <w:left w:val="none" w:sz="0" w:space="0" w:color="auto"/>
                            <w:bottom w:val="none" w:sz="0" w:space="0" w:color="auto"/>
                            <w:right w:val="none" w:sz="0" w:space="0" w:color="auto"/>
                          </w:divBdr>
                        </w:div>
                      </w:divsChild>
                    </w:div>
                    <w:div w:id="1605454756">
                      <w:marLeft w:val="0"/>
                      <w:marRight w:val="0"/>
                      <w:marTop w:val="144"/>
                      <w:marBottom w:val="0"/>
                      <w:divBdr>
                        <w:top w:val="none" w:sz="0" w:space="0" w:color="auto"/>
                        <w:left w:val="none" w:sz="0" w:space="0" w:color="auto"/>
                        <w:bottom w:val="none" w:sz="0" w:space="0" w:color="auto"/>
                        <w:right w:val="none" w:sz="0" w:space="0" w:color="auto"/>
                      </w:divBdr>
                      <w:divsChild>
                        <w:div w:id="654797097">
                          <w:marLeft w:val="1080"/>
                          <w:marRight w:val="0"/>
                          <w:marTop w:val="0"/>
                          <w:marBottom w:val="0"/>
                          <w:divBdr>
                            <w:top w:val="none" w:sz="0" w:space="0" w:color="auto"/>
                            <w:left w:val="none" w:sz="0" w:space="0" w:color="auto"/>
                            <w:bottom w:val="none" w:sz="0" w:space="0" w:color="auto"/>
                            <w:right w:val="none" w:sz="0" w:space="0" w:color="auto"/>
                          </w:divBdr>
                        </w:div>
                        <w:div w:id="806237926">
                          <w:marLeft w:val="-216"/>
                          <w:marRight w:val="0"/>
                          <w:marTop w:val="0"/>
                          <w:marBottom w:val="0"/>
                          <w:divBdr>
                            <w:top w:val="none" w:sz="0" w:space="0" w:color="auto"/>
                            <w:left w:val="none" w:sz="0" w:space="0" w:color="auto"/>
                            <w:bottom w:val="none" w:sz="0" w:space="0" w:color="auto"/>
                            <w:right w:val="none" w:sz="0" w:space="0" w:color="auto"/>
                          </w:divBdr>
                        </w:div>
                      </w:divsChild>
                    </w:div>
                    <w:div w:id="1806267719">
                      <w:marLeft w:val="0"/>
                      <w:marRight w:val="0"/>
                      <w:marTop w:val="144"/>
                      <w:marBottom w:val="0"/>
                      <w:divBdr>
                        <w:top w:val="none" w:sz="0" w:space="0" w:color="auto"/>
                        <w:left w:val="none" w:sz="0" w:space="0" w:color="auto"/>
                        <w:bottom w:val="none" w:sz="0" w:space="0" w:color="auto"/>
                        <w:right w:val="none" w:sz="0" w:space="0" w:color="auto"/>
                      </w:divBdr>
                      <w:divsChild>
                        <w:div w:id="1713070947">
                          <w:marLeft w:val="1080"/>
                          <w:marRight w:val="0"/>
                          <w:marTop w:val="0"/>
                          <w:marBottom w:val="0"/>
                          <w:divBdr>
                            <w:top w:val="none" w:sz="0" w:space="0" w:color="auto"/>
                            <w:left w:val="none" w:sz="0" w:space="0" w:color="auto"/>
                            <w:bottom w:val="none" w:sz="0" w:space="0" w:color="auto"/>
                            <w:right w:val="none" w:sz="0" w:space="0" w:color="auto"/>
                          </w:divBdr>
                        </w:div>
                        <w:div w:id="1957560736">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 w:id="1966814996">
                  <w:marLeft w:val="0"/>
                  <w:marRight w:val="0"/>
                  <w:marTop w:val="0"/>
                  <w:marBottom w:val="0"/>
                  <w:divBdr>
                    <w:top w:val="none" w:sz="0" w:space="0" w:color="auto"/>
                    <w:left w:val="none" w:sz="0" w:space="0" w:color="auto"/>
                    <w:bottom w:val="none" w:sz="0" w:space="0" w:color="auto"/>
                    <w:right w:val="none" w:sz="0" w:space="0" w:color="auto"/>
                  </w:divBdr>
                </w:div>
              </w:divsChild>
            </w:div>
            <w:div w:id="1602493428">
              <w:marLeft w:val="0"/>
              <w:marRight w:val="0"/>
              <w:marTop w:val="288"/>
              <w:marBottom w:val="144"/>
              <w:divBdr>
                <w:top w:val="none" w:sz="0" w:space="0" w:color="auto"/>
                <w:left w:val="none" w:sz="0" w:space="0" w:color="auto"/>
                <w:bottom w:val="none" w:sz="0" w:space="0" w:color="auto"/>
                <w:right w:val="none" w:sz="0" w:space="0" w:color="auto"/>
              </w:divBdr>
            </w:div>
          </w:divsChild>
        </w:div>
        <w:div w:id="1511682838">
          <w:marLeft w:val="0"/>
          <w:marRight w:val="0"/>
          <w:marTop w:val="0"/>
          <w:marBottom w:val="0"/>
          <w:divBdr>
            <w:top w:val="none" w:sz="0" w:space="0" w:color="auto"/>
            <w:left w:val="none" w:sz="0" w:space="0" w:color="auto"/>
            <w:bottom w:val="none" w:sz="0" w:space="0" w:color="auto"/>
            <w:right w:val="none" w:sz="0" w:space="0" w:color="auto"/>
          </w:divBdr>
          <w:divsChild>
            <w:div w:id="833107260">
              <w:marLeft w:val="0"/>
              <w:marRight w:val="0"/>
              <w:marTop w:val="144"/>
              <w:marBottom w:val="0"/>
              <w:divBdr>
                <w:top w:val="none" w:sz="0" w:space="0" w:color="auto"/>
                <w:left w:val="none" w:sz="0" w:space="0" w:color="auto"/>
                <w:bottom w:val="none" w:sz="0" w:space="0" w:color="auto"/>
                <w:right w:val="none" w:sz="0" w:space="0" w:color="auto"/>
              </w:divBdr>
            </w:div>
            <w:div w:id="1062215727">
              <w:marLeft w:val="0"/>
              <w:marRight w:val="0"/>
              <w:marTop w:val="288"/>
              <w:marBottom w:val="144"/>
              <w:divBdr>
                <w:top w:val="none" w:sz="0" w:space="0" w:color="auto"/>
                <w:left w:val="none" w:sz="0" w:space="0" w:color="auto"/>
                <w:bottom w:val="none" w:sz="0" w:space="0" w:color="auto"/>
                <w:right w:val="none" w:sz="0" w:space="0" w:color="auto"/>
              </w:divBdr>
            </w:div>
          </w:divsChild>
        </w:div>
      </w:divsChild>
    </w:div>
    <w:div w:id="1354265780">
      <w:bodyDiv w:val="1"/>
      <w:marLeft w:val="0"/>
      <w:marRight w:val="0"/>
      <w:marTop w:val="0"/>
      <w:marBottom w:val="0"/>
      <w:divBdr>
        <w:top w:val="none" w:sz="0" w:space="0" w:color="auto"/>
        <w:left w:val="none" w:sz="0" w:space="0" w:color="auto"/>
        <w:bottom w:val="none" w:sz="0" w:space="0" w:color="auto"/>
        <w:right w:val="none" w:sz="0" w:space="0" w:color="auto"/>
      </w:divBdr>
    </w:div>
    <w:div w:id="1368219431">
      <w:bodyDiv w:val="1"/>
      <w:marLeft w:val="0"/>
      <w:marRight w:val="0"/>
      <w:marTop w:val="0"/>
      <w:marBottom w:val="0"/>
      <w:divBdr>
        <w:top w:val="none" w:sz="0" w:space="0" w:color="auto"/>
        <w:left w:val="none" w:sz="0" w:space="0" w:color="auto"/>
        <w:bottom w:val="none" w:sz="0" w:space="0" w:color="auto"/>
        <w:right w:val="none" w:sz="0" w:space="0" w:color="auto"/>
      </w:divBdr>
    </w:div>
    <w:div w:id="1384793354">
      <w:bodyDiv w:val="1"/>
      <w:marLeft w:val="0"/>
      <w:marRight w:val="0"/>
      <w:marTop w:val="0"/>
      <w:marBottom w:val="0"/>
      <w:divBdr>
        <w:top w:val="none" w:sz="0" w:space="0" w:color="auto"/>
        <w:left w:val="none" w:sz="0" w:space="0" w:color="auto"/>
        <w:bottom w:val="none" w:sz="0" w:space="0" w:color="auto"/>
        <w:right w:val="none" w:sz="0" w:space="0" w:color="auto"/>
      </w:divBdr>
      <w:divsChild>
        <w:div w:id="1543443863">
          <w:marLeft w:val="0"/>
          <w:marRight w:val="0"/>
          <w:marTop w:val="0"/>
          <w:marBottom w:val="0"/>
          <w:divBdr>
            <w:top w:val="none" w:sz="0" w:space="0" w:color="auto"/>
            <w:left w:val="none" w:sz="0" w:space="0" w:color="auto"/>
            <w:bottom w:val="none" w:sz="0" w:space="0" w:color="auto"/>
            <w:right w:val="none" w:sz="0" w:space="0" w:color="auto"/>
          </w:divBdr>
          <w:divsChild>
            <w:div w:id="218833221">
              <w:marLeft w:val="0"/>
              <w:marRight w:val="0"/>
              <w:marTop w:val="0"/>
              <w:marBottom w:val="0"/>
              <w:divBdr>
                <w:top w:val="single" w:sz="4" w:space="0" w:color="333333"/>
                <w:left w:val="single" w:sz="4" w:space="0" w:color="333333"/>
                <w:bottom w:val="single" w:sz="4" w:space="0" w:color="333333"/>
                <w:right w:val="single" w:sz="4" w:space="0" w:color="333333"/>
              </w:divBdr>
              <w:divsChild>
                <w:div w:id="290668972">
                  <w:marLeft w:val="0"/>
                  <w:marRight w:val="0"/>
                  <w:marTop w:val="0"/>
                  <w:marBottom w:val="0"/>
                  <w:divBdr>
                    <w:top w:val="none" w:sz="0" w:space="0" w:color="auto"/>
                    <w:left w:val="none" w:sz="0" w:space="0" w:color="auto"/>
                    <w:bottom w:val="none" w:sz="0" w:space="0" w:color="auto"/>
                    <w:right w:val="none" w:sz="0" w:space="0" w:color="auto"/>
                  </w:divBdr>
                  <w:divsChild>
                    <w:div w:id="641885041">
                      <w:marLeft w:val="0"/>
                      <w:marRight w:val="0"/>
                      <w:marTop w:val="0"/>
                      <w:marBottom w:val="0"/>
                      <w:divBdr>
                        <w:top w:val="none" w:sz="0" w:space="0" w:color="auto"/>
                        <w:left w:val="none" w:sz="0" w:space="0" w:color="auto"/>
                        <w:bottom w:val="none" w:sz="0" w:space="0" w:color="auto"/>
                        <w:right w:val="none" w:sz="0" w:space="0" w:color="auto"/>
                      </w:divBdr>
                      <w:divsChild>
                        <w:div w:id="230582120">
                          <w:marLeft w:val="0"/>
                          <w:marRight w:val="0"/>
                          <w:marTop w:val="0"/>
                          <w:marBottom w:val="0"/>
                          <w:divBdr>
                            <w:top w:val="none" w:sz="0" w:space="0" w:color="auto"/>
                            <w:left w:val="none" w:sz="0" w:space="0" w:color="auto"/>
                            <w:bottom w:val="none" w:sz="0" w:space="0" w:color="auto"/>
                            <w:right w:val="none" w:sz="0" w:space="0" w:color="auto"/>
                          </w:divBdr>
                          <w:divsChild>
                            <w:div w:id="1590843468">
                              <w:marLeft w:val="0"/>
                              <w:marRight w:val="0"/>
                              <w:marTop w:val="0"/>
                              <w:marBottom w:val="0"/>
                              <w:divBdr>
                                <w:top w:val="none" w:sz="0" w:space="0" w:color="auto"/>
                                <w:left w:val="none" w:sz="0" w:space="0" w:color="auto"/>
                                <w:bottom w:val="none" w:sz="0" w:space="0" w:color="auto"/>
                                <w:right w:val="none" w:sz="0" w:space="0" w:color="auto"/>
                              </w:divBdr>
                              <w:divsChild>
                                <w:div w:id="2015956925">
                                  <w:marLeft w:val="2356"/>
                                  <w:marRight w:val="-10211"/>
                                  <w:marTop w:val="0"/>
                                  <w:marBottom w:val="0"/>
                                  <w:divBdr>
                                    <w:top w:val="none" w:sz="0" w:space="0" w:color="auto"/>
                                    <w:left w:val="none" w:sz="0" w:space="0" w:color="auto"/>
                                    <w:bottom w:val="none" w:sz="0" w:space="0" w:color="auto"/>
                                    <w:right w:val="none" w:sz="0" w:space="0" w:color="auto"/>
                                  </w:divBdr>
                                  <w:divsChild>
                                    <w:div w:id="985163649">
                                      <w:marLeft w:val="0"/>
                                      <w:marRight w:val="0"/>
                                      <w:marTop w:val="0"/>
                                      <w:marBottom w:val="0"/>
                                      <w:divBdr>
                                        <w:top w:val="none" w:sz="0" w:space="0" w:color="auto"/>
                                        <w:left w:val="none" w:sz="0" w:space="0" w:color="auto"/>
                                        <w:bottom w:val="none" w:sz="0" w:space="0" w:color="auto"/>
                                        <w:right w:val="none" w:sz="0" w:space="0" w:color="auto"/>
                                      </w:divBdr>
                                      <w:divsChild>
                                        <w:div w:id="196548842">
                                          <w:marLeft w:val="4"/>
                                          <w:marRight w:val="0"/>
                                          <w:marTop w:val="0"/>
                                          <w:marBottom w:val="0"/>
                                          <w:divBdr>
                                            <w:top w:val="none" w:sz="0" w:space="0" w:color="auto"/>
                                            <w:left w:val="none" w:sz="0" w:space="0" w:color="auto"/>
                                            <w:bottom w:val="none" w:sz="0" w:space="0" w:color="auto"/>
                                            <w:right w:val="none" w:sz="0" w:space="0" w:color="auto"/>
                                          </w:divBdr>
                                          <w:divsChild>
                                            <w:div w:id="58094961">
                                              <w:marLeft w:val="4"/>
                                              <w:marRight w:val="0"/>
                                              <w:marTop w:val="0"/>
                                              <w:marBottom w:val="0"/>
                                              <w:divBdr>
                                                <w:top w:val="none" w:sz="0" w:space="0" w:color="auto"/>
                                                <w:left w:val="none" w:sz="0" w:space="0" w:color="auto"/>
                                                <w:bottom w:val="none" w:sz="0" w:space="0" w:color="auto"/>
                                                <w:right w:val="none" w:sz="0" w:space="0" w:color="auto"/>
                                              </w:divBdr>
                                            </w:div>
                                            <w:div w:id="379209847">
                                              <w:marLeft w:val="4"/>
                                              <w:marRight w:val="0"/>
                                              <w:marTop w:val="0"/>
                                              <w:marBottom w:val="0"/>
                                              <w:divBdr>
                                                <w:top w:val="none" w:sz="0" w:space="0" w:color="auto"/>
                                                <w:left w:val="none" w:sz="0" w:space="0" w:color="auto"/>
                                                <w:bottom w:val="none" w:sz="0" w:space="0" w:color="auto"/>
                                                <w:right w:val="none" w:sz="0" w:space="0" w:color="auto"/>
                                              </w:divBdr>
                                            </w:div>
                                            <w:div w:id="1256594697">
                                              <w:marLeft w:val="0"/>
                                              <w:marRight w:val="0"/>
                                              <w:marTop w:val="0"/>
                                              <w:marBottom w:val="0"/>
                                              <w:divBdr>
                                                <w:top w:val="none" w:sz="0" w:space="0" w:color="auto"/>
                                                <w:left w:val="none" w:sz="0" w:space="0" w:color="auto"/>
                                                <w:bottom w:val="none" w:sz="0" w:space="0" w:color="auto"/>
                                                <w:right w:val="none" w:sz="0" w:space="0" w:color="auto"/>
                                              </w:divBdr>
                                            </w:div>
                                          </w:divsChild>
                                        </w:div>
                                        <w:div w:id="644165443">
                                          <w:marLeft w:val="4"/>
                                          <w:marRight w:val="0"/>
                                          <w:marTop w:val="0"/>
                                          <w:marBottom w:val="0"/>
                                          <w:divBdr>
                                            <w:top w:val="none" w:sz="0" w:space="0" w:color="auto"/>
                                            <w:left w:val="none" w:sz="0" w:space="0" w:color="auto"/>
                                            <w:bottom w:val="none" w:sz="0" w:space="0" w:color="auto"/>
                                            <w:right w:val="none" w:sz="0" w:space="0" w:color="auto"/>
                                          </w:divBdr>
                                          <w:divsChild>
                                            <w:div w:id="110515007">
                                              <w:marLeft w:val="4"/>
                                              <w:marRight w:val="0"/>
                                              <w:marTop w:val="0"/>
                                              <w:marBottom w:val="0"/>
                                              <w:divBdr>
                                                <w:top w:val="none" w:sz="0" w:space="0" w:color="auto"/>
                                                <w:left w:val="none" w:sz="0" w:space="0" w:color="auto"/>
                                                <w:bottom w:val="none" w:sz="0" w:space="0" w:color="auto"/>
                                                <w:right w:val="none" w:sz="0" w:space="0" w:color="auto"/>
                                              </w:divBdr>
                                              <w:divsChild>
                                                <w:div w:id="1213888140">
                                                  <w:marLeft w:val="0"/>
                                                  <w:marRight w:val="0"/>
                                                  <w:marTop w:val="0"/>
                                                  <w:marBottom w:val="0"/>
                                                  <w:divBdr>
                                                    <w:top w:val="none" w:sz="0" w:space="0" w:color="auto"/>
                                                    <w:left w:val="none" w:sz="0" w:space="0" w:color="auto"/>
                                                    <w:bottom w:val="none" w:sz="0" w:space="0" w:color="auto"/>
                                                    <w:right w:val="none" w:sz="0" w:space="0" w:color="auto"/>
                                                  </w:divBdr>
                                                </w:div>
                                              </w:divsChild>
                                            </w:div>
                                            <w:div w:id="449785416">
                                              <w:marLeft w:val="4"/>
                                              <w:marRight w:val="0"/>
                                              <w:marTop w:val="0"/>
                                              <w:marBottom w:val="0"/>
                                              <w:divBdr>
                                                <w:top w:val="none" w:sz="0" w:space="0" w:color="auto"/>
                                                <w:left w:val="none" w:sz="0" w:space="0" w:color="auto"/>
                                                <w:bottom w:val="none" w:sz="0" w:space="0" w:color="auto"/>
                                                <w:right w:val="none" w:sz="0" w:space="0" w:color="auto"/>
                                              </w:divBdr>
                                              <w:divsChild>
                                                <w:div w:id="1372070934">
                                                  <w:marLeft w:val="4"/>
                                                  <w:marRight w:val="0"/>
                                                  <w:marTop w:val="0"/>
                                                  <w:marBottom w:val="0"/>
                                                  <w:divBdr>
                                                    <w:top w:val="none" w:sz="0" w:space="0" w:color="auto"/>
                                                    <w:left w:val="none" w:sz="0" w:space="0" w:color="auto"/>
                                                    <w:bottom w:val="none" w:sz="0" w:space="0" w:color="auto"/>
                                                    <w:right w:val="none" w:sz="0" w:space="0" w:color="auto"/>
                                                  </w:divBdr>
                                                </w:div>
                                                <w:div w:id="1595358364">
                                                  <w:marLeft w:val="4"/>
                                                  <w:marRight w:val="0"/>
                                                  <w:marTop w:val="0"/>
                                                  <w:marBottom w:val="0"/>
                                                  <w:divBdr>
                                                    <w:top w:val="none" w:sz="0" w:space="0" w:color="auto"/>
                                                    <w:left w:val="none" w:sz="0" w:space="0" w:color="auto"/>
                                                    <w:bottom w:val="none" w:sz="0" w:space="0" w:color="auto"/>
                                                    <w:right w:val="none" w:sz="0" w:space="0" w:color="auto"/>
                                                  </w:divBdr>
                                                </w:div>
                                                <w:div w:id="1929077456">
                                                  <w:marLeft w:val="4"/>
                                                  <w:marRight w:val="0"/>
                                                  <w:marTop w:val="0"/>
                                                  <w:marBottom w:val="0"/>
                                                  <w:divBdr>
                                                    <w:top w:val="none" w:sz="0" w:space="0" w:color="auto"/>
                                                    <w:left w:val="none" w:sz="0" w:space="0" w:color="auto"/>
                                                    <w:bottom w:val="none" w:sz="0" w:space="0" w:color="auto"/>
                                                    <w:right w:val="none" w:sz="0" w:space="0" w:color="auto"/>
                                                  </w:divBdr>
                                                </w:div>
                                                <w:div w:id="1956907449">
                                                  <w:marLeft w:val="0"/>
                                                  <w:marRight w:val="0"/>
                                                  <w:marTop w:val="0"/>
                                                  <w:marBottom w:val="0"/>
                                                  <w:divBdr>
                                                    <w:top w:val="none" w:sz="0" w:space="0" w:color="auto"/>
                                                    <w:left w:val="none" w:sz="0" w:space="0" w:color="auto"/>
                                                    <w:bottom w:val="none" w:sz="0" w:space="0" w:color="auto"/>
                                                    <w:right w:val="none" w:sz="0" w:space="0" w:color="auto"/>
                                                  </w:divBdr>
                                                </w:div>
                                                <w:div w:id="2098011598">
                                                  <w:marLeft w:val="0"/>
                                                  <w:marRight w:val="0"/>
                                                  <w:marTop w:val="0"/>
                                                  <w:marBottom w:val="0"/>
                                                  <w:divBdr>
                                                    <w:top w:val="none" w:sz="0" w:space="0" w:color="auto"/>
                                                    <w:left w:val="none" w:sz="0" w:space="0" w:color="auto"/>
                                                    <w:bottom w:val="none" w:sz="0" w:space="0" w:color="auto"/>
                                                    <w:right w:val="none" w:sz="0" w:space="0" w:color="auto"/>
                                                  </w:divBdr>
                                                </w:div>
                                              </w:divsChild>
                                            </w:div>
                                            <w:div w:id="1381979068">
                                              <w:marLeft w:val="4"/>
                                              <w:marRight w:val="0"/>
                                              <w:marTop w:val="0"/>
                                              <w:marBottom w:val="0"/>
                                              <w:divBdr>
                                                <w:top w:val="none" w:sz="0" w:space="0" w:color="auto"/>
                                                <w:left w:val="none" w:sz="0" w:space="0" w:color="auto"/>
                                                <w:bottom w:val="none" w:sz="0" w:space="0" w:color="auto"/>
                                                <w:right w:val="none" w:sz="0" w:space="0" w:color="auto"/>
                                              </w:divBdr>
                                              <w:divsChild>
                                                <w:div w:id="1316838989">
                                                  <w:marLeft w:val="0"/>
                                                  <w:marRight w:val="0"/>
                                                  <w:marTop w:val="0"/>
                                                  <w:marBottom w:val="0"/>
                                                  <w:divBdr>
                                                    <w:top w:val="none" w:sz="0" w:space="0" w:color="auto"/>
                                                    <w:left w:val="none" w:sz="0" w:space="0" w:color="auto"/>
                                                    <w:bottom w:val="none" w:sz="0" w:space="0" w:color="auto"/>
                                                    <w:right w:val="none" w:sz="0" w:space="0" w:color="auto"/>
                                                  </w:divBdr>
                                                </w:div>
                                              </w:divsChild>
                                            </w:div>
                                            <w:div w:id="1973902291">
                                              <w:marLeft w:val="4"/>
                                              <w:marRight w:val="0"/>
                                              <w:marTop w:val="0"/>
                                              <w:marBottom w:val="0"/>
                                              <w:divBdr>
                                                <w:top w:val="none" w:sz="0" w:space="0" w:color="auto"/>
                                                <w:left w:val="none" w:sz="0" w:space="0" w:color="auto"/>
                                                <w:bottom w:val="none" w:sz="0" w:space="0" w:color="auto"/>
                                                <w:right w:val="none" w:sz="0" w:space="0" w:color="auto"/>
                                              </w:divBdr>
                                              <w:divsChild>
                                                <w:div w:id="119497411">
                                                  <w:marLeft w:val="4"/>
                                                  <w:marRight w:val="0"/>
                                                  <w:marTop w:val="0"/>
                                                  <w:marBottom w:val="0"/>
                                                  <w:divBdr>
                                                    <w:top w:val="none" w:sz="0" w:space="0" w:color="auto"/>
                                                    <w:left w:val="none" w:sz="0" w:space="0" w:color="auto"/>
                                                    <w:bottom w:val="none" w:sz="0" w:space="0" w:color="auto"/>
                                                    <w:right w:val="none" w:sz="0" w:space="0" w:color="auto"/>
                                                  </w:divBdr>
                                                  <w:divsChild>
                                                    <w:div w:id="1450928235">
                                                      <w:marLeft w:val="0"/>
                                                      <w:marRight w:val="0"/>
                                                      <w:marTop w:val="0"/>
                                                      <w:marBottom w:val="0"/>
                                                      <w:divBdr>
                                                        <w:top w:val="none" w:sz="0" w:space="0" w:color="auto"/>
                                                        <w:left w:val="none" w:sz="0" w:space="0" w:color="auto"/>
                                                        <w:bottom w:val="none" w:sz="0" w:space="0" w:color="auto"/>
                                                        <w:right w:val="none" w:sz="0" w:space="0" w:color="auto"/>
                                                      </w:divBdr>
                                                    </w:div>
                                                  </w:divsChild>
                                                </w:div>
                                                <w:div w:id="770904217">
                                                  <w:marLeft w:val="4"/>
                                                  <w:marRight w:val="0"/>
                                                  <w:marTop w:val="0"/>
                                                  <w:marBottom w:val="0"/>
                                                  <w:divBdr>
                                                    <w:top w:val="none" w:sz="0" w:space="0" w:color="auto"/>
                                                    <w:left w:val="none" w:sz="0" w:space="0" w:color="auto"/>
                                                    <w:bottom w:val="none" w:sz="0" w:space="0" w:color="auto"/>
                                                    <w:right w:val="none" w:sz="0" w:space="0" w:color="auto"/>
                                                  </w:divBdr>
                                                  <w:divsChild>
                                                    <w:div w:id="219366699">
                                                      <w:marLeft w:val="0"/>
                                                      <w:marRight w:val="0"/>
                                                      <w:marTop w:val="0"/>
                                                      <w:marBottom w:val="0"/>
                                                      <w:divBdr>
                                                        <w:top w:val="none" w:sz="0" w:space="0" w:color="auto"/>
                                                        <w:left w:val="none" w:sz="0" w:space="0" w:color="auto"/>
                                                        <w:bottom w:val="none" w:sz="0" w:space="0" w:color="auto"/>
                                                        <w:right w:val="none" w:sz="0" w:space="0" w:color="auto"/>
                                                      </w:divBdr>
                                                    </w:div>
                                                  </w:divsChild>
                                                </w:div>
                                                <w:div w:id="2022924103">
                                                  <w:marLeft w:val="4"/>
                                                  <w:marRight w:val="0"/>
                                                  <w:marTop w:val="0"/>
                                                  <w:marBottom w:val="0"/>
                                                  <w:divBdr>
                                                    <w:top w:val="none" w:sz="0" w:space="0" w:color="auto"/>
                                                    <w:left w:val="none" w:sz="0" w:space="0" w:color="auto"/>
                                                    <w:bottom w:val="none" w:sz="0" w:space="0" w:color="auto"/>
                                                    <w:right w:val="none" w:sz="0" w:space="0" w:color="auto"/>
                                                  </w:divBdr>
                                                  <w:divsChild>
                                                    <w:div w:id="156980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568107">
                                          <w:marLeft w:val="4"/>
                                          <w:marRight w:val="0"/>
                                          <w:marTop w:val="0"/>
                                          <w:marBottom w:val="0"/>
                                          <w:divBdr>
                                            <w:top w:val="none" w:sz="0" w:space="0" w:color="auto"/>
                                            <w:left w:val="none" w:sz="0" w:space="0" w:color="auto"/>
                                            <w:bottom w:val="none" w:sz="0" w:space="0" w:color="auto"/>
                                            <w:right w:val="none" w:sz="0" w:space="0" w:color="auto"/>
                                          </w:divBdr>
                                          <w:divsChild>
                                            <w:div w:id="148400809">
                                              <w:marLeft w:val="4"/>
                                              <w:marRight w:val="0"/>
                                              <w:marTop w:val="0"/>
                                              <w:marBottom w:val="0"/>
                                              <w:divBdr>
                                                <w:top w:val="none" w:sz="0" w:space="0" w:color="auto"/>
                                                <w:left w:val="none" w:sz="0" w:space="0" w:color="auto"/>
                                                <w:bottom w:val="none" w:sz="0" w:space="0" w:color="auto"/>
                                                <w:right w:val="none" w:sz="0" w:space="0" w:color="auto"/>
                                              </w:divBdr>
                                              <w:divsChild>
                                                <w:div w:id="360015859">
                                                  <w:marLeft w:val="0"/>
                                                  <w:marRight w:val="0"/>
                                                  <w:marTop w:val="0"/>
                                                  <w:marBottom w:val="0"/>
                                                  <w:divBdr>
                                                    <w:top w:val="none" w:sz="0" w:space="0" w:color="auto"/>
                                                    <w:left w:val="none" w:sz="0" w:space="0" w:color="auto"/>
                                                    <w:bottom w:val="none" w:sz="0" w:space="0" w:color="auto"/>
                                                    <w:right w:val="none" w:sz="0" w:space="0" w:color="auto"/>
                                                  </w:divBdr>
                                                </w:div>
                                                <w:div w:id="1841921433">
                                                  <w:marLeft w:val="4"/>
                                                  <w:marRight w:val="0"/>
                                                  <w:marTop w:val="0"/>
                                                  <w:marBottom w:val="0"/>
                                                  <w:divBdr>
                                                    <w:top w:val="none" w:sz="0" w:space="0" w:color="auto"/>
                                                    <w:left w:val="none" w:sz="0" w:space="0" w:color="auto"/>
                                                    <w:bottom w:val="none" w:sz="0" w:space="0" w:color="auto"/>
                                                    <w:right w:val="none" w:sz="0" w:space="0" w:color="auto"/>
                                                  </w:divBdr>
                                                </w:div>
                                                <w:div w:id="1953046454">
                                                  <w:marLeft w:val="4"/>
                                                  <w:marRight w:val="0"/>
                                                  <w:marTop w:val="0"/>
                                                  <w:marBottom w:val="0"/>
                                                  <w:divBdr>
                                                    <w:top w:val="none" w:sz="0" w:space="0" w:color="auto"/>
                                                    <w:left w:val="none" w:sz="0" w:space="0" w:color="auto"/>
                                                    <w:bottom w:val="none" w:sz="0" w:space="0" w:color="auto"/>
                                                    <w:right w:val="none" w:sz="0" w:space="0" w:color="auto"/>
                                                  </w:divBdr>
                                                </w:div>
                                              </w:divsChild>
                                            </w:div>
                                            <w:div w:id="1530071162">
                                              <w:marLeft w:val="4"/>
                                              <w:marRight w:val="0"/>
                                              <w:marTop w:val="0"/>
                                              <w:marBottom w:val="0"/>
                                              <w:divBdr>
                                                <w:top w:val="none" w:sz="0" w:space="0" w:color="auto"/>
                                                <w:left w:val="none" w:sz="0" w:space="0" w:color="auto"/>
                                                <w:bottom w:val="none" w:sz="0" w:space="0" w:color="auto"/>
                                                <w:right w:val="none" w:sz="0" w:space="0" w:color="auto"/>
                                              </w:divBdr>
                                              <w:divsChild>
                                                <w:div w:id="174224995">
                                                  <w:marLeft w:val="0"/>
                                                  <w:marRight w:val="0"/>
                                                  <w:marTop w:val="0"/>
                                                  <w:marBottom w:val="0"/>
                                                  <w:divBdr>
                                                    <w:top w:val="none" w:sz="0" w:space="0" w:color="auto"/>
                                                    <w:left w:val="none" w:sz="0" w:space="0" w:color="auto"/>
                                                    <w:bottom w:val="none" w:sz="0" w:space="0" w:color="auto"/>
                                                    <w:right w:val="none" w:sz="0" w:space="0" w:color="auto"/>
                                                  </w:divBdr>
                                                </w:div>
                                              </w:divsChild>
                                            </w:div>
                                            <w:div w:id="1533229061">
                                              <w:marLeft w:val="4"/>
                                              <w:marRight w:val="0"/>
                                              <w:marTop w:val="0"/>
                                              <w:marBottom w:val="0"/>
                                              <w:divBdr>
                                                <w:top w:val="none" w:sz="0" w:space="0" w:color="auto"/>
                                                <w:left w:val="none" w:sz="0" w:space="0" w:color="auto"/>
                                                <w:bottom w:val="none" w:sz="0" w:space="0" w:color="auto"/>
                                                <w:right w:val="none" w:sz="0" w:space="0" w:color="auto"/>
                                              </w:divBdr>
                                              <w:divsChild>
                                                <w:div w:id="864757201">
                                                  <w:marLeft w:val="0"/>
                                                  <w:marRight w:val="0"/>
                                                  <w:marTop w:val="0"/>
                                                  <w:marBottom w:val="0"/>
                                                  <w:divBdr>
                                                    <w:top w:val="none" w:sz="0" w:space="0" w:color="auto"/>
                                                    <w:left w:val="none" w:sz="0" w:space="0" w:color="auto"/>
                                                    <w:bottom w:val="none" w:sz="0" w:space="0" w:color="auto"/>
                                                    <w:right w:val="none" w:sz="0" w:space="0" w:color="auto"/>
                                                  </w:divBdr>
                                                </w:div>
                                              </w:divsChild>
                                            </w:div>
                                            <w:div w:id="1690058617">
                                              <w:marLeft w:val="4"/>
                                              <w:marRight w:val="0"/>
                                              <w:marTop w:val="0"/>
                                              <w:marBottom w:val="0"/>
                                              <w:divBdr>
                                                <w:top w:val="none" w:sz="0" w:space="0" w:color="auto"/>
                                                <w:left w:val="none" w:sz="0" w:space="0" w:color="auto"/>
                                                <w:bottom w:val="none" w:sz="0" w:space="0" w:color="auto"/>
                                                <w:right w:val="none" w:sz="0" w:space="0" w:color="auto"/>
                                              </w:divBdr>
                                              <w:divsChild>
                                                <w:div w:id="135490880">
                                                  <w:marLeft w:val="4"/>
                                                  <w:marRight w:val="0"/>
                                                  <w:marTop w:val="0"/>
                                                  <w:marBottom w:val="0"/>
                                                  <w:divBdr>
                                                    <w:top w:val="none" w:sz="0" w:space="0" w:color="auto"/>
                                                    <w:left w:val="none" w:sz="0" w:space="0" w:color="auto"/>
                                                    <w:bottom w:val="none" w:sz="0" w:space="0" w:color="auto"/>
                                                    <w:right w:val="none" w:sz="0" w:space="0" w:color="auto"/>
                                                  </w:divBdr>
                                                </w:div>
                                                <w:div w:id="676923311">
                                                  <w:marLeft w:val="4"/>
                                                  <w:marRight w:val="0"/>
                                                  <w:marTop w:val="0"/>
                                                  <w:marBottom w:val="0"/>
                                                  <w:divBdr>
                                                    <w:top w:val="none" w:sz="0" w:space="0" w:color="auto"/>
                                                    <w:left w:val="none" w:sz="0" w:space="0" w:color="auto"/>
                                                    <w:bottom w:val="none" w:sz="0" w:space="0" w:color="auto"/>
                                                    <w:right w:val="none" w:sz="0" w:space="0" w:color="auto"/>
                                                  </w:divBdr>
                                                </w:div>
                                                <w:div w:id="1123815063">
                                                  <w:marLeft w:val="4"/>
                                                  <w:marRight w:val="0"/>
                                                  <w:marTop w:val="0"/>
                                                  <w:marBottom w:val="0"/>
                                                  <w:divBdr>
                                                    <w:top w:val="none" w:sz="0" w:space="0" w:color="auto"/>
                                                    <w:left w:val="none" w:sz="0" w:space="0" w:color="auto"/>
                                                    <w:bottom w:val="none" w:sz="0" w:space="0" w:color="auto"/>
                                                    <w:right w:val="none" w:sz="0" w:space="0" w:color="auto"/>
                                                  </w:divBdr>
                                                </w:div>
                                                <w:div w:id="1169128420">
                                                  <w:marLeft w:val="4"/>
                                                  <w:marRight w:val="0"/>
                                                  <w:marTop w:val="0"/>
                                                  <w:marBottom w:val="0"/>
                                                  <w:divBdr>
                                                    <w:top w:val="none" w:sz="0" w:space="0" w:color="auto"/>
                                                    <w:left w:val="none" w:sz="0" w:space="0" w:color="auto"/>
                                                    <w:bottom w:val="none" w:sz="0" w:space="0" w:color="auto"/>
                                                    <w:right w:val="none" w:sz="0" w:space="0" w:color="auto"/>
                                                  </w:divBdr>
                                                </w:div>
                                                <w:div w:id="1452475114">
                                                  <w:marLeft w:val="0"/>
                                                  <w:marRight w:val="0"/>
                                                  <w:marTop w:val="0"/>
                                                  <w:marBottom w:val="0"/>
                                                  <w:divBdr>
                                                    <w:top w:val="none" w:sz="0" w:space="0" w:color="auto"/>
                                                    <w:left w:val="none" w:sz="0" w:space="0" w:color="auto"/>
                                                    <w:bottom w:val="none" w:sz="0" w:space="0" w:color="auto"/>
                                                    <w:right w:val="none" w:sz="0" w:space="0" w:color="auto"/>
                                                  </w:divBdr>
                                                </w:div>
                                                <w:div w:id="1540243453">
                                                  <w:marLeft w:val="4"/>
                                                  <w:marRight w:val="0"/>
                                                  <w:marTop w:val="0"/>
                                                  <w:marBottom w:val="0"/>
                                                  <w:divBdr>
                                                    <w:top w:val="none" w:sz="0" w:space="0" w:color="auto"/>
                                                    <w:left w:val="none" w:sz="0" w:space="0" w:color="auto"/>
                                                    <w:bottom w:val="none" w:sz="0" w:space="0" w:color="auto"/>
                                                    <w:right w:val="none" w:sz="0" w:space="0" w:color="auto"/>
                                                  </w:divBdr>
                                                </w:div>
                                                <w:div w:id="1562254887">
                                                  <w:marLeft w:val="4"/>
                                                  <w:marRight w:val="0"/>
                                                  <w:marTop w:val="0"/>
                                                  <w:marBottom w:val="0"/>
                                                  <w:divBdr>
                                                    <w:top w:val="none" w:sz="0" w:space="0" w:color="auto"/>
                                                    <w:left w:val="none" w:sz="0" w:space="0" w:color="auto"/>
                                                    <w:bottom w:val="none" w:sz="0" w:space="0" w:color="auto"/>
                                                    <w:right w:val="none" w:sz="0" w:space="0" w:color="auto"/>
                                                  </w:divBdr>
                                                </w:div>
                                                <w:div w:id="1599288331">
                                                  <w:marLeft w:val="4"/>
                                                  <w:marRight w:val="0"/>
                                                  <w:marTop w:val="0"/>
                                                  <w:marBottom w:val="0"/>
                                                  <w:divBdr>
                                                    <w:top w:val="none" w:sz="0" w:space="0" w:color="auto"/>
                                                    <w:left w:val="none" w:sz="0" w:space="0" w:color="auto"/>
                                                    <w:bottom w:val="none" w:sz="0" w:space="0" w:color="auto"/>
                                                    <w:right w:val="none" w:sz="0" w:space="0" w:color="auto"/>
                                                  </w:divBdr>
                                                </w:div>
                                                <w:div w:id="1806702476">
                                                  <w:marLeft w:val="0"/>
                                                  <w:marRight w:val="0"/>
                                                  <w:marTop w:val="0"/>
                                                  <w:marBottom w:val="0"/>
                                                  <w:divBdr>
                                                    <w:top w:val="none" w:sz="0" w:space="0" w:color="auto"/>
                                                    <w:left w:val="none" w:sz="0" w:space="0" w:color="auto"/>
                                                    <w:bottom w:val="none" w:sz="0" w:space="0" w:color="auto"/>
                                                    <w:right w:val="none" w:sz="0" w:space="0" w:color="auto"/>
                                                  </w:divBdr>
                                                </w:div>
                                              </w:divsChild>
                                            </w:div>
                                            <w:div w:id="1738744146">
                                              <w:marLeft w:val="0"/>
                                              <w:marRight w:val="0"/>
                                              <w:marTop w:val="0"/>
                                              <w:marBottom w:val="0"/>
                                              <w:divBdr>
                                                <w:top w:val="none" w:sz="0" w:space="0" w:color="auto"/>
                                                <w:left w:val="none" w:sz="0" w:space="0" w:color="auto"/>
                                                <w:bottom w:val="none" w:sz="0" w:space="0" w:color="auto"/>
                                                <w:right w:val="none" w:sz="0" w:space="0" w:color="auto"/>
                                              </w:divBdr>
                                            </w:div>
                                            <w:div w:id="1996303603">
                                              <w:marLeft w:val="4"/>
                                              <w:marRight w:val="0"/>
                                              <w:marTop w:val="0"/>
                                              <w:marBottom w:val="0"/>
                                              <w:divBdr>
                                                <w:top w:val="none" w:sz="0" w:space="0" w:color="auto"/>
                                                <w:left w:val="none" w:sz="0" w:space="0" w:color="auto"/>
                                                <w:bottom w:val="none" w:sz="0" w:space="0" w:color="auto"/>
                                                <w:right w:val="none" w:sz="0" w:space="0" w:color="auto"/>
                                              </w:divBdr>
                                              <w:divsChild>
                                                <w:div w:id="439883908">
                                                  <w:marLeft w:val="4"/>
                                                  <w:marRight w:val="0"/>
                                                  <w:marTop w:val="0"/>
                                                  <w:marBottom w:val="0"/>
                                                  <w:divBdr>
                                                    <w:top w:val="none" w:sz="0" w:space="0" w:color="auto"/>
                                                    <w:left w:val="none" w:sz="0" w:space="0" w:color="auto"/>
                                                    <w:bottom w:val="none" w:sz="0" w:space="0" w:color="auto"/>
                                                    <w:right w:val="none" w:sz="0" w:space="0" w:color="auto"/>
                                                  </w:divBdr>
                                                </w:div>
                                                <w:div w:id="486433545">
                                                  <w:marLeft w:val="4"/>
                                                  <w:marRight w:val="0"/>
                                                  <w:marTop w:val="0"/>
                                                  <w:marBottom w:val="0"/>
                                                  <w:divBdr>
                                                    <w:top w:val="none" w:sz="0" w:space="0" w:color="auto"/>
                                                    <w:left w:val="none" w:sz="0" w:space="0" w:color="auto"/>
                                                    <w:bottom w:val="none" w:sz="0" w:space="0" w:color="auto"/>
                                                    <w:right w:val="none" w:sz="0" w:space="0" w:color="auto"/>
                                                  </w:divBdr>
                                                </w:div>
                                                <w:div w:id="191142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640803">
                                          <w:marLeft w:val="4"/>
                                          <w:marRight w:val="0"/>
                                          <w:marTop w:val="0"/>
                                          <w:marBottom w:val="0"/>
                                          <w:divBdr>
                                            <w:top w:val="none" w:sz="0" w:space="0" w:color="auto"/>
                                            <w:left w:val="none" w:sz="0" w:space="0" w:color="auto"/>
                                            <w:bottom w:val="none" w:sz="0" w:space="0" w:color="auto"/>
                                            <w:right w:val="none" w:sz="0" w:space="0" w:color="auto"/>
                                          </w:divBdr>
                                          <w:divsChild>
                                            <w:div w:id="431168162">
                                              <w:marLeft w:val="0"/>
                                              <w:marRight w:val="0"/>
                                              <w:marTop w:val="0"/>
                                              <w:marBottom w:val="0"/>
                                              <w:divBdr>
                                                <w:top w:val="none" w:sz="0" w:space="0" w:color="auto"/>
                                                <w:left w:val="none" w:sz="0" w:space="0" w:color="auto"/>
                                                <w:bottom w:val="none" w:sz="0" w:space="0" w:color="auto"/>
                                                <w:right w:val="none" w:sz="0" w:space="0" w:color="auto"/>
                                              </w:divBdr>
                                            </w:div>
                                          </w:divsChild>
                                        </w:div>
                                        <w:div w:id="1240284964">
                                          <w:marLeft w:val="4"/>
                                          <w:marRight w:val="0"/>
                                          <w:marTop w:val="0"/>
                                          <w:marBottom w:val="0"/>
                                          <w:divBdr>
                                            <w:top w:val="none" w:sz="0" w:space="0" w:color="auto"/>
                                            <w:left w:val="none" w:sz="0" w:space="0" w:color="auto"/>
                                            <w:bottom w:val="none" w:sz="0" w:space="0" w:color="auto"/>
                                            <w:right w:val="none" w:sz="0" w:space="0" w:color="auto"/>
                                          </w:divBdr>
                                          <w:divsChild>
                                            <w:div w:id="392192285">
                                              <w:marLeft w:val="0"/>
                                              <w:marRight w:val="0"/>
                                              <w:marTop w:val="0"/>
                                              <w:marBottom w:val="0"/>
                                              <w:divBdr>
                                                <w:top w:val="none" w:sz="0" w:space="0" w:color="auto"/>
                                                <w:left w:val="none" w:sz="0" w:space="0" w:color="auto"/>
                                                <w:bottom w:val="none" w:sz="0" w:space="0" w:color="auto"/>
                                                <w:right w:val="none" w:sz="0" w:space="0" w:color="auto"/>
                                              </w:divBdr>
                                            </w:div>
                                            <w:div w:id="924193368">
                                              <w:marLeft w:val="4"/>
                                              <w:marRight w:val="0"/>
                                              <w:marTop w:val="0"/>
                                              <w:marBottom w:val="0"/>
                                              <w:divBdr>
                                                <w:top w:val="none" w:sz="0" w:space="0" w:color="auto"/>
                                                <w:left w:val="none" w:sz="0" w:space="0" w:color="auto"/>
                                                <w:bottom w:val="none" w:sz="0" w:space="0" w:color="auto"/>
                                                <w:right w:val="none" w:sz="0" w:space="0" w:color="auto"/>
                                              </w:divBdr>
                                            </w:div>
                                            <w:div w:id="1512329674">
                                              <w:marLeft w:val="4"/>
                                              <w:marRight w:val="0"/>
                                              <w:marTop w:val="0"/>
                                              <w:marBottom w:val="0"/>
                                              <w:divBdr>
                                                <w:top w:val="none" w:sz="0" w:space="0" w:color="auto"/>
                                                <w:left w:val="none" w:sz="0" w:space="0" w:color="auto"/>
                                                <w:bottom w:val="none" w:sz="0" w:space="0" w:color="auto"/>
                                                <w:right w:val="none" w:sz="0" w:space="0" w:color="auto"/>
                                              </w:divBdr>
                                            </w:div>
                                          </w:divsChild>
                                        </w:div>
                                        <w:div w:id="1255014786">
                                          <w:marLeft w:val="4"/>
                                          <w:marRight w:val="0"/>
                                          <w:marTop w:val="0"/>
                                          <w:marBottom w:val="0"/>
                                          <w:divBdr>
                                            <w:top w:val="none" w:sz="0" w:space="0" w:color="auto"/>
                                            <w:left w:val="none" w:sz="0" w:space="0" w:color="auto"/>
                                            <w:bottom w:val="none" w:sz="0" w:space="0" w:color="auto"/>
                                            <w:right w:val="none" w:sz="0" w:space="0" w:color="auto"/>
                                          </w:divBdr>
                                          <w:divsChild>
                                            <w:div w:id="64570294">
                                              <w:marLeft w:val="4"/>
                                              <w:marRight w:val="0"/>
                                              <w:marTop w:val="0"/>
                                              <w:marBottom w:val="0"/>
                                              <w:divBdr>
                                                <w:top w:val="none" w:sz="0" w:space="0" w:color="auto"/>
                                                <w:left w:val="none" w:sz="0" w:space="0" w:color="auto"/>
                                                <w:bottom w:val="none" w:sz="0" w:space="0" w:color="auto"/>
                                                <w:right w:val="none" w:sz="0" w:space="0" w:color="auto"/>
                                              </w:divBdr>
                                              <w:divsChild>
                                                <w:div w:id="595594594">
                                                  <w:marLeft w:val="0"/>
                                                  <w:marRight w:val="0"/>
                                                  <w:marTop w:val="0"/>
                                                  <w:marBottom w:val="0"/>
                                                  <w:divBdr>
                                                    <w:top w:val="none" w:sz="0" w:space="0" w:color="auto"/>
                                                    <w:left w:val="none" w:sz="0" w:space="0" w:color="auto"/>
                                                    <w:bottom w:val="none" w:sz="0" w:space="0" w:color="auto"/>
                                                    <w:right w:val="none" w:sz="0" w:space="0" w:color="auto"/>
                                                  </w:divBdr>
                                                </w:div>
                                              </w:divsChild>
                                            </w:div>
                                            <w:div w:id="143354513">
                                              <w:marLeft w:val="4"/>
                                              <w:marRight w:val="0"/>
                                              <w:marTop w:val="0"/>
                                              <w:marBottom w:val="0"/>
                                              <w:divBdr>
                                                <w:top w:val="none" w:sz="0" w:space="0" w:color="auto"/>
                                                <w:left w:val="none" w:sz="0" w:space="0" w:color="auto"/>
                                                <w:bottom w:val="none" w:sz="0" w:space="0" w:color="auto"/>
                                                <w:right w:val="none" w:sz="0" w:space="0" w:color="auto"/>
                                              </w:divBdr>
                                              <w:divsChild>
                                                <w:div w:id="1400640280">
                                                  <w:marLeft w:val="0"/>
                                                  <w:marRight w:val="0"/>
                                                  <w:marTop w:val="0"/>
                                                  <w:marBottom w:val="0"/>
                                                  <w:divBdr>
                                                    <w:top w:val="none" w:sz="0" w:space="0" w:color="auto"/>
                                                    <w:left w:val="none" w:sz="0" w:space="0" w:color="auto"/>
                                                    <w:bottom w:val="none" w:sz="0" w:space="0" w:color="auto"/>
                                                    <w:right w:val="none" w:sz="0" w:space="0" w:color="auto"/>
                                                  </w:divBdr>
                                                </w:div>
                                              </w:divsChild>
                                            </w:div>
                                            <w:div w:id="256716761">
                                              <w:marLeft w:val="4"/>
                                              <w:marRight w:val="0"/>
                                              <w:marTop w:val="0"/>
                                              <w:marBottom w:val="0"/>
                                              <w:divBdr>
                                                <w:top w:val="none" w:sz="0" w:space="0" w:color="auto"/>
                                                <w:left w:val="none" w:sz="0" w:space="0" w:color="auto"/>
                                                <w:bottom w:val="none" w:sz="0" w:space="0" w:color="auto"/>
                                                <w:right w:val="none" w:sz="0" w:space="0" w:color="auto"/>
                                              </w:divBdr>
                                              <w:divsChild>
                                                <w:div w:id="147259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207096">
                                          <w:marLeft w:val="4"/>
                                          <w:marRight w:val="0"/>
                                          <w:marTop w:val="0"/>
                                          <w:marBottom w:val="0"/>
                                          <w:divBdr>
                                            <w:top w:val="none" w:sz="0" w:space="0" w:color="auto"/>
                                            <w:left w:val="none" w:sz="0" w:space="0" w:color="auto"/>
                                            <w:bottom w:val="none" w:sz="0" w:space="0" w:color="auto"/>
                                            <w:right w:val="none" w:sz="0" w:space="0" w:color="auto"/>
                                          </w:divBdr>
                                          <w:divsChild>
                                            <w:div w:id="304969888">
                                              <w:marLeft w:val="4"/>
                                              <w:marRight w:val="0"/>
                                              <w:marTop w:val="0"/>
                                              <w:marBottom w:val="0"/>
                                              <w:divBdr>
                                                <w:top w:val="none" w:sz="0" w:space="0" w:color="auto"/>
                                                <w:left w:val="none" w:sz="0" w:space="0" w:color="auto"/>
                                                <w:bottom w:val="none" w:sz="0" w:space="0" w:color="auto"/>
                                                <w:right w:val="none" w:sz="0" w:space="0" w:color="auto"/>
                                              </w:divBdr>
                                            </w:div>
                                            <w:div w:id="760954686">
                                              <w:marLeft w:val="4"/>
                                              <w:marRight w:val="0"/>
                                              <w:marTop w:val="0"/>
                                              <w:marBottom w:val="0"/>
                                              <w:divBdr>
                                                <w:top w:val="none" w:sz="0" w:space="0" w:color="auto"/>
                                                <w:left w:val="none" w:sz="0" w:space="0" w:color="auto"/>
                                                <w:bottom w:val="none" w:sz="0" w:space="0" w:color="auto"/>
                                                <w:right w:val="none" w:sz="0" w:space="0" w:color="auto"/>
                                              </w:divBdr>
                                            </w:div>
                                            <w:div w:id="919674761">
                                              <w:marLeft w:val="0"/>
                                              <w:marRight w:val="0"/>
                                              <w:marTop w:val="0"/>
                                              <w:marBottom w:val="0"/>
                                              <w:divBdr>
                                                <w:top w:val="none" w:sz="0" w:space="0" w:color="auto"/>
                                                <w:left w:val="none" w:sz="0" w:space="0" w:color="auto"/>
                                                <w:bottom w:val="none" w:sz="0" w:space="0" w:color="auto"/>
                                                <w:right w:val="none" w:sz="0" w:space="0" w:color="auto"/>
                                              </w:divBdr>
                                            </w:div>
                                            <w:div w:id="1044721437">
                                              <w:marLeft w:val="4"/>
                                              <w:marRight w:val="0"/>
                                              <w:marTop w:val="0"/>
                                              <w:marBottom w:val="0"/>
                                              <w:divBdr>
                                                <w:top w:val="none" w:sz="0" w:space="0" w:color="auto"/>
                                                <w:left w:val="none" w:sz="0" w:space="0" w:color="auto"/>
                                                <w:bottom w:val="none" w:sz="0" w:space="0" w:color="auto"/>
                                                <w:right w:val="none" w:sz="0" w:space="0" w:color="auto"/>
                                              </w:divBdr>
                                            </w:div>
                                            <w:div w:id="1318413791">
                                              <w:marLeft w:val="4"/>
                                              <w:marRight w:val="0"/>
                                              <w:marTop w:val="0"/>
                                              <w:marBottom w:val="0"/>
                                              <w:divBdr>
                                                <w:top w:val="none" w:sz="0" w:space="0" w:color="auto"/>
                                                <w:left w:val="none" w:sz="0" w:space="0" w:color="auto"/>
                                                <w:bottom w:val="none" w:sz="0" w:space="0" w:color="auto"/>
                                                <w:right w:val="none" w:sz="0" w:space="0" w:color="auto"/>
                                              </w:divBdr>
                                            </w:div>
                                            <w:div w:id="161378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9278598">
      <w:bodyDiv w:val="1"/>
      <w:marLeft w:val="0"/>
      <w:marRight w:val="0"/>
      <w:marTop w:val="0"/>
      <w:marBottom w:val="0"/>
      <w:divBdr>
        <w:top w:val="none" w:sz="0" w:space="0" w:color="auto"/>
        <w:left w:val="none" w:sz="0" w:space="0" w:color="auto"/>
        <w:bottom w:val="none" w:sz="0" w:space="0" w:color="auto"/>
        <w:right w:val="none" w:sz="0" w:space="0" w:color="auto"/>
      </w:divBdr>
    </w:div>
    <w:div w:id="1402171972">
      <w:bodyDiv w:val="1"/>
      <w:marLeft w:val="0"/>
      <w:marRight w:val="0"/>
      <w:marTop w:val="0"/>
      <w:marBottom w:val="0"/>
      <w:divBdr>
        <w:top w:val="none" w:sz="0" w:space="0" w:color="auto"/>
        <w:left w:val="none" w:sz="0" w:space="0" w:color="auto"/>
        <w:bottom w:val="none" w:sz="0" w:space="0" w:color="auto"/>
        <w:right w:val="none" w:sz="0" w:space="0" w:color="auto"/>
      </w:divBdr>
    </w:div>
    <w:div w:id="1405034301">
      <w:bodyDiv w:val="1"/>
      <w:marLeft w:val="0"/>
      <w:marRight w:val="0"/>
      <w:marTop w:val="0"/>
      <w:marBottom w:val="0"/>
      <w:divBdr>
        <w:top w:val="none" w:sz="0" w:space="0" w:color="auto"/>
        <w:left w:val="none" w:sz="0" w:space="0" w:color="auto"/>
        <w:bottom w:val="none" w:sz="0" w:space="0" w:color="auto"/>
        <w:right w:val="none" w:sz="0" w:space="0" w:color="auto"/>
      </w:divBdr>
    </w:div>
    <w:div w:id="1411391724">
      <w:bodyDiv w:val="1"/>
      <w:marLeft w:val="0"/>
      <w:marRight w:val="0"/>
      <w:marTop w:val="0"/>
      <w:marBottom w:val="0"/>
      <w:divBdr>
        <w:top w:val="none" w:sz="0" w:space="0" w:color="auto"/>
        <w:left w:val="none" w:sz="0" w:space="0" w:color="auto"/>
        <w:bottom w:val="none" w:sz="0" w:space="0" w:color="auto"/>
        <w:right w:val="none" w:sz="0" w:space="0" w:color="auto"/>
      </w:divBdr>
    </w:div>
    <w:div w:id="1416395124">
      <w:bodyDiv w:val="1"/>
      <w:marLeft w:val="0"/>
      <w:marRight w:val="0"/>
      <w:marTop w:val="0"/>
      <w:marBottom w:val="0"/>
      <w:divBdr>
        <w:top w:val="none" w:sz="0" w:space="0" w:color="auto"/>
        <w:left w:val="none" w:sz="0" w:space="0" w:color="auto"/>
        <w:bottom w:val="none" w:sz="0" w:space="0" w:color="auto"/>
        <w:right w:val="none" w:sz="0" w:space="0" w:color="auto"/>
      </w:divBdr>
    </w:div>
    <w:div w:id="1419791266">
      <w:bodyDiv w:val="1"/>
      <w:marLeft w:val="0"/>
      <w:marRight w:val="0"/>
      <w:marTop w:val="0"/>
      <w:marBottom w:val="0"/>
      <w:divBdr>
        <w:top w:val="none" w:sz="0" w:space="0" w:color="auto"/>
        <w:left w:val="none" w:sz="0" w:space="0" w:color="auto"/>
        <w:bottom w:val="none" w:sz="0" w:space="0" w:color="auto"/>
        <w:right w:val="none" w:sz="0" w:space="0" w:color="auto"/>
      </w:divBdr>
    </w:div>
    <w:div w:id="1424182675">
      <w:bodyDiv w:val="1"/>
      <w:marLeft w:val="0"/>
      <w:marRight w:val="0"/>
      <w:marTop w:val="0"/>
      <w:marBottom w:val="0"/>
      <w:divBdr>
        <w:top w:val="none" w:sz="0" w:space="0" w:color="auto"/>
        <w:left w:val="none" w:sz="0" w:space="0" w:color="auto"/>
        <w:bottom w:val="none" w:sz="0" w:space="0" w:color="auto"/>
        <w:right w:val="none" w:sz="0" w:space="0" w:color="auto"/>
      </w:divBdr>
    </w:div>
    <w:div w:id="1439830954">
      <w:bodyDiv w:val="1"/>
      <w:marLeft w:val="0"/>
      <w:marRight w:val="0"/>
      <w:marTop w:val="0"/>
      <w:marBottom w:val="0"/>
      <w:divBdr>
        <w:top w:val="none" w:sz="0" w:space="0" w:color="auto"/>
        <w:left w:val="none" w:sz="0" w:space="0" w:color="auto"/>
        <w:bottom w:val="none" w:sz="0" w:space="0" w:color="auto"/>
        <w:right w:val="none" w:sz="0" w:space="0" w:color="auto"/>
      </w:divBdr>
    </w:div>
    <w:div w:id="1445225305">
      <w:bodyDiv w:val="1"/>
      <w:marLeft w:val="0"/>
      <w:marRight w:val="0"/>
      <w:marTop w:val="0"/>
      <w:marBottom w:val="0"/>
      <w:divBdr>
        <w:top w:val="none" w:sz="0" w:space="0" w:color="auto"/>
        <w:left w:val="none" w:sz="0" w:space="0" w:color="auto"/>
        <w:bottom w:val="none" w:sz="0" w:space="0" w:color="auto"/>
        <w:right w:val="none" w:sz="0" w:space="0" w:color="auto"/>
      </w:divBdr>
      <w:divsChild>
        <w:div w:id="658193428">
          <w:marLeft w:val="0"/>
          <w:marRight w:val="0"/>
          <w:marTop w:val="0"/>
          <w:marBottom w:val="0"/>
          <w:divBdr>
            <w:top w:val="none" w:sz="0" w:space="0" w:color="auto"/>
            <w:left w:val="none" w:sz="0" w:space="0" w:color="auto"/>
            <w:bottom w:val="none" w:sz="0" w:space="0" w:color="auto"/>
            <w:right w:val="none" w:sz="0" w:space="0" w:color="auto"/>
          </w:divBdr>
          <w:divsChild>
            <w:div w:id="1711563684">
              <w:marLeft w:val="0"/>
              <w:marRight w:val="75"/>
              <w:marTop w:val="0"/>
              <w:marBottom w:val="0"/>
              <w:divBdr>
                <w:top w:val="none" w:sz="0" w:space="0" w:color="auto"/>
                <w:left w:val="none" w:sz="0" w:space="0" w:color="auto"/>
                <w:bottom w:val="none" w:sz="0" w:space="0" w:color="auto"/>
                <w:right w:val="none" w:sz="0" w:space="0" w:color="auto"/>
              </w:divBdr>
              <w:divsChild>
                <w:div w:id="1177692666">
                  <w:marLeft w:val="0"/>
                  <w:marRight w:val="0"/>
                  <w:marTop w:val="0"/>
                  <w:marBottom w:val="0"/>
                  <w:divBdr>
                    <w:top w:val="none" w:sz="0" w:space="0" w:color="auto"/>
                    <w:left w:val="none" w:sz="0" w:space="0" w:color="auto"/>
                    <w:bottom w:val="none" w:sz="0" w:space="0" w:color="auto"/>
                    <w:right w:val="none" w:sz="0" w:space="0" w:color="auto"/>
                  </w:divBdr>
                  <w:divsChild>
                    <w:div w:id="2118017259">
                      <w:marLeft w:val="0"/>
                      <w:marRight w:val="0"/>
                      <w:marTop w:val="225"/>
                      <w:marBottom w:val="225"/>
                      <w:divBdr>
                        <w:top w:val="none" w:sz="0" w:space="0" w:color="auto"/>
                        <w:left w:val="none" w:sz="0" w:space="0" w:color="auto"/>
                        <w:bottom w:val="none" w:sz="0" w:space="0" w:color="auto"/>
                        <w:right w:val="none" w:sz="0" w:space="0" w:color="auto"/>
                      </w:divBdr>
                      <w:divsChild>
                        <w:div w:id="482434591">
                          <w:marLeft w:val="0"/>
                          <w:marRight w:val="150"/>
                          <w:marTop w:val="0"/>
                          <w:marBottom w:val="0"/>
                          <w:divBdr>
                            <w:top w:val="none" w:sz="0" w:space="0" w:color="auto"/>
                            <w:left w:val="none" w:sz="0" w:space="0" w:color="auto"/>
                            <w:bottom w:val="none" w:sz="0" w:space="0" w:color="auto"/>
                            <w:right w:val="none" w:sz="0" w:space="0" w:color="auto"/>
                          </w:divBdr>
                          <w:divsChild>
                            <w:div w:id="207219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579297">
      <w:bodyDiv w:val="1"/>
      <w:marLeft w:val="300"/>
      <w:marRight w:val="150"/>
      <w:marTop w:val="150"/>
      <w:marBottom w:val="150"/>
      <w:divBdr>
        <w:top w:val="none" w:sz="0" w:space="0" w:color="auto"/>
        <w:left w:val="none" w:sz="0" w:space="0" w:color="auto"/>
        <w:bottom w:val="none" w:sz="0" w:space="0" w:color="auto"/>
        <w:right w:val="none" w:sz="0" w:space="0" w:color="auto"/>
      </w:divBdr>
      <w:divsChild>
        <w:div w:id="338700637">
          <w:marLeft w:val="0"/>
          <w:marRight w:val="0"/>
          <w:marTop w:val="0"/>
          <w:marBottom w:val="0"/>
          <w:divBdr>
            <w:top w:val="none" w:sz="0" w:space="0" w:color="auto"/>
            <w:left w:val="none" w:sz="0" w:space="0" w:color="auto"/>
            <w:bottom w:val="none" w:sz="0" w:space="0" w:color="auto"/>
            <w:right w:val="none" w:sz="0" w:space="0" w:color="auto"/>
          </w:divBdr>
          <w:divsChild>
            <w:div w:id="72168889">
              <w:marLeft w:val="0"/>
              <w:marRight w:val="0"/>
              <w:marTop w:val="0"/>
              <w:marBottom w:val="0"/>
              <w:divBdr>
                <w:top w:val="none" w:sz="0" w:space="0" w:color="auto"/>
                <w:left w:val="none" w:sz="0" w:space="0" w:color="auto"/>
                <w:bottom w:val="none" w:sz="0" w:space="0" w:color="auto"/>
                <w:right w:val="none" w:sz="0" w:space="0" w:color="auto"/>
              </w:divBdr>
              <w:divsChild>
                <w:div w:id="1202280254">
                  <w:marLeft w:val="0"/>
                  <w:marRight w:val="0"/>
                  <w:marTop w:val="0"/>
                  <w:marBottom w:val="0"/>
                  <w:divBdr>
                    <w:top w:val="none" w:sz="0" w:space="0" w:color="auto"/>
                    <w:left w:val="none" w:sz="0" w:space="0" w:color="auto"/>
                    <w:bottom w:val="none" w:sz="0" w:space="0" w:color="auto"/>
                    <w:right w:val="none" w:sz="0" w:space="0" w:color="auto"/>
                  </w:divBdr>
                  <w:divsChild>
                    <w:div w:id="28377830">
                      <w:marLeft w:val="0"/>
                      <w:marRight w:val="0"/>
                      <w:marTop w:val="0"/>
                      <w:marBottom w:val="0"/>
                      <w:divBdr>
                        <w:top w:val="none" w:sz="0" w:space="0" w:color="auto"/>
                        <w:left w:val="none" w:sz="0" w:space="0" w:color="auto"/>
                        <w:bottom w:val="none" w:sz="0" w:space="0" w:color="auto"/>
                        <w:right w:val="none" w:sz="0" w:space="0" w:color="auto"/>
                      </w:divBdr>
                      <w:divsChild>
                        <w:div w:id="212890143">
                          <w:marLeft w:val="0"/>
                          <w:marRight w:val="0"/>
                          <w:marTop w:val="0"/>
                          <w:marBottom w:val="0"/>
                          <w:divBdr>
                            <w:top w:val="none" w:sz="0" w:space="0" w:color="auto"/>
                            <w:left w:val="none" w:sz="0" w:space="0" w:color="auto"/>
                            <w:bottom w:val="none" w:sz="0" w:space="0" w:color="auto"/>
                            <w:right w:val="none" w:sz="0" w:space="0" w:color="auto"/>
                          </w:divBdr>
                        </w:div>
                        <w:div w:id="213272291">
                          <w:marLeft w:val="0"/>
                          <w:marRight w:val="0"/>
                          <w:marTop w:val="0"/>
                          <w:marBottom w:val="0"/>
                          <w:divBdr>
                            <w:top w:val="none" w:sz="0" w:space="0" w:color="auto"/>
                            <w:left w:val="none" w:sz="0" w:space="0" w:color="auto"/>
                            <w:bottom w:val="none" w:sz="0" w:space="0" w:color="auto"/>
                            <w:right w:val="none" w:sz="0" w:space="0" w:color="auto"/>
                          </w:divBdr>
                        </w:div>
                        <w:div w:id="215119607">
                          <w:marLeft w:val="0"/>
                          <w:marRight w:val="0"/>
                          <w:marTop w:val="0"/>
                          <w:marBottom w:val="0"/>
                          <w:divBdr>
                            <w:top w:val="none" w:sz="0" w:space="0" w:color="auto"/>
                            <w:left w:val="none" w:sz="0" w:space="0" w:color="auto"/>
                            <w:bottom w:val="none" w:sz="0" w:space="0" w:color="auto"/>
                            <w:right w:val="none" w:sz="0" w:space="0" w:color="auto"/>
                          </w:divBdr>
                        </w:div>
                        <w:div w:id="799953915">
                          <w:marLeft w:val="0"/>
                          <w:marRight w:val="0"/>
                          <w:marTop w:val="0"/>
                          <w:marBottom w:val="0"/>
                          <w:divBdr>
                            <w:top w:val="none" w:sz="0" w:space="0" w:color="auto"/>
                            <w:left w:val="none" w:sz="0" w:space="0" w:color="auto"/>
                            <w:bottom w:val="none" w:sz="0" w:space="0" w:color="auto"/>
                            <w:right w:val="none" w:sz="0" w:space="0" w:color="auto"/>
                          </w:divBdr>
                        </w:div>
                        <w:div w:id="913049605">
                          <w:marLeft w:val="0"/>
                          <w:marRight w:val="0"/>
                          <w:marTop w:val="0"/>
                          <w:marBottom w:val="0"/>
                          <w:divBdr>
                            <w:top w:val="none" w:sz="0" w:space="0" w:color="auto"/>
                            <w:left w:val="none" w:sz="0" w:space="0" w:color="auto"/>
                            <w:bottom w:val="none" w:sz="0" w:space="0" w:color="auto"/>
                            <w:right w:val="none" w:sz="0" w:space="0" w:color="auto"/>
                          </w:divBdr>
                        </w:div>
                        <w:div w:id="931668682">
                          <w:marLeft w:val="0"/>
                          <w:marRight w:val="0"/>
                          <w:marTop w:val="0"/>
                          <w:marBottom w:val="0"/>
                          <w:divBdr>
                            <w:top w:val="none" w:sz="0" w:space="0" w:color="auto"/>
                            <w:left w:val="none" w:sz="0" w:space="0" w:color="auto"/>
                            <w:bottom w:val="none" w:sz="0" w:space="0" w:color="auto"/>
                            <w:right w:val="none" w:sz="0" w:space="0" w:color="auto"/>
                          </w:divBdr>
                        </w:div>
                        <w:div w:id="1062173831">
                          <w:marLeft w:val="0"/>
                          <w:marRight w:val="0"/>
                          <w:marTop w:val="0"/>
                          <w:marBottom w:val="0"/>
                          <w:divBdr>
                            <w:top w:val="none" w:sz="0" w:space="0" w:color="auto"/>
                            <w:left w:val="none" w:sz="0" w:space="0" w:color="auto"/>
                            <w:bottom w:val="none" w:sz="0" w:space="0" w:color="auto"/>
                            <w:right w:val="none" w:sz="0" w:space="0" w:color="auto"/>
                          </w:divBdr>
                        </w:div>
                        <w:div w:id="1593856566">
                          <w:marLeft w:val="0"/>
                          <w:marRight w:val="0"/>
                          <w:marTop w:val="0"/>
                          <w:marBottom w:val="0"/>
                          <w:divBdr>
                            <w:top w:val="none" w:sz="0" w:space="0" w:color="auto"/>
                            <w:left w:val="none" w:sz="0" w:space="0" w:color="auto"/>
                            <w:bottom w:val="none" w:sz="0" w:space="0" w:color="auto"/>
                            <w:right w:val="none" w:sz="0" w:space="0" w:color="auto"/>
                          </w:divBdr>
                        </w:div>
                        <w:div w:id="1697122929">
                          <w:marLeft w:val="0"/>
                          <w:marRight w:val="0"/>
                          <w:marTop w:val="0"/>
                          <w:marBottom w:val="0"/>
                          <w:divBdr>
                            <w:top w:val="none" w:sz="0" w:space="0" w:color="auto"/>
                            <w:left w:val="none" w:sz="0" w:space="0" w:color="auto"/>
                            <w:bottom w:val="none" w:sz="0" w:space="0" w:color="auto"/>
                            <w:right w:val="none" w:sz="0" w:space="0" w:color="auto"/>
                          </w:divBdr>
                        </w:div>
                        <w:div w:id="1698970964">
                          <w:marLeft w:val="0"/>
                          <w:marRight w:val="0"/>
                          <w:marTop w:val="0"/>
                          <w:marBottom w:val="0"/>
                          <w:divBdr>
                            <w:top w:val="none" w:sz="0" w:space="0" w:color="auto"/>
                            <w:left w:val="none" w:sz="0" w:space="0" w:color="auto"/>
                            <w:bottom w:val="none" w:sz="0" w:space="0" w:color="auto"/>
                            <w:right w:val="none" w:sz="0" w:space="0" w:color="auto"/>
                          </w:divBdr>
                        </w:div>
                        <w:div w:id="1775638145">
                          <w:marLeft w:val="0"/>
                          <w:marRight w:val="0"/>
                          <w:marTop w:val="0"/>
                          <w:marBottom w:val="0"/>
                          <w:divBdr>
                            <w:top w:val="none" w:sz="0" w:space="0" w:color="auto"/>
                            <w:left w:val="none" w:sz="0" w:space="0" w:color="auto"/>
                            <w:bottom w:val="none" w:sz="0" w:space="0" w:color="auto"/>
                            <w:right w:val="none" w:sz="0" w:space="0" w:color="auto"/>
                          </w:divBdr>
                        </w:div>
                        <w:div w:id="1792698762">
                          <w:marLeft w:val="0"/>
                          <w:marRight w:val="0"/>
                          <w:marTop w:val="0"/>
                          <w:marBottom w:val="0"/>
                          <w:divBdr>
                            <w:top w:val="none" w:sz="0" w:space="0" w:color="auto"/>
                            <w:left w:val="none" w:sz="0" w:space="0" w:color="auto"/>
                            <w:bottom w:val="none" w:sz="0" w:space="0" w:color="auto"/>
                            <w:right w:val="none" w:sz="0" w:space="0" w:color="auto"/>
                          </w:divBdr>
                        </w:div>
                        <w:div w:id="193805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088640">
      <w:bodyDiv w:val="1"/>
      <w:marLeft w:val="0"/>
      <w:marRight w:val="0"/>
      <w:marTop w:val="0"/>
      <w:marBottom w:val="0"/>
      <w:divBdr>
        <w:top w:val="none" w:sz="0" w:space="0" w:color="auto"/>
        <w:left w:val="none" w:sz="0" w:space="0" w:color="auto"/>
        <w:bottom w:val="none" w:sz="0" w:space="0" w:color="auto"/>
        <w:right w:val="none" w:sz="0" w:space="0" w:color="auto"/>
      </w:divBdr>
    </w:div>
    <w:div w:id="1451702904">
      <w:bodyDiv w:val="1"/>
      <w:marLeft w:val="0"/>
      <w:marRight w:val="0"/>
      <w:marTop w:val="0"/>
      <w:marBottom w:val="0"/>
      <w:divBdr>
        <w:top w:val="none" w:sz="0" w:space="0" w:color="auto"/>
        <w:left w:val="none" w:sz="0" w:space="0" w:color="auto"/>
        <w:bottom w:val="none" w:sz="0" w:space="0" w:color="auto"/>
        <w:right w:val="none" w:sz="0" w:space="0" w:color="auto"/>
      </w:divBdr>
      <w:divsChild>
        <w:div w:id="1625768473">
          <w:marLeft w:val="0"/>
          <w:marRight w:val="0"/>
          <w:marTop w:val="0"/>
          <w:marBottom w:val="0"/>
          <w:divBdr>
            <w:top w:val="none" w:sz="0" w:space="0" w:color="auto"/>
            <w:left w:val="none" w:sz="0" w:space="0" w:color="auto"/>
            <w:bottom w:val="none" w:sz="0" w:space="0" w:color="auto"/>
            <w:right w:val="none" w:sz="0" w:space="0" w:color="auto"/>
          </w:divBdr>
          <w:divsChild>
            <w:div w:id="102147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193601">
      <w:bodyDiv w:val="1"/>
      <w:marLeft w:val="0"/>
      <w:marRight w:val="0"/>
      <w:marTop w:val="0"/>
      <w:marBottom w:val="0"/>
      <w:divBdr>
        <w:top w:val="none" w:sz="0" w:space="0" w:color="auto"/>
        <w:left w:val="none" w:sz="0" w:space="0" w:color="auto"/>
        <w:bottom w:val="none" w:sz="0" w:space="0" w:color="auto"/>
        <w:right w:val="none" w:sz="0" w:space="0" w:color="auto"/>
      </w:divBdr>
    </w:div>
    <w:div w:id="1462502056">
      <w:bodyDiv w:val="1"/>
      <w:marLeft w:val="0"/>
      <w:marRight w:val="0"/>
      <w:marTop w:val="0"/>
      <w:marBottom w:val="0"/>
      <w:divBdr>
        <w:top w:val="none" w:sz="0" w:space="0" w:color="auto"/>
        <w:left w:val="none" w:sz="0" w:space="0" w:color="auto"/>
        <w:bottom w:val="none" w:sz="0" w:space="0" w:color="auto"/>
        <w:right w:val="none" w:sz="0" w:space="0" w:color="auto"/>
      </w:divBdr>
    </w:div>
    <w:div w:id="1469974140">
      <w:bodyDiv w:val="1"/>
      <w:marLeft w:val="0"/>
      <w:marRight w:val="0"/>
      <w:marTop w:val="0"/>
      <w:marBottom w:val="0"/>
      <w:divBdr>
        <w:top w:val="none" w:sz="0" w:space="0" w:color="auto"/>
        <w:left w:val="none" w:sz="0" w:space="0" w:color="auto"/>
        <w:bottom w:val="none" w:sz="0" w:space="0" w:color="auto"/>
        <w:right w:val="none" w:sz="0" w:space="0" w:color="auto"/>
      </w:divBdr>
    </w:div>
    <w:div w:id="1476677361">
      <w:bodyDiv w:val="1"/>
      <w:marLeft w:val="0"/>
      <w:marRight w:val="0"/>
      <w:marTop w:val="0"/>
      <w:marBottom w:val="0"/>
      <w:divBdr>
        <w:top w:val="none" w:sz="0" w:space="0" w:color="auto"/>
        <w:left w:val="none" w:sz="0" w:space="0" w:color="auto"/>
        <w:bottom w:val="none" w:sz="0" w:space="0" w:color="auto"/>
        <w:right w:val="none" w:sz="0" w:space="0" w:color="auto"/>
      </w:divBdr>
      <w:divsChild>
        <w:div w:id="733551927">
          <w:marLeft w:val="0"/>
          <w:marRight w:val="0"/>
          <w:marTop w:val="0"/>
          <w:marBottom w:val="0"/>
          <w:divBdr>
            <w:top w:val="none" w:sz="0" w:space="0" w:color="auto"/>
            <w:left w:val="none" w:sz="0" w:space="0" w:color="auto"/>
            <w:bottom w:val="none" w:sz="0" w:space="0" w:color="auto"/>
            <w:right w:val="none" w:sz="0" w:space="0" w:color="auto"/>
          </w:divBdr>
          <w:divsChild>
            <w:div w:id="463738726">
              <w:marLeft w:val="0"/>
              <w:marRight w:val="0"/>
              <w:marTop w:val="0"/>
              <w:marBottom w:val="0"/>
              <w:divBdr>
                <w:top w:val="none" w:sz="0" w:space="0" w:color="auto"/>
                <w:left w:val="none" w:sz="0" w:space="0" w:color="auto"/>
                <w:bottom w:val="none" w:sz="0" w:space="0" w:color="auto"/>
                <w:right w:val="none" w:sz="0" w:space="0" w:color="auto"/>
              </w:divBdr>
              <w:divsChild>
                <w:div w:id="475227504">
                  <w:marLeft w:val="0"/>
                  <w:marRight w:val="0"/>
                  <w:marTop w:val="0"/>
                  <w:marBottom w:val="0"/>
                  <w:divBdr>
                    <w:top w:val="none" w:sz="0" w:space="0" w:color="auto"/>
                    <w:left w:val="none" w:sz="0" w:space="0" w:color="auto"/>
                    <w:bottom w:val="none" w:sz="0" w:space="0" w:color="auto"/>
                    <w:right w:val="none" w:sz="0" w:space="0" w:color="auto"/>
                  </w:divBdr>
                  <w:divsChild>
                    <w:div w:id="685208391">
                      <w:marLeft w:val="0"/>
                      <w:marRight w:val="0"/>
                      <w:marTop w:val="0"/>
                      <w:marBottom w:val="0"/>
                      <w:divBdr>
                        <w:top w:val="none" w:sz="0" w:space="0" w:color="auto"/>
                        <w:left w:val="none" w:sz="0" w:space="0" w:color="auto"/>
                        <w:bottom w:val="none" w:sz="0" w:space="0" w:color="auto"/>
                        <w:right w:val="none" w:sz="0" w:space="0" w:color="auto"/>
                      </w:divBdr>
                      <w:divsChild>
                        <w:div w:id="2127045465">
                          <w:marLeft w:val="0"/>
                          <w:marRight w:val="0"/>
                          <w:marTop w:val="0"/>
                          <w:marBottom w:val="0"/>
                          <w:divBdr>
                            <w:top w:val="none" w:sz="0" w:space="0" w:color="auto"/>
                            <w:left w:val="none" w:sz="0" w:space="0" w:color="auto"/>
                            <w:bottom w:val="none" w:sz="0" w:space="0" w:color="auto"/>
                            <w:right w:val="none" w:sz="0" w:space="0" w:color="auto"/>
                          </w:divBdr>
                          <w:divsChild>
                            <w:div w:id="61482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9152457">
      <w:bodyDiv w:val="1"/>
      <w:marLeft w:val="0"/>
      <w:marRight w:val="0"/>
      <w:marTop w:val="0"/>
      <w:marBottom w:val="0"/>
      <w:divBdr>
        <w:top w:val="none" w:sz="0" w:space="0" w:color="auto"/>
        <w:left w:val="none" w:sz="0" w:space="0" w:color="auto"/>
        <w:bottom w:val="none" w:sz="0" w:space="0" w:color="auto"/>
        <w:right w:val="none" w:sz="0" w:space="0" w:color="auto"/>
      </w:divBdr>
      <w:divsChild>
        <w:div w:id="885336359">
          <w:marLeft w:val="0"/>
          <w:marRight w:val="0"/>
          <w:marTop w:val="0"/>
          <w:marBottom w:val="0"/>
          <w:divBdr>
            <w:top w:val="none" w:sz="0" w:space="0" w:color="auto"/>
            <w:left w:val="none" w:sz="0" w:space="0" w:color="auto"/>
            <w:bottom w:val="none" w:sz="0" w:space="0" w:color="auto"/>
            <w:right w:val="none" w:sz="0" w:space="0" w:color="auto"/>
          </w:divBdr>
          <w:divsChild>
            <w:div w:id="628050307">
              <w:marLeft w:val="0"/>
              <w:marRight w:val="0"/>
              <w:marTop w:val="0"/>
              <w:marBottom w:val="0"/>
              <w:divBdr>
                <w:top w:val="none" w:sz="0" w:space="0" w:color="auto"/>
                <w:left w:val="none" w:sz="0" w:space="0" w:color="auto"/>
                <w:bottom w:val="none" w:sz="0" w:space="0" w:color="auto"/>
                <w:right w:val="none" w:sz="0" w:space="0" w:color="auto"/>
              </w:divBdr>
              <w:divsChild>
                <w:div w:id="1378622824">
                  <w:marLeft w:val="0"/>
                  <w:marRight w:val="0"/>
                  <w:marTop w:val="0"/>
                  <w:marBottom w:val="0"/>
                  <w:divBdr>
                    <w:top w:val="none" w:sz="0" w:space="0" w:color="auto"/>
                    <w:left w:val="none" w:sz="0" w:space="0" w:color="auto"/>
                    <w:bottom w:val="none" w:sz="0" w:space="0" w:color="auto"/>
                    <w:right w:val="none" w:sz="0" w:space="0" w:color="auto"/>
                  </w:divBdr>
                  <w:divsChild>
                    <w:div w:id="1443843366">
                      <w:marLeft w:val="0"/>
                      <w:marRight w:val="0"/>
                      <w:marTop w:val="75"/>
                      <w:marBottom w:val="75"/>
                      <w:divBdr>
                        <w:top w:val="none" w:sz="0" w:space="0" w:color="auto"/>
                        <w:left w:val="none" w:sz="0" w:space="0" w:color="auto"/>
                        <w:bottom w:val="none" w:sz="0" w:space="0" w:color="auto"/>
                        <w:right w:val="none" w:sz="0" w:space="0" w:color="auto"/>
                      </w:divBdr>
                      <w:divsChild>
                        <w:div w:id="782843070">
                          <w:marLeft w:val="0"/>
                          <w:marRight w:val="0"/>
                          <w:marTop w:val="0"/>
                          <w:marBottom w:val="0"/>
                          <w:divBdr>
                            <w:top w:val="none" w:sz="0" w:space="0" w:color="auto"/>
                            <w:left w:val="none" w:sz="0" w:space="0" w:color="auto"/>
                            <w:bottom w:val="none" w:sz="0" w:space="0" w:color="auto"/>
                            <w:right w:val="none" w:sz="0" w:space="0" w:color="auto"/>
                          </w:divBdr>
                          <w:divsChild>
                            <w:div w:id="428046582">
                              <w:marLeft w:val="0"/>
                              <w:marRight w:val="300"/>
                              <w:marTop w:val="0"/>
                              <w:marBottom w:val="0"/>
                              <w:divBdr>
                                <w:top w:val="none" w:sz="0" w:space="0" w:color="auto"/>
                                <w:left w:val="none" w:sz="0" w:space="0" w:color="auto"/>
                                <w:bottom w:val="none" w:sz="0" w:space="0" w:color="auto"/>
                                <w:right w:val="none" w:sz="0" w:space="0" w:color="auto"/>
                              </w:divBdr>
                              <w:divsChild>
                                <w:div w:id="857503826">
                                  <w:marLeft w:val="0"/>
                                  <w:marRight w:val="0"/>
                                  <w:marTop w:val="0"/>
                                  <w:marBottom w:val="0"/>
                                  <w:divBdr>
                                    <w:top w:val="none" w:sz="0" w:space="0" w:color="auto"/>
                                    <w:left w:val="none" w:sz="0" w:space="0" w:color="auto"/>
                                    <w:bottom w:val="none" w:sz="0" w:space="0" w:color="auto"/>
                                    <w:right w:val="none" w:sz="0" w:space="0" w:color="auto"/>
                                  </w:divBdr>
                                  <w:divsChild>
                                    <w:div w:id="1838423510">
                                      <w:marLeft w:val="0"/>
                                      <w:marRight w:val="0"/>
                                      <w:marTop w:val="0"/>
                                      <w:marBottom w:val="0"/>
                                      <w:divBdr>
                                        <w:top w:val="none" w:sz="0" w:space="0" w:color="auto"/>
                                        <w:left w:val="none" w:sz="0" w:space="0" w:color="auto"/>
                                        <w:bottom w:val="none" w:sz="0" w:space="0" w:color="auto"/>
                                        <w:right w:val="none" w:sz="0" w:space="0" w:color="auto"/>
                                      </w:divBdr>
                                      <w:divsChild>
                                        <w:div w:id="2051761515">
                                          <w:marLeft w:val="0"/>
                                          <w:marRight w:val="0"/>
                                          <w:marTop w:val="0"/>
                                          <w:marBottom w:val="0"/>
                                          <w:divBdr>
                                            <w:top w:val="none" w:sz="0" w:space="0" w:color="auto"/>
                                            <w:left w:val="none" w:sz="0" w:space="0" w:color="auto"/>
                                            <w:bottom w:val="none" w:sz="0" w:space="0" w:color="auto"/>
                                            <w:right w:val="none" w:sz="0" w:space="0" w:color="auto"/>
                                          </w:divBdr>
                                          <w:divsChild>
                                            <w:div w:id="1751804855">
                                              <w:marLeft w:val="0"/>
                                              <w:marRight w:val="0"/>
                                              <w:marTop w:val="0"/>
                                              <w:marBottom w:val="0"/>
                                              <w:divBdr>
                                                <w:top w:val="none" w:sz="0" w:space="0" w:color="auto"/>
                                                <w:left w:val="none" w:sz="0" w:space="0" w:color="auto"/>
                                                <w:bottom w:val="none" w:sz="0" w:space="0" w:color="auto"/>
                                                <w:right w:val="none" w:sz="0" w:space="0" w:color="auto"/>
                                              </w:divBdr>
                                              <w:divsChild>
                                                <w:div w:id="7828188">
                                                  <w:marLeft w:val="4"/>
                                                  <w:marRight w:val="0"/>
                                                  <w:marTop w:val="0"/>
                                                  <w:marBottom w:val="0"/>
                                                  <w:divBdr>
                                                    <w:top w:val="none" w:sz="0" w:space="0" w:color="auto"/>
                                                    <w:left w:val="none" w:sz="0" w:space="0" w:color="auto"/>
                                                    <w:bottom w:val="none" w:sz="0" w:space="0" w:color="auto"/>
                                                    <w:right w:val="none" w:sz="0" w:space="0" w:color="auto"/>
                                                  </w:divBdr>
                                                  <w:divsChild>
                                                    <w:div w:id="773207771">
                                                      <w:marLeft w:val="4"/>
                                                      <w:marRight w:val="0"/>
                                                      <w:marTop w:val="0"/>
                                                      <w:marBottom w:val="0"/>
                                                      <w:divBdr>
                                                        <w:top w:val="none" w:sz="0" w:space="0" w:color="auto"/>
                                                        <w:left w:val="none" w:sz="0" w:space="0" w:color="auto"/>
                                                        <w:bottom w:val="none" w:sz="0" w:space="0" w:color="auto"/>
                                                        <w:right w:val="none" w:sz="0" w:space="0" w:color="auto"/>
                                                      </w:divBdr>
                                                    </w:div>
                                                    <w:div w:id="990525832">
                                                      <w:marLeft w:val="4"/>
                                                      <w:marRight w:val="0"/>
                                                      <w:marTop w:val="0"/>
                                                      <w:marBottom w:val="0"/>
                                                      <w:divBdr>
                                                        <w:top w:val="none" w:sz="0" w:space="0" w:color="auto"/>
                                                        <w:left w:val="none" w:sz="0" w:space="0" w:color="auto"/>
                                                        <w:bottom w:val="none" w:sz="0" w:space="0" w:color="auto"/>
                                                        <w:right w:val="none" w:sz="0" w:space="0" w:color="auto"/>
                                                      </w:divBdr>
                                                    </w:div>
                                                  </w:divsChild>
                                                </w:div>
                                                <w:div w:id="291592786">
                                                  <w:marLeft w:val="4"/>
                                                  <w:marRight w:val="0"/>
                                                  <w:marTop w:val="0"/>
                                                  <w:marBottom w:val="0"/>
                                                  <w:divBdr>
                                                    <w:top w:val="none" w:sz="0" w:space="0" w:color="auto"/>
                                                    <w:left w:val="none" w:sz="0" w:space="0" w:color="auto"/>
                                                    <w:bottom w:val="none" w:sz="0" w:space="0" w:color="auto"/>
                                                    <w:right w:val="none" w:sz="0" w:space="0" w:color="auto"/>
                                                  </w:divBdr>
                                                  <w:divsChild>
                                                    <w:div w:id="765735690">
                                                      <w:marLeft w:val="0"/>
                                                      <w:marRight w:val="0"/>
                                                      <w:marTop w:val="0"/>
                                                      <w:marBottom w:val="0"/>
                                                      <w:divBdr>
                                                        <w:top w:val="none" w:sz="0" w:space="0" w:color="auto"/>
                                                        <w:left w:val="none" w:sz="0" w:space="0" w:color="auto"/>
                                                        <w:bottom w:val="none" w:sz="0" w:space="0" w:color="auto"/>
                                                        <w:right w:val="none" w:sz="0" w:space="0" w:color="auto"/>
                                                      </w:divBdr>
                                                    </w:div>
                                                  </w:divsChild>
                                                </w:div>
                                                <w:div w:id="542641758">
                                                  <w:marLeft w:val="4"/>
                                                  <w:marRight w:val="0"/>
                                                  <w:marTop w:val="0"/>
                                                  <w:marBottom w:val="0"/>
                                                  <w:divBdr>
                                                    <w:top w:val="none" w:sz="0" w:space="0" w:color="auto"/>
                                                    <w:left w:val="none" w:sz="0" w:space="0" w:color="auto"/>
                                                    <w:bottom w:val="none" w:sz="0" w:space="0" w:color="auto"/>
                                                    <w:right w:val="none" w:sz="0" w:space="0" w:color="auto"/>
                                                  </w:divBdr>
                                                  <w:divsChild>
                                                    <w:div w:id="4747204">
                                                      <w:marLeft w:val="4"/>
                                                      <w:marRight w:val="0"/>
                                                      <w:marTop w:val="0"/>
                                                      <w:marBottom w:val="0"/>
                                                      <w:divBdr>
                                                        <w:top w:val="none" w:sz="0" w:space="0" w:color="auto"/>
                                                        <w:left w:val="none" w:sz="0" w:space="0" w:color="auto"/>
                                                        <w:bottom w:val="none" w:sz="0" w:space="0" w:color="auto"/>
                                                        <w:right w:val="none" w:sz="0" w:space="0" w:color="auto"/>
                                                      </w:divBdr>
                                                    </w:div>
                                                    <w:div w:id="608969013">
                                                      <w:marLeft w:val="4"/>
                                                      <w:marRight w:val="0"/>
                                                      <w:marTop w:val="0"/>
                                                      <w:marBottom w:val="0"/>
                                                      <w:divBdr>
                                                        <w:top w:val="none" w:sz="0" w:space="0" w:color="auto"/>
                                                        <w:left w:val="none" w:sz="0" w:space="0" w:color="auto"/>
                                                        <w:bottom w:val="none" w:sz="0" w:space="0" w:color="auto"/>
                                                        <w:right w:val="none" w:sz="0" w:space="0" w:color="auto"/>
                                                      </w:divBdr>
                                                    </w:div>
                                                    <w:div w:id="712001161">
                                                      <w:marLeft w:val="0"/>
                                                      <w:marRight w:val="0"/>
                                                      <w:marTop w:val="0"/>
                                                      <w:marBottom w:val="0"/>
                                                      <w:divBdr>
                                                        <w:top w:val="none" w:sz="0" w:space="0" w:color="auto"/>
                                                        <w:left w:val="none" w:sz="0" w:space="0" w:color="auto"/>
                                                        <w:bottom w:val="none" w:sz="0" w:space="0" w:color="auto"/>
                                                        <w:right w:val="none" w:sz="0" w:space="0" w:color="auto"/>
                                                      </w:divBdr>
                                                    </w:div>
                                                    <w:div w:id="1619069363">
                                                      <w:marLeft w:val="4"/>
                                                      <w:marRight w:val="0"/>
                                                      <w:marTop w:val="0"/>
                                                      <w:marBottom w:val="0"/>
                                                      <w:divBdr>
                                                        <w:top w:val="none" w:sz="0" w:space="0" w:color="auto"/>
                                                        <w:left w:val="none" w:sz="0" w:space="0" w:color="auto"/>
                                                        <w:bottom w:val="none" w:sz="0" w:space="0" w:color="auto"/>
                                                        <w:right w:val="none" w:sz="0" w:space="0" w:color="auto"/>
                                                      </w:divBdr>
                                                    </w:div>
                                                    <w:div w:id="1981571013">
                                                      <w:marLeft w:val="0"/>
                                                      <w:marRight w:val="0"/>
                                                      <w:marTop w:val="0"/>
                                                      <w:marBottom w:val="0"/>
                                                      <w:divBdr>
                                                        <w:top w:val="none" w:sz="0" w:space="0" w:color="auto"/>
                                                        <w:left w:val="none" w:sz="0" w:space="0" w:color="auto"/>
                                                        <w:bottom w:val="none" w:sz="0" w:space="0" w:color="auto"/>
                                                        <w:right w:val="none" w:sz="0" w:space="0" w:color="auto"/>
                                                      </w:divBdr>
                                                    </w:div>
                                                  </w:divsChild>
                                                </w:div>
                                                <w:div w:id="1100874505">
                                                  <w:marLeft w:val="4"/>
                                                  <w:marRight w:val="0"/>
                                                  <w:marTop w:val="0"/>
                                                  <w:marBottom w:val="0"/>
                                                  <w:divBdr>
                                                    <w:top w:val="none" w:sz="0" w:space="0" w:color="auto"/>
                                                    <w:left w:val="none" w:sz="0" w:space="0" w:color="auto"/>
                                                    <w:bottom w:val="none" w:sz="0" w:space="0" w:color="auto"/>
                                                    <w:right w:val="none" w:sz="0" w:space="0" w:color="auto"/>
                                                  </w:divBdr>
                                                  <w:divsChild>
                                                    <w:div w:id="26179130">
                                                      <w:marLeft w:val="0"/>
                                                      <w:marRight w:val="0"/>
                                                      <w:marTop w:val="0"/>
                                                      <w:marBottom w:val="0"/>
                                                      <w:divBdr>
                                                        <w:top w:val="none" w:sz="0" w:space="0" w:color="auto"/>
                                                        <w:left w:val="none" w:sz="0" w:space="0" w:color="auto"/>
                                                        <w:bottom w:val="none" w:sz="0" w:space="0" w:color="auto"/>
                                                        <w:right w:val="none" w:sz="0" w:space="0" w:color="auto"/>
                                                      </w:divBdr>
                                                    </w:div>
                                                  </w:divsChild>
                                                </w:div>
                                                <w:div w:id="1166483623">
                                                  <w:marLeft w:val="4"/>
                                                  <w:marRight w:val="0"/>
                                                  <w:marTop w:val="0"/>
                                                  <w:marBottom w:val="0"/>
                                                  <w:divBdr>
                                                    <w:top w:val="none" w:sz="0" w:space="0" w:color="auto"/>
                                                    <w:left w:val="none" w:sz="0" w:space="0" w:color="auto"/>
                                                    <w:bottom w:val="none" w:sz="0" w:space="0" w:color="auto"/>
                                                    <w:right w:val="none" w:sz="0" w:space="0" w:color="auto"/>
                                                  </w:divBdr>
                                                  <w:divsChild>
                                                    <w:div w:id="651759836">
                                                      <w:marLeft w:val="0"/>
                                                      <w:marRight w:val="0"/>
                                                      <w:marTop w:val="0"/>
                                                      <w:marBottom w:val="0"/>
                                                      <w:divBdr>
                                                        <w:top w:val="none" w:sz="0" w:space="0" w:color="auto"/>
                                                        <w:left w:val="none" w:sz="0" w:space="0" w:color="auto"/>
                                                        <w:bottom w:val="none" w:sz="0" w:space="0" w:color="auto"/>
                                                        <w:right w:val="none" w:sz="0" w:space="0" w:color="auto"/>
                                                      </w:divBdr>
                                                    </w:div>
                                                  </w:divsChild>
                                                </w:div>
                                                <w:div w:id="1377126762">
                                                  <w:marLeft w:val="4"/>
                                                  <w:marRight w:val="0"/>
                                                  <w:marTop w:val="0"/>
                                                  <w:marBottom w:val="0"/>
                                                  <w:divBdr>
                                                    <w:top w:val="none" w:sz="0" w:space="0" w:color="auto"/>
                                                    <w:left w:val="none" w:sz="0" w:space="0" w:color="auto"/>
                                                    <w:bottom w:val="none" w:sz="0" w:space="0" w:color="auto"/>
                                                    <w:right w:val="none" w:sz="0" w:space="0" w:color="auto"/>
                                                  </w:divBdr>
                                                  <w:divsChild>
                                                    <w:div w:id="210926032">
                                                      <w:marLeft w:val="4"/>
                                                      <w:marRight w:val="0"/>
                                                      <w:marTop w:val="0"/>
                                                      <w:marBottom w:val="0"/>
                                                      <w:divBdr>
                                                        <w:top w:val="none" w:sz="0" w:space="0" w:color="auto"/>
                                                        <w:left w:val="none" w:sz="0" w:space="0" w:color="auto"/>
                                                        <w:bottom w:val="none" w:sz="0" w:space="0" w:color="auto"/>
                                                        <w:right w:val="none" w:sz="0" w:space="0" w:color="auto"/>
                                                      </w:divBdr>
                                                    </w:div>
                                                    <w:div w:id="944073224">
                                                      <w:marLeft w:val="4"/>
                                                      <w:marRight w:val="0"/>
                                                      <w:marTop w:val="0"/>
                                                      <w:marBottom w:val="0"/>
                                                      <w:divBdr>
                                                        <w:top w:val="none" w:sz="0" w:space="0" w:color="auto"/>
                                                        <w:left w:val="none" w:sz="0" w:space="0" w:color="auto"/>
                                                        <w:bottom w:val="none" w:sz="0" w:space="0" w:color="auto"/>
                                                        <w:right w:val="none" w:sz="0" w:space="0" w:color="auto"/>
                                                      </w:divBdr>
                                                      <w:divsChild>
                                                        <w:div w:id="895555060">
                                                          <w:marLeft w:val="4"/>
                                                          <w:marRight w:val="0"/>
                                                          <w:marTop w:val="0"/>
                                                          <w:marBottom w:val="0"/>
                                                          <w:divBdr>
                                                            <w:top w:val="none" w:sz="0" w:space="0" w:color="auto"/>
                                                            <w:left w:val="none" w:sz="0" w:space="0" w:color="auto"/>
                                                            <w:bottom w:val="none" w:sz="0" w:space="0" w:color="auto"/>
                                                            <w:right w:val="none" w:sz="0" w:space="0" w:color="auto"/>
                                                          </w:divBdr>
                                                        </w:div>
                                                        <w:div w:id="1535994111">
                                                          <w:marLeft w:val="4"/>
                                                          <w:marRight w:val="0"/>
                                                          <w:marTop w:val="0"/>
                                                          <w:marBottom w:val="0"/>
                                                          <w:divBdr>
                                                            <w:top w:val="none" w:sz="0" w:space="0" w:color="auto"/>
                                                            <w:left w:val="none" w:sz="0" w:space="0" w:color="auto"/>
                                                            <w:bottom w:val="none" w:sz="0" w:space="0" w:color="auto"/>
                                                            <w:right w:val="none" w:sz="0" w:space="0" w:color="auto"/>
                                                          </w:divBdr>
                                                        </w:div>
                                                      </w:divsChild>
                                                    </w:div>
                                                    <w:div w:id="1083721058">
                                                      <w:marLeft w:val="4"/>
                                                      <w:marRight w:val="0"/>
                                                      <w:marTop w:val="0"/>
                                                      <w:marBottom w:val="0"/>
                                                      <w:divBdr>
                                                        <w:top w:val="none" w:sz="0" w:space="0" w:color="auto"/>
                                                        <w:left w:val="none" w:sz="0" w:space="0" w:color="auto"/>
                                                        <w:bottom w:val="none" w:sz="0" w:space="0" w:color="auto"/>
                                                        <w:right w:val="none" w:sz="0" w:space="0" w:color="auto"/>
                                                      </w:divBdr>
                                                    </w:div>
                                                    <w:div w:id="1102841555">
                                                      <w:marLeft w:val="4"/>
                                                      <w:marRight w:val="0"/>
                                                      <w:marTop w:val="0"/>
                                                      <w:marBottom w:val="0"/>
                                                      <w:divBdr>
                                                        <w:top w:val="none" w:sz="0" w:space="0" w:color="auto"/>
                                                        <w:left w:val="none" w:sz="0" w:space="0" w:color="auto"/>
                                                        <w:bottom w:val="none" w:sz="0" w:space="0" w:color="auto"/>
                                                        <w:right w:val="none" w:sz="0" w:space="0" w:color="auto"/>
                                                      </w:divBdr>
                                                    </w:div>
                                                    <w:div w:id="1106003831">
                                                      <w:marLeft w:val="4"/>
                                                      <w:marRight w:val="0"/>
                                                      <w:marTop w:val="0"/>
                                                      <w:marBottom w:val="0"/>
                                                      <w:divBdr>
                                                        <w:top w:val="none" w:sz="0" w:space="0" w:color="auto"/>
                                                        <w:left w:val="none" w:sz="0" w:space="0" w:color="auto"/>
                                                        <w:bottom w:val="none" w:sz="0" w:space="0" w:color="auto"/>
                                                        <w:right w:val="none" w:sz="0" w:space="0" w:color="auto"/>
                                                      </w:divBdr>
                                                    </w:div>
                                                    <w:div w:id="1124932612">
                                                      <w:marLeft w:val="4"/>
                                                      <w:marRight w:val="0"/>
                                                      <w:marTop w:val="0"/>
                                                      <w:marBottom w:val="0"/>
                                                      <w:divBdr>
                                                        <w:top w:val="none" w:sz="0" w:space="0" w:color="auto"/>
                                                        <w:left w:val="none" w:sz="0" w:space="0" w:color="auto"/>
                                                        <w:bottom w:val="none" w:sz="0" w:space="0" w:color="auto"/>
                                                        <w:right w:val="none" w:sz="0" w:space="0" w:color="auto"/>
                                                      </w:divBdr>
                                                    </w:div>
                                                    <w:div w:id="1186947537">
                                                      <w:marLeft w:val="4"/>
                                                      <w:marRight w:val="0"/>
                                                      <w:marTop w:val="0"/>
                                                      <w:marBottom w:val="0"/>
                                                      <w:divBdr>
                                                        <w:top w:val="none" w:sz="0" w:space="0" w:color="auto"/>
                                                        <w:left w:val="none" w:sz="0" w:space="0" w:color="auto"/>
                                                        <w:bottom w:val="none" w:sz="0" w:space="0" w:color="auto"/>
                                                        <w:right w:val="none" w:sz="0" w:space="0" w:color="auto"/>
                                                      </w:divBdr>
                                                    </w:div>
                                                    <w:div w:id="1316564903">
                                                      <w:marLeft w:val="4"/>
                                                      <w:marRight w:val="0"/>
                                                      <w:marTop w:val="0"/>
                                                      <w:marBottom w:val="0"/>
                                                      <w:divBdr>
                                                        <w:top w:val="none" w:sz="0" w:space="0" w:color="auto"/>
                                                        <w:left w:val="none" w:sz="0" w:space="0" w:color="auto"/>
                                                        <w:bottom w:val="none" w:sz="0" w:space="0" w:color="auto"/>
                                                        <w:right w:val="none" w:sz="0" w:space="0" w:color="auto"/>
                                                      </w:divBdr>
                                                    </w:div>
                                                    <w:div w:id="1543319727">
                                                      <w:marLeft w:val="4"/>
                                                      <w:marRight w:val="0"/>
                                                      <w:marTop w:val="0"/>
                                                      <w:marBottom w:val="0"/>
                                                      <w:divBdr>
                                                        <w:top w:val="none" w:sz="0" w:space="0" w:color="auto"/>
                                                        <w:left w:val="none" w:sz="0" w:space="0" w:color="auto"/>
                                                        <w:bottom w:val="none" w:sz="0" w:space="0" w:color="auto"/>
                                                        <w:right w:val="none" w:sz="0" w:space="0" w:color="auto"/>
                                                      </w:divBdr>
                                                    </w:div>
                                                    <w:div w:id="1572691680">
                                                      <w:marLeft w:val="4"/>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9960463">
      <w:bodyDiv w:val="1"/>
      <w:marLeft w:val="0"/>
      <w:marRight w:val="0"/>
      <w:marTop w:val="0"/>
      <w:marBottom w:val="0"/>
      <w:divBdr>
        <w:top w:val="none" w:sz="0" w:space="0" w:color="auto"/>
        <w:left w:val="none" w:sz="0" w:space="0" w:color="auto"/>
        <w:bottom w:val="none" w:sz="0" w:space="0" w:color="auto"/>
        <w:right w:val="none" w:sz="0" w:space="0" w:color="auto"/>
      </w:divBdr>
      <w:divsChild>
        <w:div w:id="1465350181">
          <w:marLeft w:val="0"/>
          <w:marRight w:val="0"/>
          <w:marTop w:val="0"/>
          <w:marBottom w:val="0"/>
          <w:divBdr>
            <w:top w:val="none" w:sz="0" w:space="0" w:color="auto"/>
            <w:left w:val="none" w:sz="0" w:space="0" w:color="auto"/>
            <w:bottom w:val="none" w:sz="0" w:space="0" w:color="auto"/>
            <w:right w:val="none" w:sz="0" w:space="0" w:color="auto"/>
          </w:divBdr>
          <w:divsChild>
            <w:div w:id="1029725443">
              <w:marLeft w:val="0"/>
              <w:marRight w:val="75"/>
              <w:marTop w:val="0"/>
              <w:marBottom w:val="0"/>
              <w:divBdr>
                <w:top w:val="none" w:sz="0" w:space="0" w:color="auto"/>
                <w:left w:val="none" w:sz="0" w:space="0" w:color="auto"/>
                <w:bottom w:val="none" w:sz="0" w:space="0" w:color="auto"/>
                <w:right w:val="none" w:sz="0" w:space="0" w:color="auto"/>
              </w:divBdr>
              <w:divsChild>
                <w:div w:id="121778097">
                  <w:marLeft w:val="0"/>
                  <w:marRight w:val="0"/>
                  <w:marTop w:val="0"/>
                  <w:marBottom w:val="0"/>
                  <w:divBdr>
                    <w:top w:val="none" w:sz="0" w:space="0" w:color="auto"/>
                    <w:left w:val="none" w:sz="0" w:space="0" w:color="auto"/>
                    <w:bottom w:val="none" w:sz="0" w:space="0" w:color="auto"/>
                    <w:right w:val="none" w:sz="0" w:space="0" w:color="auto"/>
                  </w:divBdr>
                  <w:divsChild>
                    <w:div w:id="1365400192">
                      <w:marLeft w:val="0"/>
                      <w:marRight w:val="0"/>
                      <w:marTop w:val="225"/>
                      <w:marBottom w:val="225"/>
                      <w:divBdr>
                        <w:top w:val="none" w:sz="0" w:space="0" w:color="auto"/>
                        <w:left w:val="none" w:sz="0" w:space="0" w:color="auto"/>
                        <w:bottom w:val="none" w:sz="0" w:space="0" w:color="auto"/>
                        <w:right w:val="none" w:sz="0" w:space="0" w:color="auto"/>
                      </w:divBdr>
                      <w:divsChild>
                        <w:div w:id="1261570081">
                          <w:marLeft w:val="0"/>
                          <w:marRight w:val="150"/>
                          <w:marTop w:val="0"/>
                          <w:marBottom w:val="0"/>
                          <w:divBdr>
                            <w:top w:val="none" w:sz="0" w:space="0" w:color="auto"/>
                            <w:left w:val="none" w:sz="0" w:space="0" w:color="auto"/>
                            <w:bottom w:val="none" w:sz="0" w:space="0" w:color="auto"/>
                            <w:right w:val="none" w:sz="0" w:space="0" w:color="auto"/>
                          </w:divBdr>
                          <w:divsChild>
                            <w:div w:id="129494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0651904">
      <w:bodyDiv w:val="1"/>
      <w:marLeft w:val="0"/>
      <w:marRight w:val="0"/>
      <w:marTop w:val="0"/>
      <w:marBottom w:val="0"/>
      <w:divBdr>
        <w:top w:val="none" w:sz="0" w:space="0" w:color="auto"/>
        <w:left w:val="none" w:sz="0" w:space="0" w:color="auto"/>
        <w:bottom w:val="none" w:sz="0" w:space="0" w:color="auto"/>
        <w:right w:val="none" w:sz="0" w:space="0" w:color="auto"/>
      </w:divBdr>
    </w:div>
    <w:div w:id="1500929617">
      <w:bodyDiv w:val="1"/>
      <w:marLeft w:val="0"/>
      <w:marRight w:val="0"/>
      <w:marTop w:val="0"/>
      <w:marBottom w:val="0"/>
      <w:divBdr>
        <w:top w:val="none" w:sz="0" w:space="0" w:color="auto"/>
        <w:left w:val="none" w:sz="0" w:space="0" w:color="auto"/>
        <w:bottom w:val="none" w:sz="0" w:space="0" w:color="auto"/>
        <w:right w:val="none" w:sz="0" w:space="0" w:color="auto"/>
      </w:divBdr>
    </w:div>
    <w:div w:id="1508713348">
      <w:bodyDiv w:val="1"/>
      <w:marLeft w:val="0"/>
      <w:marRight w:val="0"/>
      <w:marTop w:val="0"/>
      <w:marBottom w:val="0"/>
      <w:divBdr>
        <w:top w:val="none" w:sz="0" w:space="0" w:color="auto"/>
        <w:left w:val="none" w:sz="0" w:space="0" w:color="auto"/>
        <w:bottom w:val="none" w:sz="0" w:space="0" w:color="auto"/>
        <w:right w:val="none" w:sz="0" w:space="0" w:color="auto"/>
      </w:divBdr>
    </w:div>
    <w:div w:id="1514955300">
      <w:bodyDiv w:val="1"/>
      <w:marLeft w:val="0"/>
      <w:marRight w:val="0"/>
      <w:marTop w:val="0"/>
      <w:marBottom w:val="0"/>
      <w:divBdr>
        <w:top w:val="none" w:sz="0" w:space="0" w:color="auto"/>
        <w:left w:val="none" w:sz="0" w:space="0" w:color="auto"/>
        <w:bottom w:val="none" w:sz="0" w:space="0" w:color="auto"/>
        <w:right w:val="none" w:sz="0" w:space="0" w:color="auto"/>
      </w:divBdr>
      <w:divsChild>
        <w:div w:id="1820610481">
          <w:marLeft w:val="0"/>
          <w:marRight w:val="0"/>
          <w:marTop w:val="0"/>
          <w:marBottom w:val="0"/>
          <w:divBdr>
            <w:top w:val="none" w:sz="0" w:space="0" w:color="auto"/>
            <w:left w:val="none" w:sz="0" w:space="0" w:color="auto"/>
            <w:bottom w:val="none" w:sz="0" w:space="0" w:color="auto"/>
            <w:right w:val="none" w:sz="0" w:space="0" w:color="auto"/>
          </w:divBdr>
          <w:divsChild>
            <w:div w:id="1680425918">
              <w:marLeft w:val="0"/>
              <w:marRight w:val="0"/>
              <w:marTop w:val="0"/>
              <w:marBottom w:val="0"/>
              <w:divBdr>
                <w:top w:val="none" w:sz="0" w:space="0" w:color="auto"/>
                <w:left w:val="none" w:sz="0" w:space="0" w:color="auto"/>
                <w:bottom w:val="none" w:sz="0" w:space="0" w:color="auto"/>
                <w:right w:val="none" w:sz="0" w:space="0" w:color="auto"/>
              </w:divBdr>
              <w:divsChild>
                <w:div w:id="799227601">
                  <w:marLeft w:val="0"/>
                  <w:marRight w:val="0"/>
                  <w:marTop w:val="0"/>
                  <w:marBottom w:val="0"/>
                  <w:divBdr>
                    <w:top w:val="none" w:sz="0" w:space="0" w:color="auto"/>
                    <w:left w:val="none" w:sz="0" w:space="0" w:color="auto"/>
                    <w:bottom w:val="none" w:sz="0" w:space="0" w:color="auto"/>
                    <w:right w:val="none" w:sz="0" w:space="0" w:color="auto"/>
                  </w:divBdr>
                  <w:divsChild>
                    <w:div w:id="272785266">
                      <w:marLeft w:val="0"/>
                      <w:marRight w:val="0"/>
                      <w:marTop w:val="75"/>
                      <w:marBottom w:val="75"/>
                      <w:divBdr>
                        <w:top w:val="none" w:sz="0" w:space="0" w:color="auto"/>
                        <w:left w:val="none" w:sz="0" w:space="0" w:color="auto"/>
                        <w:bottom w:val="none" w:sz="0" w:space="0" w:color="auto"/>
                        <w:right w:val="none" w:sz="0" w:space="0" w:color="auto"/>
                      </w:divBdr>
                      <w:divsChild>
                        <w:div w:id="1168790227">
                          <w:marLeft w:val="0"/>
                          <w:marRight w:val="0"/>
                          <w:marTop w:val="0"/>
                          <w:marBottom w:val="0"/>
                          <w:divBdr>
                            <w:top w:val="none" w:sz="0" w:space="0" w:color="auto"/>
                            <w:left w:val="none" w:sz="0" w:space="0" w:color="auto"/>
                            <w:bottom w:val="none" w:sz="0" w:space="0" w:color="auto"/>
                            <w:right w:val="none" w:sz="0" w:space="0" w:color="auto"/>
                          </w:divBdr>
                          <w:divsChild>
                            <w:div w:id="468669951">
                              <w:marLeft w:val="0"/>
                              <w:marRight w:val="300"/>
                              <w:marTop w:val="0"/>
                              <w:marBottom w:val="0"/>
                              <w:divBdr>
                                <w:top w:val="none" w:sz="0" w:space="0" w:color="auto"/>
                                <w:left w:val="none" w:sz="0" w:space="0" w:color="auto"/>
                                <w:bottom w:val="none" w:sz="0" w:space="0" w:color="auto"/>
                                <w:right w:val="none" w:sz="0" w:space="0" w:color="auto"/>
                              </w:divBdr>
                              <w:divsChild>
                                <w:div w:id="287468952">
                                  <w:marLeft w:val="0"/>
                                  <w:marRight w:val="0"/>
                                  <w:marTop w:val="0"/>
                                  <w:marBottom w:val="0"/>
                                  <w:divBdr>
                                    <w:top w:val="none" w:sz="0" w:space="0" w:color="auto"/>
                                    <w:left w:val="none" w:sz="0" w:space="0" w:color="auto"/>
                                    <w:bottom w:val="none" w:sz="0" w:space="0" w:color="auto"/>
                                    <w:right w:val="none" w:sz="0" w:space="0" w:color="auto"/>
                                  </w:divBdr>
                                  <w:divsChild>
                                    <w:div w:id="1612857779">
                                      <w:marLeft w:val="0"/>
                                      <w:marRight w:val="0"/>
                                      <w:marTop w:val="0"/>
                                      <w:marBottom w:val="0"/>
                                      <w:divBdr>
                                        <w:top w:val="none" w:sz="0" w:space="0" w:color="auto"/>
                                        <w:left w:val="none" w:sz="0" w:space="0" w:color="auto"/>
                                        <w:bottom w:val="none" w:sz="0" w:space="0" w:color="auto"/>
                                        <w:right w:val="none" w:sz="0" w:space="0" w:color="auto"/>
                                      </w:divBdr>
                                      <w:divsChild>
                                        <w:div w:id="1591810092">
                                          <w:marLeft w:val="0"/>
                                          <w:marRight w:val="0"/>
                                          <w:marTop w:val="0"/>
                                          <w:marBottom w:val="0"/>
                                          <w:divBdr>
                                            <w:top w:val="none" w:sz="0" w:space="0" w:color="auto"/>
                                            <w:left w:val="none" w:sz="0" w:space="0" w:color="auto"/>
                                            <w:bottom w:val="none" w:sz="0" w:space="0" w:color="auto"/>
                                            <w:right w:val="none" w:sz="0" w:space="0" w:color="auto"/>
                                          </w:divBdr>
                                          <w:divsChild>
                                            <w:div w:id="991103763">
                                              <w:marLeft w:val="0"/>
                                              <w:marRight w:val="0"/>
                                              <w:marTop w:val="0"/>
                                              <w:marBottom w:val="0"/>
                                              <w:divBdr>
                                                <w:top w:val="none" w:sz="0" w:space="0" w:color="auto"/>
                                                <w:left w:val="none" w:sz="0" w:space="0" w:color="auto"/>
                                                <w:bottom w:val="none" w:sz="0" w:space="0" w:color="auto"/>
                                                <w:right w:val="none" w:sz="0" w:space="0" w:color="auto"/>
                                              </w:divBdr>
                                              <w:divsChild>
                                                <w:div w:id="1020428035">
                                                  <w:marLeft w:val="4"/>
                                                  <w:marRight w:val="0"/>
                                                  <w:marTop w:val="0"/>
                                                  <w:marBottom w:val="0"/>
                                                  <w:divBdr>
                                                    <w:top w:val="none" w:sz="0" w:space="0" w:color="auto"/>
                                                    <w:left w:val="none" w:sz="0" w:space="0" w:color="auto"/>
                                                    <w:bottom w:val="none" w:sz="0" w:space="0" w:color="auto"/>
                                                    <w:right w:val="none" w:sz="0" w:space="0" w:color="auto"/>
                                                  </w:divBdr>
                                                  <w:divsChild>
                                                    <w:div w:id="13221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5342112">
      <w:bodyDiv w:val="1"/>
      <w:marLeft w:val="0"/>
      <w:marRight w:val="0"/>
      <w:marTop w:val="0"/>
      <w:marBottom w:val="0"/>
      <w:divBdr>
        <w:top w:val="none" w:sz="0" w:space="0" w:color="auto"/>
        <w:left w:val="none" w:sz="0" w:space="0" w:color="auto"/>
        <w:bottom w:val="none" w:sz="0" w:space="0" w:color="auto"/>
        <w:right w:val="none" w:sz="0" w:space="0" w:color="auto"/>
      </w:divBdr>
      <w:divsChild>
        <w:div w:id="439423545">
          <w:marLeft w:val="0"/>
          <w:marRight w:val="0"/>
          <w:marTop w:val="0"/>
          <w:marBottom w:val="0"/>
          <w:divBdr>
            <w:top w:val="none" w:sz="0" w:space="0" w:color="auto"/>
            <w:left w:val="none" w:sz="0" w:space="0" w:color="auto"/>
            <w:bottom w:val="none" w:sz="0" w:space="0" w:color="auto"/>
            <w:right w:val="none" w:sz="0" w:space="0" w:color="auto"/>
          </w:divBdr>
        </w:div>
        <w:div w:id="659768350">
          <w:marLeft w:val="0"/>
          <w:marRight w:val="0"/>
          <w:marTop w:val="0"/>
          <w:marBottom w:val="0"/>
          <w:divBdr>
            <w:top w:val="none" w:sz="0" w:space="0" w:color="auto"/>
            <w:left w:val="none" w:sz="0" w:space="0" w:color="auto"/>
            <w:bottom w:val="none" w:sz="0" w:space="0" w:color="auto"/>
            <w:right w:val="none" w:sz="0" w:space="0" w:color="auto"/>
          </w:divBdr>
        </w:div>
        <w:div w:id="816188771">
          <w:marLeft w:val="0"/>
          <w:marRight w:val="0"/>
          <w:marTop w:val="0"/>
          <w:marBottom w:val="0"/>
          <w:divBdr>
            <w:top w:val="none" w:sz="0" w:space="0" w:color="auto"/>
            <w:left w:val="none" w:sz="0" w:space="0" w:color="auto"/>
            <w:bottom w:val="none" w:sz="0" w:space="0" w:color="auto"/>
            <w:right w:val="none" w:sz="0" w:space="0" w:color="auto"/>
          </w:divBdr>
        </w:div>
        <w:div w:id="971793749">
          <w:marLeft w:val="0"/>
          <w:marRight w:val="0"/>
          <w:marTop w:val="0"/>
          <w:marBottom w:val="0"/>
          <w:divBdr>
            <w:top w:val="none" w:sz="0" w:space="0" w:color="auto"/>
            <w:left w:val="none" w:sz="0" w:space="0" w:color="auto"/>
            <w:bottom w:val="none" w:sz="0" w:space="0" w:color="auto"/>
            <w:right w:val="none" w:sz="0" w:space="0" w:color="auto"/>
          </w:divBdr>
          <w:divsChild>
            <w:div w:id="983856678">
              <w:marLeft w:val="0"/>
              <w:marRight w:val="0"/>
              <w:marTop w:val="0"/>
              <w:marBottom w:val="0"/>
              <w:divBdr>
                <w:top w:val="none" w:sz="0" w:space="0" w:color="auto"/>
                <w:left w:val="none" w:sz="0" w:space="0" w:color="auto"/>
                <w:bottom w:val="none" w:sz="0" w:space="0" w:color="auto"/>
                <w:right w:val="none" w:sz="0" w:space="0" w:color="auto"/>
              </w:divBdr>
            </w:div>
            <w:div w:id="200619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471881">
      <w:bodyDiv w:val="1"/>
      <w:marLeft w:val="0"/>
      <w:marRight w:val="0"/>
      <w:marTop w:val="0"/>
      <w:marBottom w:val="0"/>
      <w:divBdr>
        <w:top w:val="none" w:sz="0" w:space="0" w:color="auto"/>
        <w:left w:val="none" w:sz="0" w:space="0" w:color="auto"/>
        <w:bottom w:val="none" w:sz="0" w:space="0" w:color="auto"/>
        <w:right w:val="none" w:sz="0" w:space="0" w:color="auto"/>
      </w:divBdr>
    </w:div>
    <w:div w:id="1526865654">
      <w:bodyDiv w:val="1"/>
      <w:marLeft w:val="0"/>
      <w:marRight w:val="0"/>
      <w:marTop w:val="0"/>
      <w:marBottom w:val="0"/>
      <w:divBdr>
        <w:top w:val="none" w:sz="0" w:space="0" w:color="auto"/>
        <w:left w:val="none" w:sz="0" w:space="0" w:color="auto"/>
        <w:bottom w:val="none" w:sz="0" w:space="0" w:color="auto"/>
        <w:right w:val="none" w:sz="0" w:space="0" w:color="auto"/>
      </w:divBdr>
      <w:divsChild>
        <w:div w:id="1168449443">
          <w:marLeft w:val="0"/>
          <w:marRight w:val="0"/>
          <w:marTop w:val="0"/>
          <w:marBottom w:val="150"/>
          <w:divBdr>
            <w:top w:val="single" w:sz="6" w:space="0" w:color="DDDDDD"/>
            <w:left w:val="single" w:sz="6" w:space="23" w:color="DDDDDD"/>
            <w:bottom w:val="single" w:sz="6" w:space="23" w:color="DDDDDD"/>
            <w:right w:val="single" w:sz="6" w:space="23" w:color="DDDDDD"/>
          </w:divBdr>
        </w:div>
      </w:divsChild>
    </w:div>
    <w:div w:id="1527258597">
      <w:bodyDiv w:val="1"/>
      <w:marLeft w:val="0"/>
      <w:marRight w:val="0"/>
      <w:marTop w:val="0"/>
      <w:marBottom w:val="0"/>
      <w:divBdr>
        <w:top w:val="none" w:sz="0" w:space="0" w:color="auto"/>
        <w:left w:val="none" w:sz="0" w:space="0" w:color="auto"/>
        <w:bottom w:val="none" w:sz="0" w:space="0" w:color="auto"/>
        <w:right w:val="none" w:sz="0" w:space="0" w:color="auto"/>
      </w:divBdr>
    </w:div>
    <w:div w:id="1527409317">
      <w:bodyDiv w:val="1"/>
      <w:marLeft w:val="0"/>
      <w:marRight w:val="0"/>
      <w:marTop w:val="0"/>
      <w:marBottom w:val="0"/>
      <w:divBdr>
        <w:top w:val="none" w:sz="0" w:space="0" w:color="auto"/>
        <w:left w:val="none" w:sz="0" w:space="0" w:color="auto"/>
        <w:bottom w:val="none" w:sz="0" w:space="0" w:color="auto"/>
        <w:right w:val="none" w:sz="0" w:space="0" w:color="auto"/>
      </w:divBdr>
      <w:divsChild>
        <w:div w:id="1189946319">
          <w:marLeft w:val="0"/>
          <w:marRight w:val="0"/>
          <w:marTop w:val="0"/>
          <w:marBottom w:val="0"/>
          <w:divBdr>
            <w:top w:val="none" w:sz="0" w:space="0" w:color="auto"/>
            <w:left w:val="none" w:sz="0" w:space="0" w:color="auto"/>
            <w:bottom w:val="none" w:sz="0" w:space="0" w:color="auto"/>
            <w:right w:val="none" w:sz="0" w:space="0" w:color="auto"/>
          </w:divBdr>
          <w:divsChild>
            <w:div w:id="264728899">
              <w:marLeft w:val="0"/>
              <w:marRight w:val="0"/>
              <w:marTop w:val="0"/>
              <w:marBottom w:val="0"/>
              <w:divBdr>
                <w:top w:val="none" w:sz="0" w:space="0" w:color="auto"/>
                <w:left w:val="none" w:sz="0" w:space="0" w:color="auto"/>
                <w:bottom w:val="none" w:sz="0" w:space="0" w:color="auto"/>
                <w:right w:val="none" w:sz="0" w:space="0" w:color="auto"/>
              </w:divBdr>
              <w:divsChild>
                <w:div w:id="189732132">
                  <w:marLeft w:val="0"/>
                  <w:marRight w:val="0"/>
                  <w:marTop w:val="0"/>
                  <w:marBottom w:val="0"/>
                  <w:divBdr>
                    <w:top w:val="none" w:sz="0" w:space="0" w:color="auto"/>
                    <w:left w:val="none" w:sz="0" w:space="0" w:color="auto"/>
                    <w:bottom w:val="none" w:sz="0" w:space="0" w:color="auto"/>
                    <w:right w:val="none" w:sz="0" w:space="0" w:color="auto"/>
                  </w:divBdr>
                  <w:divsChild>
                    <w:div w:id="50108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756259">
      <w:bodyDiv w:val="1"/>
      <w:marLeft w:val="0"/>
      <w:marRight w:val="0"/>
      <w:marTop w:val="0"/>
      <w:marBottom w:val="0"/>
      <w:divBdr>
        <w:top w:val="none" w:sz="0" w:space="0" w:color="auto"/>
        <w:left w:val="none" w:sz="0" w:space="0" w:color="auto"/>
        <w:bottom w:val="none" w:sz="0" w:space="0" w:color="auto"/>
        <w:right w:val="none" w:sz="0" w:space="0" w:color="auto"/>
      </w:divBdr>
      <w:divsChild>
        <w:div w:id="1923758997">
          <w:marLeft w:val="0"/>
          <w:marRight w:val="0"/>
          <w:marTop w:val="0"/>
          <w:marBottom w:val="0"/>
          <w:divBdr>
            <w:top w:val="none" w:sz="0" w:space="0" w:color="auto"/>
            <w:left w:val="none" w:sz="0" w:space="0" w:color="auto"/>
            <w:bottom w:val="none" w:sz="0" w:space="0" w:color="auto"/>
            <w:right w:val="none" w:sz="0" w:space="0" w:color="auto"/>
          </w:divBdr>
          <w:divsChild>
            <w:div w:id="1730575508">
              <w:marLeft w:val="0"/>
              <w:marRight w:val="0"/>
              <w:marTop w:val="0"/>
              <w:marBottom w:val="0"/>
              <w:divBdr>
                <w:top w:val="none" w:sz="0" w:space="0" w:color="auto"/>
                <w:left w:val="none" w:sz="0" w:space="0" w:color="auto"/>
                <w:bottom w:val="none" w:sz="0" w:space="0" w:color="auto"/>
                <w:right w:val="none" w:sz="0" w:space="0" w:color="auto"/>
              </w:divBdr>
              <w:divsChild>
                <w:div w:id="1749571589">
                  <w:marLeft w:val="0"/>
                  <w:marRight w:val="0"/>
                  <w:marTop w:val="0"/>
                  <w:marBottom w:val="0"/>
                  <w:divBdr>
                    <w:top w:val="none" w:sz="0" w:space="0" w:color="auto"/>
                    <w:left w:val="none" w:sz="0" w:space="0" w:color="auto"/>
                    <w:bottom w:val="none" w:sz="0" w:space="0" w:color="auto"/>
                    <w:right w:val="none" w:sz="0" w:space="0" w:color="auto"/>
                  </w:divBdr>
                  <w:divsChild>
                    <w:div w:id="1416123577">
                      <w:marLeft w:val="0"/>
                      <w:marRight w:val="0"/>
                      <w:marTop w:val="0"/>
                      <w:marBottom w:val="0"/>
                      <w:divBdr>
                        <w:top w:val="none" w:sz="0" w:space="0" w:color="auto"/>
                        <w:left w:val="none" w:sz="0" w:space="0" w:color="auto"/>
                        <w:bottom w:val="none" w:sz="0" w:space="0" w:color="auto"/>
                        <w:right w:val="none" w:sz="0" w:space="0" w:color="auto"/>
                      </w:divBdr>
                      <w:divsChild>
                        <w:div w:id="861826228">
                          <w:marLeft w:val="0"/>
                          <w:marRight w:val="0"/>
                          <w:marTop w:val="0"/>
                          <w:marBottom w:val="0"/>
                          <w:divBdr>
                            <w:top w:val="none" w:sz="0" w:space="0" w:color="auto"/>
                            <w:left w:val="none" w:sz="0" w:space="0" w:color="auto"/>
                            <w:bottom w:val="none" w:sz="0" w:space="0" w:color="auto"/>
                            <w:right w:val="none" w:sz="0" w:space="0" w:color="auto"/>
                          </w:divBdr>
                          <w:divsChild>
                            <w:div w:id="1680112056">
                              <w:marLeft w:val="0"/>
                              <w:marRight w:val="0"/>
                              <w:marTop w:val="0"/>
                              <w:marBottom w:val="0"/>
                              <w:divBdr>
                                <w:top w:val="none" w:sz="0" w:space="0" w:color="auto"/>
                                <w:left w:val="none" w:sz="0" w:space="0" w:color="auto"/>
                                <w:bottom w:val="none" w:sz="0" w:space="0" w:color="auto"/>
                                <w:right w:val="none" w:sz="0" w:space="0" w:color="auto"/>
                              </w:divBdr>
                              <w:divsChild>
                                <w:div w:id="1443841592">
                                  <w:marLeft w:val="0"/>
                                  <w:marRight w:val="0"/>
                                  <w:marTop w:val="0"/>
                                  <w:marBottom w:val="0"/>
                                  <w:divBdr>
                                    <w:top w:val="none" w:sz="0" w:space="0" w:color="auto"/>
                                    <w:left w:val="none" w:sz="0" w:space="0" w:color="auto"/>
                                    <w:bottom w:val="none" w:sz="0" w:space="0" w:color="auto"/>
                                    <w:right w:val="none" w:sz="0" w:space="0" w:color="auto"/>
                                  </w:divBdr>
                                  <w:divsChild>
                                    <w:div w:id="1196846740">
                                      <w:marLeft w:val="0"/>
                                      <w:marRight w:val="0"/>
                                      <w:marTop w:val="0"/>
                                      <w:marBottom w:val="0"/>
                                      <w:divBdr>
                                        <w:top w:val="none" w:sz="0" w:space="0" w:color="auto"/>
                                        <w:left w:val="none" w:sz="0" w:space="0" w:color="auto"/>
                                        <w:bottom w:val="none" w:sz="0" w:space="0" w:color="auto"/>
                                        <w:right w:val="none" w:sz="0" w:space="0" w:color="auto"/>
                                      </w:divBdr>
                                      <w:divsChild>
                                        <w:div w:id="156649802">
                                          <w:marLeft w:val="0"/>
                                          <w:marRight w:val="0"/>
                                          <w:marTop w:val="0"/>
                                          <w:marBottom w:val="0"/>
                                          <w:divBdr>
                                            <w:top w:val="none" w:sz="0" w:space="0" w:color="auto"/>
                                            <w:left w:val="none" w:sz="0" w:space="0" w:color="auto"/>
                                            <w:bottom w:val="none" w:sz="0" w:space="0" w:color="auto"/>
                                            <w:right w:val="none" w:sz="0" w:space="0" w:color="auto"/>
                                          </w:divBdr>
                                          <w:divsChild>
                                            <w:div w:id="98332603">
                                              <w:marLeft w:val="0"/>
                                              <w:marRight w:val="0"/>
                                              <w:marTop w:val="0"/>
                                              <w:marBottom w:val="0"/>
                                              <w:divBdr>
                                                <w:top w:val="none" w:sz="0" w:space="0" w:color="auto"/>
                                                <w:left w:val="none" w:sz="0" w:space="0" w:color="auto"/>
                                                <w:bottom w:val="none" w:sz="0" w:space="0" w:color="auto"/>
                                                <w:right w:val="none" w:sz="0" w:space="0" w:color="auto"/>
                                              </w:divBdr>
                                              <w:divsChild>
                                                <w:div w:id="1234006274">
                                                  <w:marLeft w:val="0"/>
                                                  <w:marRight w:val="0"/>
                                                  <w:marTop w:val="0"/>
                                                  <w:marBottom w:val="0"/>
                                                  <w:divBdr>
                                                    <w:top w:val="none" w:sz="0" w:space="0" w:color="auto"/>
                                                    <w:left w:val="none" w:sz="0" w:space="0" w:color="auto"/>
                                                    <w:bottom w:val="none" w:sz="0" w:space="0" w:color="auto"/>
                                                    <w:right w:val="none" w:sz="0" w:space="0" w:color="auto"/>
                                                  </w:divBdr>
                                                  <w:divsChild>
                                                    <w:div w:id="121510058">
                                                      <w:marLeft w:val="0"/>
                                                      <w:marRight w:val="0"/>
                                                      <w:marTop w:val="0"/>
                                                      <w:marBottom w:val="0"/>
                                                      <w:divBdr>
                                                        <w:top w:val="none" w:sz="0" w:space="0" w:color="auto"/>
                                                        <w:left w:val="none" w:sz="0" w:space="0" w:color="auto"/>
                                                        <w:bottom w:val="none" w:sz="0" w:space="0" w:color="auto"/>
                                                        <w:right w:val="none" w:sz="0" w:space="0" w:color="auto"/>
                                                      </w:divBdr>
                                                      <w:divsChild>
                                                        <w:div w:id="2002082189">
                                                          <w:marLeft w:val="0"/>
                                                          <w:marRight w:val="0"/>
                                                          <w:marTop w:val="0"/>
                                                          <w:marBottom w:val="0"/>
                                                          <w:divBdr>
                                                            <w:top w:val="none" w:sz="0" w:space="0" w:color="auto"/>
                                                            <w:left w:val="none" w:sz="0" w:space="0" w:color="auto"/>
                                                            <w:bottom w:val="none" w:sz="0" w:space="0" w:color="auto"/>
                                                            <w:right w:val="none" w:sz="0" w:space="0" w:color="auto"/>
                                                          </w:divBdr>
                                                          <w:divsChild>
                                                            <w:div w:id="863978717">
                                                              <w:marLeft w:val="0"/>
                                                              <w:marRight w:val="0"/>
                                                              <w:marTop w:val="0"/>
                                                              <w:marBottom w:val="0"/>
                                                              <w:divBdr>
                                                                <w:top w:val="none" w:sz="0" w:space="0" w:color="auto"/>
                                                                <w:left w:val="none" w:sz="0" w:space="0" w:color="auto"/>
                                                                <w:bottom w:val="none" w:sz="0" w:space="0" w:color="auto"/>
                                                                <w:right w:val="none" w:sz="0" w:space="0" w:color="auto"/>
                                                              </w:divBdr>
                                                              <w:divsChild>
                                                                <w:div w:id="93673522">
                                                                  <w:marLeft w:val="0"/>
                                                                  <w:marRight w:val="0"/>
                                                                  <w:marTop w:val="0"/>
                                                                  <w:marBottom w:val="0"/>
                                                                  <w:divBdr>
                                                                    <w:top w:val="none" w:sz="0" w:space="0" w:color="auto"/>
                                                                    <w:left w:val="none" w:sz="0" w:space="0" w:color="auto"/>
                                                                    <w:bottom w:val="none" w:sz="0" w:space="0" w:color="auto"/>
                                                                    <w:right w:val="none" w:sz="0" w:space="0" w:color="auto"/>
                                                                  </w:divBdr>
                                                                </w:div>
                                                                <w:div w:id="97137687">
                                                                  <w:marLeft w:val="0"/>
                                                                  <w:marRight w:val="0"/>
                                                                  <w:marTop w:val="0"/>
                                                                  <w:marBottom w:val="0"/>
                                                                  <w:divBdr>
                                                                    <w:top w:val="none" w:sz="0" w:space="0" w:color="auto"/>
                                                                    <w:left w:val="none" w:sz="0" w:space="0" w:color="auto"/>
                                                                    <w:bottom w:val="none" w:sz="0" w:space="0" w:color="auto"/>
                                                                    <w:right w:val="none" w:sz="0" w:space="0" w:color="auto"/>
                                                                  </w:divBdr>
                                                                </w:div>
                                                                <w:div w:id="270939428">
                                                                  <w:marLeft w:val="0"/>
                                                                  <w:marRight w:val="0"/>
                                                                  <w:marTop w:val="0"/>
                                                                  <w:marBottom w:val="0"/>
                                                                  <w:divBdr>
                                                                    <w:top w:val="none" w:sz="0" w:space="0" w:color="auto"/>
                                                                    <w:left w:val="none" w:sz="0" w:space="0" w:color="auto"/>
                                                                    <w:bottom w:val="none" w:sz="0" w:space="0" w:color="auto"/>
                                                                    <w:right w:val="none" w:sz="0" w:space="0" w:color="auto"/>
                                                                  </w:divBdr>
                                                                </w:div>
                                                                <w:div w:id="285963622">
                                                                  <w:marLeft w:val="0"/>
                                                                  <w:marRight w:val="0"/>
                                                                  <w:marTop w:val="0"/>
                                                                  <w:marBottom w:val="0"/>
                                                                  <w:divBdr>
                                                                    <w:top w:val="none" w:sz="0" w:space="0" w:color="auto"/>
                                                                    <w:left w:val="none" w:sz="0" w:space="0" w:color="auto"/>
                                                                    <w:bottom w:val="none" w:sz="0" w:space="0" w:color="auto"/>
                                                                    <w:right w:val="none" w:sz="0" w:space="0" w:color="auto"/>
                                                                  </w:divBdr>
                                                                </w:div>
                                                                <w:div w:id="318578716">
                                                                  <w:marLeft w:val="0"/>
                                                                  <w:marRight w:val="0"/>
                                                                  <w:marTop w:val="0"/>
                                                                  <w:marBottom w:val="0"/>
                                                                  <w:divBdr>
                                                                    <w:top w:val="none" w:sz="0" w:space="0" w:color="auto"/>
                                                                    <w:left w:val="none" w:sz="0" w:space="0" w:color="auto"/>
                                                                    <w:bottom w:val="none" w:sz="0" w:space="0" w:color="auto"/>
                                                                    <w:right w:val="none" w:sz="0" w:space="0" w:color="auto"/>
                                                                  </w:divBdr>
                                                                </w:div>
                                                                <w:div w:id="379323182">
                                                                  <w:marLeft w:val="0"/>
                                                                  <w:marRight w:val="0"/>
                                                                  <w:marTop w:val="120"/>
                                                                  <w:marBottom w:val="120"/>
                                                                  <w:divBdr>
                                                                    <w:top w:val="none" w:sz="0" w:space="0" w:color="auto"/>
                                                                    <w:left w:val="none" w:sz="0" w:space="0" w:color="auto"/>
                                                                    <w:bottom w:val="none" w:sz="0" w:space="0" w:color="auto"/>
                                                                    <w:right w:val="none" w:sz="0" w:space="0" w:color="auto"/>
                                                                  </w:divBdr>
                                                                  <w:divsChild>
                                                                    <w:div w:id="375155119">
                                                                      <w:marLeft w:val="0"/>
                                                                      <w:marRight w:val="0"/>
                                                                      <w:marTop w:val="0"/>
                                                                      <w:marBottom w:val="0"/>
                                                                      <w:divBdr>
                                                                        <w:top w:val="none" w:sz="0" w:space="0" w:color="auto"/>
                                                                        <w:left w:val="none" w:sz="0" w:space="0" w:color="auto"/>
                                                                        <w:bottom w:val="none" w:sz="0" w:space="0" w:color="auto"/>
                                                                        <w:right w:val="none" w:sz="0" w:space="0" w:color="auto"/>
                                                                      </w:divBdr>
                                                                    </w:div>
                                                                    <w:div w:id="1141113728">
                                                                      <w:marLeft w:val="0"/>
                                                                      <w:marRight w:val="0"/>
                                                                      <w:marTop w:val="0"/>
                                                                      <w:marBottom w:val="0"/>
                                                                      <w:divBdr>
                                                                        <w:top w:val="none" w:sz="0" w:space="0" w:color="auto"/>
                                                                        <w:left w:val="none" w:sz="0" w:space="0" w:color="auto"/>
                                                                        <w:bottom w:val="none" w:sz="0" w:space="0" w:color="auto"/>
                                                                        <w:right w:val="none" w:sz="0" w:space="0" w:color="auto"/>
                                                                      </w:divBdr>
                                                                    </w:div>
                                                                    <w:div w:id="1205483374">
                                                                      <w:marLeft w:val="0"/>
                                                                      <w:marRight w:val="0"/>
                                                                      <w:marTop w:val="0"/>
                                                                      <w:marBottom w:val="0"/>
                                                                      <w:divBdr>
                                                                        <w:top w:val="none" w:sz="0" w:space="0" w:color="auto"/>
                                                                        <w:left w:val="none" w:sz="0" w:space="0" w:color="auto"/>
                                                                        <w:bottom w:val="none" w:sz="0" w:space="0" w:color="auto"/>
                                                                        <w:right w:val="none" w:sz="0" w:space="0" w:color="auto"/>
                                                                      </w:divBdr>
                                                                    </w:div>
                                                                  </w:divsChild>
                                                                </w:div>
                                                                <w:div w:id="391000053">
                                                                  <w:marLeft w:val="0"/>
                                                                  <w:marRight w:val="0"/>
                                                                  <w:marTop w:val="0"/>
                                                                  <w:marBottom w:val="0"/>
                                                                  <w:divBdr>
                                                                    <w:top w:val="none" w:sz="0" w:space="0" w:color="auto"/>
                                                                    <w:left w:val="none" w:sz="0" w:space="0" w:color="auto"/>
                                                                    <w:bottom w:val="none" w:sz="0" w:space="0" w:color="auto"/>
                                                                    <w:right w:val="none" w:sz="0" w:space="0" w:color="auto"/>
                                                                  </w:divBdr>
                                                                </w:div>
                                                                <w:div w:id="400833271">
                                                                  <w:marLeft w:val="0"/>
                                                                  <w:marRight w:val="0"/>
                                                                  <w:marTop w:val="0"/>
                                                                  <w:marBottom w:val="0"/>
                                                                  <w:divBdr>
                                                                    <w:top w:val="none" w:sz="0" w:space="0" w:color="auto"/>
                                                                    <w:left w:val="none" w:sz="0" w:space="0" w:color="auto"/>
                                                                    <w:bottom w:val="none" w:sz="0" w:space="0" w:color="auto"/>
                                                                    <w:right w:val="none" w:sz="0" w:space="0" w:color="auto"/>
                                                                  </w:divBdr>
                                                                </w:div>
                                                                <w:div w:id="544490566">
                                                                  <w:marLeft w:val="0"/>
                                                                  <w:marRight w:val="0"/>
                                                                  <w:marTop w:val="0"/>
                                                                  <w:marBottom w:val="0"/>
                                                                  <w:divBdr>
                                                                    <w:top w:val="none" w:sz="0" w:space="0" w:color="auto"/>
                                                                    <w:left w:val="none" w:sz="0" w:space="0" w:color="auto"/>
                                                                    <w:bottom w:val="none" w:sz="0" w:space="0" w:color="auto"/>
                                                                    <w:right w:val="none" w:sz="0" w:space="0" w:color="auto"/>
                                                                  </w:divBdr>
                                                                </w:div>
                                                                <w:div w:id="561987873">
                                                                  <w:marLeft w:val="0"/>
                                                                  <w:marRight w:val="0"/>
                                                                  <w:marTop w:val="0"/>
                                                                  <w:marBottom w:val="0"/>
                                                                  <w:divBdr>
                                                                    <w:top w:val="none" w:sz="0" w:space="0" w:color="auto"/>
                                                                    <w:left w:val="none" w:sz="0" w:space="0" w:color="auto"/>
                                                                    <w:bottom w:val="none" w:sz="0" w:space="0" w:color="auto"/>
                                                                    <w:right w:val="none" w:sz="0" w:space="0" w:color="auto"/>
                                                                  </w:divBdr>
                                                                </w:div>
                                                                <w:div w:id="584656041">
                                                                  <w:marLeft w:val="0"/>
                                                                  <w:marRight w:val="0"/>
                                                                  <w:marTop w:val="0"/>
                                                                  <w:marBottom w:val="0"/>
                                                                  <w:divBdr>
                                                                    <w:top w:val="none" w:sz="0" w:space="0" w:color="auto"/>
                                                                    <w:left w:val="none" w:sz="0" w:space="0" w:color="auto"/>
                                                                    <w:bottom w:val="none" w:sz="0" w:space="0" w:color="auto"/>
                                                                    <w:right w:val="none" w:sz="0" w:space="0" w:color="auto"/>
                                                                  </w:divBdr>
                                                                </w:div>
                                                                <w:div w:id="625966279">
                                                                  <w:marLeft w:val="0"/>
                                                                  <w:marRight w:val="0"/>
                                                                  <w:marTop w:val="0"/>
                                                                  <w:marBottom w:val="0"/>
                                                                  <w:divBdr>
                                                                    <w:top w:val="none" w:sz="0" w:space="0" w:color="auto"/>
                                                                    <w:left w:val="none" w:sz="0" w:space="0" w:color="auto"/>
                                                                    <w:bottom w:val="none" w:sz="0" w:space="0" w:color="auto"/>
                                                                    <w:right w:val="none" w:sz="0" w:space="0" w:color="auto"/>
                                                                  </w:divBdr>
                                                                </w:div>
                                                                <w:div w:id="667441753">
                                                                  <w:marLeft w:val="0"/>
                                                                  <w:marRight w:val="0"/>
                                                                  <w:marTop w:val="0"/>
                                                                  <w:marBottom w:val="0"/>
                                                                  <w:divBdr>
                                                                    <w:top w:val="none" w:sz="0" w:space="0" w:color="auto"/>
                                                                    <w:left w:val="none" w:sz="0" w:space="0" w:color="auto"/>
                                                                    <w:bottom w:val="none" w:sz="0" w:space="0" w:color="auto"/>
                                                                    <w:right w:val="none" w:sz="0" w:space="0" w:color="auto"/>
                                                                  </w:divBdr>
                                                                </w:div>
                                                                <w:div w:id="746922185">
                                                                  <w:marLeft w:val="0"/>
                                                                  <w:marRight w:val="0"/>
                                                                  <w:marTop w:val="0"/>
                                                                  <w:marBottom w:val="0"/>
                                                                  <w:divBdr>
                                                                    <w:top w:val="none" w:sz="0" w:space="0" w:color="auto"/>
                                                                    <w:left w:val="none" w:sz="0" w:space="0" w:color="auto"/>
                                                                    <w:bottom w:val="none" w:sz="0" w:space="0" w:color="auto"/>
                                                                    <w:right w:val="none" w:sz="0" w:space="0" w:color="auto"/>
                                                                  </w:divBdr>
                                                                </w:div>
                                                                <w:div w:id="789325884">
                                                                  <w:marLeft w:val="0"/>
                                                                  <w:marRight w:val="0"/>
                                                                  <w:marTop w:val="120"/>
                                                                  <w:marBottom w:val="120"/>
                                                                  <w:divBdr>
                                                                    <w:top w:val="none" w:sz="0" w:space="0" w:color="auto"/>
                                                                    <w:left w:val="none" w:sz="0" w:space="0" w:color="auto"/>
                                                                    <w:bottom w:val="none" w:sz="0" w:space="0" w:color="auto"/>
                                                                    <w:right w:val="none" w:sz="0" w:space="0" w:color="auto"/>
                                                                  </w:divBdr>
                                                                  <w:divsChild>
                                                                    <w:div w:id="1245577554">
                                                                      <w:marLeft w:val="0"/>
                                                                      <w:marRight w:val="0"/>
                                                                      <w:marTop w:val="0"/>
                                                                      <w:marBottom w:val="0"/>
                                                                      <w:divBdr>
                                                                        <w:top w:val="none" w:sz="0" w:space="0" w:color="auto"/>
                                                                        <w:left w:val="none" w:sz="0" w:space="0" w:color="auto"/>
                                                                        <w:bottom w:val="none" w:sz="0" w:space="0" w:color="auto"/>
                                                                        <w:right w:val="none" w:sz="0" w:space="0" w:color="auto"/>
                                                                      </w:divBdr>
                                                                    </w:div>
                                                                  </w:divsChild>
                                                                </w:div>
                                                                <w:div w:id="850142860">
                                                                  <w:marLeft w:val="0"/>
                                                                  <w:marRight w:val="0"/>
                                                                  <w:marTop w:val="120"/>
                                                                  <w:marBottom w:val="120"/>
                                                                  <w:divBdr>
                                                                    <w:top w:val="none" w:sz="0" w:space="0" w:color="auto"/>
                                                                    <w:left w:val="none" w:sz="0" w:space="0" w:color="auto"/>
                                                                    <w:bottom w:val="none" w:sz="0" w:space="0" w:color="auto"/>
                                                                    <w:right w:val="none" w:sz="0" w:space="0" w:color="auto"/>
                                                                  </w:divBdr>
                                                                  <w:divsChild>
                                                                    <w:div w:id="181936945">
                                                                      <w:marLeft w:val="0"/>
                                                                      <w:marRight w:val="0"/>
                                                                      <w:marTop w:val="0"/>
                                                                      <w:marBottom w:val="0"/>
                                                                      <w:divBdr>
                                                                        <w:top w:val="none" w:sz="0" w:space="0" w:color="auto"/>
                                                                        <w:left w:val="none" w:sz="0" w:space="0" w:color="auto"/>
                                                                        <w:bottom w:val="none" w:sz="0" w:space="0" w:color="auto"/>
                                                                        <w:right w:val="none" w:sz="0" w:space="0" w:color="auto"/>
                                                                      </w:divBdr>
                                                                    </w:div>
                                                                    <w:div w:id="431164438">
                                                                      <w:marLeft w:val="0"/>
                                                                      <w:marRight w:val="0"/>
                                                                      <w:marTop w:val="0"/>
                                                                      <w:marBottom w:val="0"/>
                                                                      <w:divBdr>
                                                                        <w:top w:val="none" w:sz="0" w:space="0" w:color="auto"/>
                                                                        <w:left w:val="none" w:sz="0" w:space="0" w:color="auto"/>
                                                                        <w:bottom w:val="none" w:sz="0" w:space="0" w:color="auto"/>
                                                                        <w:right w:val="none" w:sz="0" w:space="0" w:color="auto"/>
                                                                      </w:divBdr>
                                                                    </w:div>
                                                                    <w:div w:id="567764665">
                                                                      <w:marLeft w:val="0"/>
                                                                      <w:marRight w:val="0"/>
                                                                      <w:marTop w:val="0"/>
                                                                      <w:marBottom w:val="0"/>
                                                                      <w:divBdr>
                                                                        <w:top w:val="none" w:sz="0" w:space="0" w:color="auto"/>
                                                                        <w:left w:val="none" w:sz="0" w:space="0" w:color="auto"/>
                                                                        <w:bottom w:val="none" w:sz="0" w:space="0" w:color="auto"/>
                                                                        <w:right w:val="none" w:sz="0" w:space="0" w:color="auto"/>
                                                                      </w:divBdr>
                                                                    </w:div>
                                                                    <w:div w:id="1049458453">
                                                                      <w:marLeft w:val="0"/>
                                                                      <w:marRight w:val="0"/>
                                                                      <w:marTop w:val="0"/>
                                                                      <w:marBottom w:val="0"/>
                                                                      <w:divBdr>
                                                                        <w:top w:val="none" w:sz="0" w:space="0" w:color="auto"/>
                                                                        <w:left w:val="none" w:sz="0" w:space="0" w:color="auto"/>
                                                                        <w:bottom w:val="none" w:sz="0" w:space="0" w:color="auto"/>
                                                                        <w:right w:val="none" w:sz="0" w:space="0" w:color="auto"/>
                                                                      </w:divBdr>
                                                                    </w:div>
                                                                    <w:div w:id="2069723506">
                                                                      <w:marLeft w:val="0"/>
                                                                      <w:marRight w:val="0"/>
                                                                      <w:marTop w:val="0"/>
                                                                      <w:marBottom w:val="0"/>
                                                                      <w:divBdr>
                                                                        <w:top w:val="none" w:sz="0" w:space="0" w:color="auto"/>
                                                                        <w:left w:val="none" w:sz="0" w:space="0" w:color="auto"/>
                                                                        <w:bottom w:val="none" w:sz="0" w:space="0" w:color="auto"/>
                                                                        <w:right w:val="none" w:sz="0" w:space="0" w:color="auto"/>
                                                                      </w:divBdr>
                                                                    </w:div>
                                                                  </w:divsChild>
                                                                </w:div>
                                                                <w:div w:id="872884034">
                                                                  <w:marLeft w:val="0"/>
                                                                  <w:marRight w:val="0"/>
                                                                  <w:marTop w:val="0"/>
                                                                  <w:marBottom w:val="0"/>
                                                                  <w:divBdr>
                                                                    <w:top w:val="none" w:sz="0" w:space="0" w:color="auto"/>
                                                                    <w:left w:val="none" w:sz="0" w:space="0" w:color="auto"/>
                                                                    <w:bottom w:val="none" w:sz="0" w:space="0" w:color="auto"/>
                                                                    <w:right w:val="none" w:sz="0" w:space="0" w:color="auto"/>
                                                                  </w:divBdr>
                                                                </w:div>
                                                                <w:div w:id="880822235">
                                                                  <w:marLeft w:val="0"/>
                                                                  <w:marRight w:val="0"/>
                                                                  <w:marTop w:val="120"/>
                                                                  <w:marBottom w:val="120"/>
                                                                  <w:divBdr>
                                                                    <w:top w:val="none" w:sz="0" w:space="0" w:color="auto"/>
                                                                    <w:left w:val="none" w:sz="0" w:space="0" w:color="auto"/>
                                                                    <w:bottom w:val="none" w:sz="0" w:space="0" w:color="auto"/>
                                                                    <w:right w:val="none" w:sz="0" w:space="0" w:color="auto"/>
                                                                  </w:divBdr>
                                                                  <w:divsChild>
                                                                    <w:div w:id="353728278">
                                                                      <w:marLeft w:val="0"/>
                                                                      <w:marRight w:val="0"/>
                                                                      <w:marTop w:val="0"/>
                                                                      <w:marBottom w:val="0"/>
                                                                      <w:divBdr>
                                                                        <w:top w:val="none" w:sz="0" w:space="0" w:color="auto"/>
                                                                        <w:left w:val="none" w:sz="0" w:space="0" w:color="auto"/>
                                                                        <w:bottom w:val="none" w:sz="0" w:space="0" w:color="auto"/>
                                                                        <w:right w:val="none" w:sz="0" w:space="0" w:color="auto"/>
                                                                      </w:divBdr>
                                                                    </w:div>
                                                                    <w:div w:id="881358484">
                                                                      <w:marLeft w:val="0"/>
                                                                      <w:marRight w:val="0"/>
                                                                      <w:marTop w:val="0"/>
                                                                      <w:marBottom w:val="0"/>
                                                                      <w:divBdr>
                                                                        <w:top w:val="none" w:sz="0" w:space="0" w:color="auto"/>
                                                                        <w:left w:val="none" w:sz="0" w:space="0" w:color="auto"/>
                                                                        <w:bottom w:val="none" w:sz="0" w:space="0" w:color="auto"/>
                                                                        <w:right w:val="none" w:sz="0" w:space="0" w:color="auto"/>
                                                                      </w:divBdr>
                                                                    </w:div>
                                                                  </w:divsChild>
                                                                </w:div>
                                                                <w:div w:id="1056200807">
                                                                  <w:marLeft w:val="0"/>
                                                                  <w:marRight w:val="0"/>
                                                                  <w:marTop w:val="0"/>
                                                                  <w:marBottom w:val="0"/>
                                                                  <w:divBdr>
                                                                    <w:top w:val="none" w:sz="0" w:space="0" w:color="auto"/>
                                                                    <w:left w:val="none" w:sz="0" w:space="0" w:color="auto"/>
                                                                    <w:bottom w:val="none" w:sz="0" w:space="0" w:color="auto"/>
                                                                    <w:right w:val="none" w:sz="0" w:space="0" w:color="auto"/>
                                                                  </w:divBdr>
                                                                </w:div>
                                                                <w:div w:id="1124470959">
                                                                  <w:marLeft w:val="0"/>
                                                                  <w:marRight w:val="0"/>
                                                                  <w:marTop w:val="120"/>
                                                                  <w:marBottom w:val="120"/>
                                                                  <w:divBdr>
                                                                    <w:top w:val="none" w:sz="0" w:space="0" w:color="auto"/>
                                                                    <w:left w:val="none" w:sz="0" w:space="0" w:color="auto"/>
                                                                    <w:bottom w:val="none" w:sz="0" w:space="0" w:color="auto"/>
                                                                    <w:right w:val="none" w:sz="0" w:space="0" w:color="auto"/>
                                                                  </w:divBdr>
                                                                  <w:divsChild>
                                                                    <w:div w:id="2021547797">
                                                                      <w:marLeft w:val="0"/>
                                                                      <w:marRight w:val="0"/>
                                                                      <w:marTop w:val="0"/>
                                                                      <w:marBottom w:val="0"/>
                                                                      <w:divBdr>
                                                                        <w:top w:val="none" w:sz="0" w:space="0" w:color="auto"/>
                                                                        <w:left w:val="none" w:sz="0" w:space="0" w:color="auto"/>
                                                                        <w:bottom w:val="none" w:sz="0" w:space="0" w:color="auto"/>
                                                                        <w:right w:val="none" w:sz="0" w:space="0" w:color="auto"/>
                                                                      </w:divBdr>
                                                                    </w:div>
                                                                  </w:divsChild>
                                                                </w:div>
                                                                <w:div w:id="1470316005">
                                                                  <w:marLeft w:val="0"/>
                                                                  <w:marRight w:val="0"/>
                                                                  <w:marTop w:val="0"/>
                                                                  <w:marBottom w:val="0"/>
                                                                  <w:divBdr>
                                                                    <w:top w:val="none" w:sz="0" w:space="0" w:color="auto"/>
                                                                    <w:left w:val="none" w:sz="0" w:space="0" w:color="auto"/>
                                                                    <w:bottom w:val="none" w:sz="0" w:space="0" w:color="auto"/>
                                                                    <w:right w:val="none" w:sz="0" w:space="0" w:color="auto"/>
                                                                  </w:divBdr>
                                                                </w:div>
                                                                <w:div w:id="1546024993">
                                                                  <w:marLeft w:val="0"/>
                                                                  <w:marRight w:val="0"/>
                                                                  <w:marTop w:val="0"/>
                                                                  <w:marBottom w:val="0"/>
                                                                  <w:divBdr>
                                                                    <w:top w:val="none" w:sz="0" w:space="0" w:color="auto"/>
                                                                    <w:left w:val="none" w:sz="0" w:space="0" w:color="auto"/>
                                                                    <w:bottom w:val="none" w:sz="0" w:space="0" w:color="auto"/>
                                                                    <w:right w:val="none" w:sz="0" w:space="0" w:color="auto"/>
                                                                  </w:divBdr>
                                                                </w:div>
                                                                <w:div w:id="1778058856">
                                                                  <w:marLeft w:val="0"/>
                                                                  <w:marRight w:val="0"/>
                                                                  <w:marTop w:val="0"/>
                                                                  <w:marBottom w:val="0"/>
                                                                  <w:divBdr>
                                                                    <w:top w:val="none" w:sz="0" w:space="0" w:color="auto"/>
                                                                    <w:left w:val="none" w:sz="0" w:space="0" w:color="auto"/>
                                                                    <w:bottom w:val="none" w:sz="0" w:space="0" w:color="auto"/>
                                                                    <w:right w:val="none" w:sz="0" w:space="0" w:color="auto"/>
                                                                  </w:divBdr>
                                                                </w:div>
                                                                <w:div w:id="1784882538">
                                                                  <w:marLeft w:val="0"/>
                                                                  <w:marRight w:val="0"/>
                                                                  <w:marTop w:val="0"/>
                                                                  <w:marBottom w:val="0"/>
                                                                  <w:divBdr>
                                                                    <w:top w:val="none" w:sz="0" w:space="0" w:color="auto"/>
                                                                    <w:left w:val="none" w:sz="0" w:space="0" w:color="auto"/>
                                                                    <w:bottom w:val="none" w:sz="0" w:space="0" w:color="auto"/>
                                                                    <w:right w:val="none" w:sz="0" w:space="0" w:color="auto"/>
                                                                  </w:divBdr>
                                                                </w:div>
                                                                <w:div w:id="1791127050">
                                                                  <w:marLeft w:val="0"/>
                                                                  <w:marRight w:val="0"/>
                                                                  <w:marTop w:val="0"/>
                                                                  <w:marBottom w:val="0"/>
                                                                  <w:divBdr>
                                                                    <w:top w:val="none" w:sz="0" w:space="0" w:color="auto"/>
                                                                    <w:left w:val="none" w:sz="0" w:space="0" w:color="auto"/>
                                                                    <w:bottom w:val="none" w:sz="0" w:space="0" w:color="auto"/>
                                                                    <w:right w:val="none" w:sz="0" w:space="0" w:color="auto"/>
                                                                  </w:divBdr>
                                                                </w:div>
                                                                <w:div w:id="1806776188">
                                                                  <w:marLeft w:val="0"/>
                                                                  <w:marRight w:val="0"/>
                                                                  <w:marTop w:val="0"/>
                                                                  <w:marBottom w:val="0"/>
                                                                  <w:divBdr>
                                                                    <w:top w:val="none" w:sz="0" w:space="0" w:color="auto"/>
                                                                    <w:left w:val="none" w:sz="0" w:space="0" w:color="auto"/>
                                                                    <w:bottom w:val="none" w:sz="0" w:space="0" w:color="auto"/>
                                                                    <w:right w:val="none" w:sz="0" w:space="0" w:color="auto"/>
                                                                  </w:divBdr>
                                                                </w:div>
                                                                <w:div w:id="1839037164">
                                                                  <w:marLeft w:val="0"/>
                                                                  <w:marRight w:val="0"/>
                                                                  <w:marTop w:val="0"/>
                                                                  <w:marBottom w:val="0"/>
                                                                  <w:divBdr>
                                                                    <w:top w:val="none" w:sz="0" w:space="0" w:color="auto"/>
                                                                    <w:left w:val="none" w:sz="0" w:space="0" w:color="auto"/>
                                                                    <w:bottom w:val="none" w:sz="0" w:space="0" w:color="auto"/>
                                                                    <w:right w:val="none" w:sz="0" w:space="0" w:color="auto"/>
                                                                  </w:divBdr>
                                                                </w:div>
                                                                <w:div w:id="1870485646">
                                                                  <w:marLeft w:val="0"/>
                                                                  <w:marRight w:val="0"/>
                                                                  <w:marTop w:val="120"/>
                                                                  <w:marBottom w:val="120"/>
                                                                  <w:divBdr>
                                                                    <w:top w:val="none" w:sz="0" w:space="0" w:color="auto"/>
                                                                    <w:left w:val="none" w:sz="0" w:space="0" w:color="auto"/>
                                                                    <w:bottom w:val="none" w:sz="0" w:space="0" w:color="auto"/>
                                                                    <w:right w:val="none" w:sz="0" w:space="0" w:color="auto"/>
                                                                  </w:divBdr>
                                                                  <w:divsChild>
                                                                    <w:div w:id="236063755">
                                                                      <w:marLeft w:val="0"/>
                                                                      <w:marRight w:val="0"/>
                                                                      <w:marTop w:val="0"/>
                                                                      <w:marBottom w:val="0"/>
                                                                      <w:divBdr>
                                                                        <w:top w:val="none" w:sz="0" w:space="0" w:color="auto"/>
                                                                        <w:left w:val="none" w:sz="0" w:space="0" w:color="auto"/>
                                                                        <w:bottom w:val="none" w:sz="0" w:space="0" w:color="auto"/>
                                                                        <w:right w:val="none" w:sz="0" w:space="0" w:color="auto"/>
                                                                      </w:divBdr>
                                                                    </w:div>
                                                                    <w:div w:id="417869810">
                                                                      <w:marLeft w:val="0"/>
                                                                      <w:marRight w:val="0"/>
                                                                      <w:marTop w:val="0"/>
                                                                      <w:marBottom w:val="0"/>
                                                                      <w:divBdr>
                                                                        <w:top w:val="none" w:sz="0" w:space="0" w:color="auto"/>
                                                                        <w:left w:val="none" w:sz="0" w:space="0" w:color="auto"/>
                                                                        <w:bottom w:val="none" w:sz="0" w:space="0" w:color="auto"/>
                                                                        <w:right w:val="none" w:sz="0" w:space="0" w:color="auto"/>
                                                                      </w:divBdr>
                                                                    </w:div>
                                                                    <w:div w:id="539828045">
                                                                      <w:marLeft w:val="0"/>
                                                                      <w:marRight w:val="0"/>
                                                                      <w:marTop w:val="0"/>
                                                                      <w:marBottom w:val="0"/>
                                                                      <w:divBdr>
                                                                        <w:top w:val="none" w:sz="0" w:space="0" w:color="auto"/>
                                                                        <w:left w:val="none" w:sz="0" w:space="0" w:color="auto"/>
                                                                        <w:bottom w:val="none" w:sz="0" w:space="0" w:color="auto"/>
                                                                        <w:right w:val="none" w:sz="0" w:space="0" w:color="auto"/>
                                                                      </w:divBdr>
                                                                    </w:div>
                                                                    <w:div w:id="1694188184">
                                                                      <w:marLeft w:val="0"/>
                                                                      <w:marRight w:val="0"/>
                                                                      <w:marTop w:val="0"/>
                                                                      <w:marBottom w:val="0"/>
                                                                      <w:divBdr>
                                                                        <w:top w:val="none" w:sz="0" w:space="0" w:color="auto"/>
                                                                        <w:left w:val="none" w:sz="0" w:space="0" w:color="auto"/>
                                                                        <w:bottom w:val="none" w:sz="0" w:space="0" w:color="auto"/>
                                                                        <w:right w:val="none" w:sz="0" w:space="0" w:color="auto"/>
                                                                      </w:divBdr>
                                                                    </w:div>
                                                                    <w:div w:id="1768387923">
                                                                      <w:marLeft w:val="0"/>
                                                                      <w:marRight w:val="0"/>
                                                                      <w:marTop w:val="0"/>
                                                                      <w:marBottom w:val="0"/>
                                                                      <w:divBdr>
                                                                        <w:top w:val="none" w:sz="0" w:space="0" w:color="auto"/>
                                                                        <w:left w:val="none" w:sz="0" w:space="0" w:color="auto"/>
                                                                        <w:bottom w:val="none" w:sz="0" w:space="0" w:color="auto"/>
                                                                        <w:right w:val="none" w:sz="0" w:space="0" w:color="auto"/>
                                                                      </w:divBdr>
                                                                    </w:div>
                                                                  </w:divsChild>
                                                                </w:div>
                                                                <w:div w:id="1880430303">
                                                                  <w:marLeft w:val="0"/>
                                                                  <w:marRight w:val="0"/>
                                                                  <w:marTop w:val="0"/>
                                                                  <w:marBottom w:val="0"/>
                                                                  <w:divBdr>
                                                                    <w:top w:val="none" w:sz="0" w:space="0" w:color="auto"/>
                                                                    <w:left w:val="none" w:sz="0" w:space="0" w:color="auto"/>
                                                                    <w:bottom w:val="none" w:sz="0" w:space="0" w:color="auto"/>
                                                                    <w:right w:val="none" w:sz="0" w:space="0" w:color="auto"/>
                                                                  </w:divBdr>
                                                                </w:div>
                                                                <w:div w:id="1944220486">
                                                                  <w:marLeft w:val="0"/>
                                                                  <w:marRight w:val="0"/>
                                                                  <w:marTop w:val="0"/>
                                                                  <w:marBottom w:val="0"/>
                                                                  <w:divBdr>
                                                                    <w:top w:val="none" w:sz="0" w:space="0" w:color="auto"/>
                                                                    <w:left w:val="none" w:sz="0" w:space="0" w:color="auto"/>
                                                                    <w:bottom w:val="none" w:sz="0" w:space="0" w:color="auto"/>
                                                                    <w:right w:val="none" w:sz="0" w:space="0" w:color="auto"/>
                                                                  </w:divBdr>
                                                                </w:div>
                                                                <w:div w:id="197879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33105589">
      <w:bodyDiv w:val="1"/>
      <w:marLeft w:val="0"/>
      <w:marRight w:val="0"/>
      <w:marTop w:val="0"/>
      <w:marBottom w:val="0"/>
      <w:divBdr>
        <w:top w:val="none" w:sz="0" w:space="0" w:color="auto"/>
        <w:left w:val="none" w:sz="0" w:space="0" w:color="auto"/>
        <w:bottom w:val="none" w:sz="0" w:space="0" w:color="auto"/>
        <w:right w:val="none" w:sz="0" w:space="0" w:color="auto"/>
      </w:divBdr>
      <w:divsChild>
        <w:div w:id="1717198368">
          <w:marLeft w:val="0"/>
          <w:marRight w:val="0"/>
          <w:marTop w:val="105"/>
          <w:marBottom w:val="30"/>
          <w:divBdr>
            <w:top w:val="none" w:sz="0" w:space="0" w:color="auto"/>
            <w:left w:val="none" w:sz="0" w:space="0" w:color="auto"/>
            <w:bottom w:val="none" w:sz="0" w:space="0" w:color="auto"/>
            <w:right w:val="none" w:sz="0" w:space="0" w:color="auto"/>
          </w:divBdr>
          <w:divsChild>
            <w:div w:id="1246568092">
              <w:marLeft w:val="0"/>
              <w:marRight w:val="0"/>
              <w:marTop w:val="0"/>
              <w:marBottom w:val="0"/>
              <w:divBdr>
                <w:top w:val="none" w:sz="0" w:space="0" w:color="auto"/>
                <w:left w:val="none" w:sz="0" w:space="0" w:color="auto"/>
                <w:bottom w:val="none" w:sz="0" w:space="0" w:color="auto"/>
                <w:right w:val="none" w:sz="0" w:space="0" w:color="auto"/>
              </w:divBdr>
              <w:divsChild>
                <w:div w:id="122572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634504">
          <w:marLeft w:val="0"/>
          <w:marRight w:val="0"/>
          <w:marTop w:val="0"/>
          <w:marBottom w:val="0"/>
          <w:divBdr>
            <w:top w:val="none" w:sz="0" w:space="0" w:color="auto"/>
            <w:left w:val="none" w:sz="0" w:space="0" w:color="auto"/>
            <w:bottom w:val="none" w:sz="0" w:space="0" w:color="auto"/>
            <w:right w:val="none" w:sz="0" w:space="0" w:color="auto"/>
          </w:divBdr>
          <w:divsChild>
            <w:div w:id="513761876">
              <w:marLeft w:val="0"/>
              <w:marRight w:val="0"/>
              <w:marTop w:val="0"/>
              <w:marBottom w:val="0"/>
              <w:divBdr>
                <w:top w:val="none" w:sz="0" w:space="0" w:color="auto"/>
                <w:left w:val="none" w:sz="0" w:space="0" w:color="auto"/>
                <w:bottom w:val="none" w:sz="0" w:space="0" w:color="auto"/>
                <w:right w:val="none" w:sz="0" w:space="0" w:color="auto"/>
              </w:divBdr>
              <w:divsChild>
                <w:div w:id="1786539430">
                  <w:marLeft w:val="0"/>
                  <w:marRight w:val="60"/>
                  <w:marTop w:val="0"/>
                  <w:marBottom w:val="0"/>
                  <w:divBdr>
                    <w:top w:val="none" w:sz="0" w:space="0" w:color="auto"/>
                    <w:left w:val="none" w:sz="0" w:space="0" w:color="auto"/>
                    <w:bottom w:val="none" w:sz="0" w:space="0" w:color="auto"/>
                    <w:right w:val="none" w:sz="0" w:space="0" w:color="auto"/>
                  </w:divBdr>
                  <w:divsChild>
                    <w:div w:id="1949465121">
                      <w:marLeft w:val="0"/>
                      <w:marRight w:val="0"/>
                      <w:marTop w:val="0"/>
                      <w:marBottom w:val="120"/>
                      <w:divBdr>
                        <w:top w:val="single" w:sz="6" w:space="0" w:color="C0C0C0"/>
                        <w:left w:val="single" w:sz="6" w:space="0" w:color="D9D9D9"/>
                        <w:bottom w:val="single" w:sz="6" w:space="0" w:color="D9D9D9"/>
                        <w:right w:val="single" w:sz="6" w:space="0" w:color="D9D9D9"/>
                      </w:divBdr>
                      <w:divsChild>
                        <w:div w:id="548495339">
                          <w:marLeft w:val="0"/>
                          <w:marRight w:val="0"/>
                          <w:marTop w:val="0"/>
                          <w:marBottom w:val="0"/>
                          <w:divBdr>
                            <w:top w:val="none" w:sz="0" w:space="0" w:color="auto"/>
                            <w:left w:val="none" w:sz="0" w:space="0" w:color="auto"/>
                            <w:bottom w:val="none" w:sz="0" w:space="0" w:color="auto"/>
                            <w:right w:val="none" w:sz="0" w:space="0" w:color="auto"/>
                          </w:divBdr>
                        </w:div>
                        <w:div w:id="190776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271120">
              <w:marLeft w:val="0"/>
              <w:marRight w:val="0"/>
              <w:marTop w:val="0"/>
              <w:marBottom w:val="0"/>
              <w:divBdr>
                <w:top w:val="none" w:sz="0" w:space="0" w:color="auto"/>
                <w:left w:val="none" w:sz="0" w:space="0" w:color="auto"/>
                <w:bottom w:val="none" w:sz="0" w:space="0" w:color="auto"/>
                <w:right w:val="none" w:sz="0" w:space="0" w:color="auto"/>
              </w:divBdr>
              <w:divsChild>
                <w:div w:id="253972871">
                  <w:marLeft w:val="60"/>
                  <w:marRight w:val="0"/>
                  <w:marTop w:val="0"/>
                  <w:marBottom w:val="0"/>
                  <w:divBdr>
                    <w:top w:val="none" w:sz="0" w:space="0" w:color="auto"/>
                    <w:left w:val="none" w:sz="0" w:space="0" w:color="auto"/>
                    <w:bottom w:val="none" w:sz="0" w:space="0" w:color="auto"/>
                    <w:right w:val="none" w:sz="0" w:space="0" w:color="auto"/>
                  </w:divBdr>
                  <w:divsChild>
                    <w:div w:id="721710979">
                      <w:marLeft w:val="0"/>
                      <w:marRight w:val="0"/>
                      <w:marTop w:val="0"/>
                      <w:marBottom w:val="0"/>
                      <w:divBdr>
                        <w:top w:val="none" w:sz="0" w:space="0" w:color="auto"/>
                        <w:left w:val="none" w:sz="0" w:space="0" w:color="auto"/>
                        <w:bottom w:val="none" w:sz="0" w:space="0" w:color="auto"/>
                        <w:right w:val="none" w:sz="0" w:space="0" w:color="auto"/>
                      </w:divBdr>
                      <w:divsChild>
                        <w:div w:id="1679963077">
                          <w:marLeft w:val="0"/>
                          <w:marRight w:val="0"/>
                          <w:marTop w:val="0"/>
                          <w:marBottom w:val="120"/>
                          <w:divBdr>
                            <w:top w:val="single" w:sz="6" w:space="0" w:color="F5F5F5"/>
                            <w:left w:val="single" w:sz="6" w:space="0" w:color="F5F5F5"/>
                            <w:bottom w:val="single" w:sz="6" w:space="0" w:color="F5F5F5"/>
                            <w:right w:val="single" w:sz="6" w:space="0" w:color="F5F5F5"/>
                          </w:divBdr>
                          <w:divsChild>
                            <w:div w:id="1886867884">
                              <w:marLeft w:val="0"/>
                              <w:marRight w:val="0"/>
                              <w:marTop w:val="0"/>
                              <w:marBottom w:val="0"/>
                              <w:divBdr>
                                <w:top w:val="none" w:sz="0" w:space="0" w:color="auto"/>
                                <w:left w:val="none" w:sz="0" w:space="0" w:color="auto"/>
                                <w:bottom w:val="none" w:sz="0" w:space="0" w:color="auto"/>
                                <w:right w:val="none" w:sz="0" w:space="0" w:color="auto"/>
                              </w:divBdr>
                              <w:divsChild>
                                <w:div w:id="172767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7310396">
      <w:bodyDiv w:val="1"/>
      <w:marLeft w:val="0"/>
      <w:marRight w:val="0"/>
      <w:marTop w:val="0"/>
      <w:marBottom w:val="0"/>
      <w:divBdr>
        <w:top w:val="none" w:sz="0" w:space="0" w:color="auto"/>
        <w:left w:val="none" w:sz="0" w:space="0" w:color="auto"/>
        <w:bottom w:val="none" w:sz="0" w:space="0" w:color="auto"/>
        <w:right w:val="none" w:sz="0" w:space="0" w:color="auto"/>
      </w:divBdr>
    </w:div>
    <w:div w:id="1549411940">
      <w:bodyDiv w:val="1"/>
      <w:marLeft w:val="0"/>
      <w:marRight w:val="0"/>
      <w:marTop w:val="0"/>
      <w:marBottom w:val="0"/>
      <w:divBdr>
        <w:top w:val="none" w:sz="0" w:space="0" w:color="auto"/>
        <w:left w:val="none" w:sz="0" w:space="0" w:color="auto"/>
        <w:bottom w:val="none" w:sz="0" w:space="0" w:color="auto"/>
        <w:right w:val="none" w:sz="0" w:space="0" w:color="auto"/>
      </w:divBdr>
    </w:div>
    <w:div w:id="1555434326">
      <w:bodyDiv w:val="1"/>
      <w:marLeft w:val="0"/>
      <w:marRight w:val="0"/>
      <w:marTop w:val="0"/>
      <w:marBottom w:val="0"/>
      <w:divBdr>
        <w:top w:val="none" w:sz="0" w:space="0" w:color="auto"/>
        <w:left w:val="none" w:sz="0" w:space="0" w:color="auto"/>
        <w:bottom w:val="none" w:sz="0" w:space="0" w:color="auto"/>
        <w:right w:val="none" w:sz="0" w:space="0" w:color="auto"/>
      </w:divBdr>
    </w:div>
    <w:div w:id="1561475234">
      <w:bodyDiv w:val="1"/>
      <w:marLeft w:val="0"/>
      <w:marRight w:val="0"/>
      <w:marTop w:val="0"/>
      <w:marBottom w:val="0"/>
      <w:divBdr>
        <w:top w:val="none" w:sz="0" w:space="0" w:color="auto"/>
        <w:left w:val="none" w:sz="0" w:space="0" w:color="auto"/>
        <w:bottom w:val="none" w:sz="0" w:space="0" w:color="auto"/>
        <w:right w:val="none" w:sz="0" w:space="0" w:color="auto"/>
      </w:divBdr>
    </w:div>
    <w:div w:id="1568147455">
      <w:bodyDiv w:val="1"/>
      <w:marLeft w:val="0"/>
      <w:marRight w:val="0"/>
      <w:marTop w:val="0"/>
      <w:marBottom w:val="0"/>
      <w:divBdr>
        <w:top w:val="none" w:sz="0" w:space="0" w:color="auto"/>
        <w:left w:val="none" w:sz="0" w:space="0" w:color="auto"/>
        <w:bottom w:val="none" w:sz="0" w:space="0" w:color="auto"/>
        <w:right w:val="none" w:sz="0" w:space="0" w:color="auto"/>
      </w:divBdr>
      <w:divsChild>
        <w:div w:id="273830153">
          <w:marLeft w:val="0"/>
          <w:marRight w:val="0"/>
          <w:marTop w:val="0"/>
          <w:marBottom w:val="0"/>
          <w:divBdr>
            <w:top w:val="none" w:sz="0" w:space="0" w:color="auto"/>
            <w:left w:val="none" w:sz="0" w:space="0" w:color="auto"/>
            <w:bottom w:val="none" w:sz="0" w:space="0" w:color="auto"/>
            <w:right w:val="none" w:sz="0" w:space="0" w:color="auto"/>
          </w:divBdr>
        </w:div>
      </w:divsChild>
    </w:div>
    <w:div w:id="1568877305">
      <w:bodyDiv w:val="1"/>
      <w:marLeft w:val="0"/>
      <w:marRight w:val="0"/>
      <w:marTop w:val="0"/>
      <w:marBottom w:val="0"/>
      <w:divBdr>
        <w:top w:val="none" w:sz="0" w:space="0" w:color="auto"/>
        <w:left w:val="none" w:sz="0" w:space="0" w:color="auto"/>
        <w:bottom w:val="none" w:sz="0" w:space="0" w:color="auto"/>
        <w:right w:val="none" w:sz="0" w:space="0" w:color="auto"/>
      </w:divBdr>
    </w:div>
    <w:div w:id="1576091989">
      <w:bodyDiv w:val="1"/>
      <w:marLeft w:val="0"/>
      <w:marRight w:val="0"/>
      <w:marTop w:val="0"/>
      <w:marBottom w:val="0"/>
      <w:divBdr>
        <w:top w:val="none" w:sz="0" w:space="0" w:color="auto"/>
        <w:left w:val="none" w:sz="0" w:space="0" w:color="auto"/>
        <w:bottom w:val="none" w:sz="0" w:space="0" w:color="auto"/>
        <w:right w:val="none" w:sz="0" w:space="0" w:color="auto"/>
      </w:divBdr>
    </w:div>
    <w:div w:id="1588541140">
      <w:bodyDiv w:val="1"/>
      <w:marLeft w:val="0"/>
      <w:marRight w:val="0"/>
      <w:marTop w:val="0"/>
      <w:marBottom w:val="0"/>
      <w:divBdr>
        <w:top w:val="none" w:sz="0" w:space="0" w:color="auto"/>
        <w:left w:val="none" w:sz="0" w:space="0" w:color="auto"/>
        <w:bottom w:val="none" w:sz="0" w:space="0" w:color="auto"/>
        <w:right w:val="none" w:sz="0" w:space="0" w:color="auto"/>
      </w:divBdr>
    </w:div>
    <w:div w:id="1593316488">
      <w:bodyDiv w:val="1"/>
      <w:marLeft w:val="0"/>
      <w:marRight w:val="0"/>
      <w:marTop w:val="0"/>
      <w:marBottom w:val="0"/>
      <w:divBdr>
        <w:top w:val="none" w:sz="0" w:space="0" w:color="auto"/>
        <w:left w:val="none" w:sz="0" w:space="0" w:color="auto"/>
        <w:bottom w:val="none" w:sz="0" w:space="0" w:color="auto"/>
        <w:right w:val="none" w:sz="0" w:space="0" w:color="auto"/>
      </w:divBdr>
      <w:divsChild>
        <w:div w:id="719981658">
          <w:marLeft w:val="0"/>
          <w:marRight w:val="0"/>
          <w:marTop w:val="0"/>
          <w:marBottom w:val="0"/>
          <w:divBdr>
            <w:top w:val="none" w:sz="0" w:space="0" w:color="auto"/>
            <w:left w:val="none" w:sz="0" w:space="0" w:color="auto"/>
            <w:bottom w:val="none" w:sz="0" w:space="0" w:color="auto"/>
            <w:right w:val="none" w:sz="0" w:space="0" w:color="auto"/>
          </w:divBdr>
          <w:divsChild>
            <w:div w:id="1894194482">
              <w:marLeft w:val="0"/>
              <w:marRight w:val="0"/>
              <w:marTop w:val="72"/>
              <w:marBottom w:val="0"/>
              <w:divBdr>
                <w:top w:val="none" w:sz="0" w:space="0" w:color="auto"/>
                <w:left w:val="none" w:sz="0" w:space="0" w:color="auto"/>
                <w:bottom w:val="none" w:sz="0" w:space="0" w:color="auto"/>
                <w:right w:val="none" w:sz="0" w:space="0" w:color="auto"/>
              </w:divBdr>
              <w:divsChild>
                <w:div w:id="88147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148476">
      <w:bodyDiv w:val="1"/>
      <w:marLeft w:val="0"/>
      <w:marRight w:val="0"/>
      <w:marTop w:val="0"/>
      <w:marBottom w:val="0"/>
      <w:divBdr>
        <w:top w:val="none" w:sz="0" w:space="0" w:color="auto"/>
        <w:left w:val="none" w:sz="0" w:space="0" w:color="auto"/>
        <w:bottom w:val="none" w:sz="0" w:space="0" w:color="auto"/>
        <w:right w:val="none" w:sz="0" w:space="0" w:color="auto"/>
      </w:divBdr>
      <w:divsChild>
        <w:div w:id="2268438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30980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04219709">
      <w:bodyDiv w:val="1"/>
      <w:marLeft w:val="0"/>
      <w:marRight w:val="0"/>
      <w:marTop w:val="0"/>
      <w:marBottom w:val="0"/>
      <w:divBdr>
        <w:top w:val="none" w:sz="0" w:space="0" w:color="auto"/>
        <w:left w:val="none" w:sz="0" w:space="0" w:color="auto"/>
        <w:bottom w:val="none" w:sz="0" w:space="0" w:color="auto"/>
        <w:right w:val="none" w:sz="0" w:space="0" w:color="auto"/>
      </w:divBdr>
      <w:divsChild>
        <w:div w:id="1594971942">
          <w:marLeft w:val="0"/>
          <w:marRight w:val="0"/>
          <w:marTop w:val="0"/>
          <w:marBottom w:val="0"/>
          <w:divBdr>
            <w:top w:val="none" w:sz="0" w:space="0" w:color="auto"/>
            <w:left w:val="none" w:sz="0" w:space="0" w:color="auto"/>
            <w:bottom w:val="none" w:sz="0" w:space="0" w:color="auto"/>
            <w:right w:val="none" w:sz="0" w:space="0" w:color="auto"/>
          </w:divBdr>
          <w:divsChild>
            <w:div w:id="1111558454">
              <w:marLeft w:val="0"/>
              <w:marRight w:val="0"/>
              <w:marTop w:val="0"/>
              <w:marBottom w:val="0"/>
              <w:divBdr>
                <w:top w:val="none" w:sz="0" w:space="0" w:color="auto"/>
                <w:left w:val="none" w:sz="0" w:space="0" w:color="auto"/>
                <w:bottom w:val="none" w:sz="0" w:space="0" w:color="auto"/>
                <w:right w:val="none" w:sz="0" w:space="0" w:color="auto"/>
              </w:divBdr>
              <w:divsChild>
                <w:div w:id="1234202507">
                  <w:marLeft w:val="0"/>
                  <w:marRight w:val="0"/>
                  <w:marTop w:val="0"/>
                  <w:marBottom w:val="0"/>
                  <w:divBdr>
                    <w:top w:val="none" w:sz="0" w:space="0" w:color="auto"/>
                    <w:left w:val="none" w:sz="0" w:space="0" w:color="auto"/>
                    <w:bottom w:val="none" w:sz="0" w:space="0" w:color="auto"/>
                    <w:right w:val="none" w:sz="0" w:space="0" w:color="auto"/>
                  </w:divBdr>
                  <w:divsChild>
                    <w:div w:id="2031175203">
                      <w:marLeft w:val="0"/>
                      <w:marRight w:val="0"/>
                      <w:marTop w:val="0"/>
                      <w:marBottom w:val="0"/>
                      <w:divBdr>
                        <w:top w:val="none" w:sz="0" w:space="0" w:color="auto"/>
                        <w:left w:val="none" w:sz="0" w:space="0" w:color="auto"/>
                        <w:bottom w:val="none" w:sz="0" w:space="0" w:color="auto"/>
                        <w:right w:val="none" w:sz="0" w:space="0" w:color="auto"/>
                      </w:divBdr>
                      <w:divsChild>
                        <w:div w:id="331416319">
                          <w:marLeft w:val="0"/>
                          <w:marRight w:val="0"/>
                          <w:marTop w:val="0"/>
                          <w:marBottom w:val="0"/>
                          <w:divBdr>
                            <w:top w:val="none" w:sz="0" w:space="0" w:color="auto"/>
                            <w:left w:val="none" w:sz="0" w:space="0" w:color="auto"/>
                            <w:bottom w:val="none" w:sz="0" w:space="0" w:color="auto"/>
                            <w:right w:val="none" w:sz="0" w:space="0" w:color="auto"/>
                          </w:divBdr>
                          <w:divsChild>
                            <w:div w:id="1235431331">
                              <w:marLeft w:val="0"/>
                              <w:marRight w:val="0"/>
                              <w:marTop w:val="0"/>
                              <w:marBottom w:val="0"/>
                              <w:divBdr>
                                <w:top w:val="none" w:sz="0" w:space="0" w:color="auto"/>
                                <w:left w:val="none" w:sz="0" w:space="0" w:color="auto"/>
                                <w:bottom w:val="none" w:sz="0" w:space="0" w:color="auto"/>
                                <w:right w:val="none" w:sz="0" w:space="0" w:color="auto"/>
                              </w:divBdr>
                              <w:divsChild>
                                <w:div w:id="1851917908">
                                  <w:marLeft w:val="0"/>
                                  <w:marRight w:val="0"/>
                                  <w:marTop w:val="0"/>
                                  <w:marBottom w:val="0"/>
                                  <w:divBdr>
                                    <w:top w:val="none" w:sz="0" w:space="0" w:color="auto"/>
                                    <w:left w:val="none" w:sz="0" w:space="0" w:color="auto"/>
                                    <w:bottom w:val="none" w:sz="0" w:space="0" w:color="auto"/>
                                    <w:right w:val="none" w:sz="0" w:space="0" w:color="auto"/>
                                  </w:divBdr>
                                  <w:divsChild>
                                    <w:div w:id="1712606480">
                                      <w:marLeft w:val="0"/>
                                      <w:marRight w:val="0"/>
                                      <w:marTop w:val="0"/>
                                      <w:marBottom w:val="0"/>
                                      <w:divBdr>
                                        <w:top w:val="none" w:sz="0" w:space="0" w:color="auto"/>
                                        <w:left w:val="none" w:sz="0" w:space="0" w:color="auto"/>
                                        <w:bottom w:val="none" w:sz="0" w:space="0" w:color="auto"/>
                                        <w:right w:val="none" w:sz="0" w:space="0" w:color="auto"/>
                                      </w:divBdr>
                                      <w:divsChild>
                                        <w:div w:id="647437814">
                                          <w:marLeft w:val="0"/>
                                          <w:marRight w:val="0"/>
                                          <w:marTop w:val="0"/>
                                          <w:marBottom w:val="0"/>
                                          <w:divBdr>
                                            <w:top w:val="none" w:sz="0" w:space="0" w:color="auto"/>
                                            <w:left w:val="none" w:sz="0" w:space="0" w:color="auto"/>
                                            <w:bottom w:val="none" w:sz="0" w:space="0" w:color="auto"/>
                                            <w:right w:val="none" w:sz="0" w:space="0" w:color="auto"/>
                                          </w:divBdr>
                                          <w:divsChild>
                                            <w:div w:id="1003167453">
                                              <w:marLeft w:val="0"/>
                                              <w:marRight w:val="0"/>
                                              <w:marTop w:val="0"/>
                                              <w:marBottom w:val="0"/>
                                              <w:divBdr>
                                                <w:top w:val="none" w:sz="0" w:space="0" w:color="auto"/>
                                                <w:left w:val="none" w:sz="0" w:space="0" w:color="auto"/>
                                                <w:bottom w:val="none" w:sz="0" w:space="0" w:color="auto"/>
                                                <w:right w:val="none" w:sz="0" w:space="0" w:color="auto"/>
                                              </w:divBdr>
                                              <w:divsChild>
                                                <w:div w:id="682320501">
                                                  <w:marLeft w:val="0"/>
                                                  <w:marRight w:val="0"/>
                                                  <w:marTop w:val="0"/>
                                                  <w:marBottom w:val="0"/>
                                                  <w:divBdr>
                                                    <w:top w:val="none" w:sz="0" w:space="0" w:color="auto"/>
                                                    <w:left w:val="none" w:sz="0" w:space="0" w:color="auto"/>
                                                    <w:bottom w:val="none" w:sz="0" w:space="0" w:color="auto"/>
                                                    <w:right w:val="none" w:sz="0" w:space="0" w:color="auto"/>
                                                  </w:divBdr>
                                                  <w:divsChild>
                                                    <w:div w:id="2015648765">
                                                      <w:marLeft w:val="0"/>
                                                      <w:marRight w:val="0"/>
                                                      <w:marTop w:val="0"/>
                                                      <w:marBottom w:val="0"/>
                                                      <w:divBdr>
                                                        <w:top w:val="none" w:sz="0" w:space="0" w:color="auto"/>
                                                        <w:left w:val="none" w:sz="0" w:space="0" w:color="auto"/>
                                                        <w:bottom w:val="none" w:sz="0" w:space="0" w:color="auto"/>
                                                        <w:right w:val="none" w:sz="0" w:space="0" w:color="auto"/>
                                                      </w:divBdr>
                                                      <w:divsChild>
                                                        <w:div w:id="1453015508">
                                                          <w:marLeft w:val="0"/>
                                                          <w:marRight w:val="0"/>
                                                          <w:marTop w:val="0"/>
                                                          <w:marBottom w:val="0"/>
                                                          <w:divBdr>
                                                            <w:top w:val="none" w:sz="0" w:space="0" w:color="auto"/>
                                                            <w:left w:val="none" w:sz="0" w:space="0" w:color="auto"/>
                                                            <w:bottom w:val="none" w:sz="0" w:space="0" w:color="auto"/>
                                                            <w:right w:val="none" w:sz="0" w:space="0" w:color="auto"/>
                                                          </w:divBdr>
                                                          <w:divsChild>
                                                            <w:div w:id="2128961245">
                                                              <w:marLeft w:val="0"/>
                                                              <w:marRight w:val="0"/>
                                                              <w:marTop w:val="0"/>
                                                              <w:marBottom w:val="0"/>
                                                              <w:divBdr>
                                                                <w:top w:val="none" w:sz="0" w:space="0" w:color="auto"/>
                                                                <w:left w:val="none" w:sz="0" w:space="0" w:color="auto"/>
                                                                <w:bottom w:val="none" w:sz="0" w:space="0" w:color="auto"/>
                                                                <w:right w:val="none" w:sz="0" w:space="0" w:color="auto"/>
                                                              </w:divBdr>
                                                              <w:divsChild>
                                                                <w:div w:id="66536502">
                                                                  <w:marLeft w:val="0"/>
                                                                  <w:marRight w:val="0"/>
                                                                  <w:marTop w:val="0"/>
                                                                  <w:marBottom w:val="0"/>
                                                                  <w:divBdr>
                                                                    <w:top w:val="none" w:sz="0" w:space="0" w:color="auto"/>
                                                                    <w:left w:val="none" w:sz="0" w:space="0" w:color="auto"/>
                                                                    <w:bottom w:val="none" w:sz="0" w:space="0" w:color="auto"/>
                                                                    <w:right w:val="none" w:sz="0" w:space="0" w:color="auto"/>
                                                                  </w:divBdr>
                                                                </w:div>
                                                                <w:div w:id="417289060">
                                                                  <w:marLeft w:val="0"/>
                                                                  <w:marRight w:val="0"/>
                                                                  <w:marTop w:val="0"/>
                                                                  <w:marBottom w:val="0"/>
                                                                  <w:divBdr>
                                                                    <w:top w:val="none" w:sz="0" w:space="0" w:color="auto"/>
                                                                    <w:left w:val="none" w:sz="0" w:space="0" w:color="auto"/>
                                                                    <w:bottom w:val="none" w:sz="0" w:space="0" w:color="auto"/>
                                                                    <w:right w:val="none" w:sz="0" w:space="0" w:color="auto"/>
                                                                  </w:divBdr>
                                                                </w:div>
                                                                <w:div w:id="625701150">
                                                                  <w:marLeft w:val="0"/>
                                                                  <w:marRight w:val="0"/>
                                                                  <w:marTop w:val="0"/>
                                                                  <w:marBottom w:val="0"/>
                                                                  <w:divBdr>
                                                                    <w:top w:val="none" w:sz="0" w:space="0" w:color="auto"/>
                                                                    <w:left w:val="none" w:sz="0" w:space="0" w:color="auto"/>
                                                                    <w:bottom w:val="none" w:sz="0" w:space="0" w:color="auto"/>
                                                                    <w:right w:val="none" w:sz="0" w:space="0" w:color="auto"/>
                                                                  </w:divBdr>
                                                                </w:div>
                                                                <w:div w:id="650018529">
                                                                  <w:marLeft w:val="0"/>
                                                                  <w:marRight w:val="0"/>
                                                                  <w:marTop w:val="0"/>
                                                                  <w:marBottom w:val="0"/>
                                                                  <w:divBdr>
                                                                    <w:top w:val="none" w:sz="0" w:space="0" w:color="auto"/>
                                                                    <w:left w:val="none" w:sz="0" w:space="0" w:color="auto"/>
                                                                    <w:bottom w:val="none" w:sz="0" w:space="0" w:color="auto"/>
                                                                    <w:right w:val="none" w:sz="0" w:space="0" w:color="auto"/>
                                                                  </w:divBdr>
                                                                </w:div>
                                                                <w:div w:id="668488413">
                                                                  <w:marLeft w:val="0"/>
                                                                  <w:marRight w:val="0"/>
                                                                  <w:marTop w:val="0"/>
                                                                  <w:marBottom w:val="0"/>
                                                                  <w:divBdr>
                                                                    <w:top w:val="none" w:sz="0" w:space="0" w:color="auto"/>
                                                                    <w:left w:val="none" w:sz="0" w:space="0" w:color="auto"/>
                                                                    <w:bottom w:val="none" w:sz="0" w:space="0" w:color="auto"/>
                                                                    <w:right w:val="none" w:sz="0" w:space="0" w:color="auto"/>
                                                                  </w:divBdr>
                                                                </w:div>
                                                                <w:div w:id="767312912">
                                                                  <w:marLeft w:val="0"/>
                                                                  <w:marRight w:val="0"/>
                                                                  <w:marTop w:val="0"/>
                                                                  <w:marBottom w:val="0"/>
                                                                  <w:divBdr>
                                                                    <w:top w:val="none" w:sz="0" w:space="0" w:color="auto"/>
                                                                    <w:left w:val="none" w:sz="0" w:space="0" w:color="auto"/>
                                                                    <w:bottom w:val="none" w:sz="0" w:space="0" w:color="auto"/>
                                                                    <w:right w:val="none" w:sz="0" w:space="0" w:color="auto"/>
                                                                  </w:divBdr>
                                                                </w:div>
                                                                <w:div w:id="861823902">
                                                                  <w:marLeft w:val="0"/>
                                                                  <w:marRight w:val="0"/>
                                                                  <w:marTop w:val="0"/>
                                                                  <w:marBottom w:val="0"/>
                                                                  <w:divBdr>
                                                                    <w:top w:val="none" w:sz="0" w:space="0" w:color="auto"/>
                                                                    <w:left w:val="none" w:sz="0" w:space="0" w:color="auto"/>
                                                                    <w:bottom w:val="none" w:sz="0" w:space="0" w:color="auto"/>
                                                                    <w:right w:val="none" w:sz="0" w:space="0" w:color="auto"/>
                                                                  </w:divBdr>
                                                                </w:div>
                                                                <w:div w:id="1083260271">
                                                                  <w:marLeft w:val="0"/>
                                                                  <w:marRight w:val="0"/>
                                                                  <w:marTop w:val="0"/>
                                                                  <w:marBottom w:val="0"/>
                                                                  <w:divBdr>
                                                                    <w:top w:val="none" w:sz="0" w:space="0" w:color="auto"/>
                                                                    <w:left w:val="none" w:sz="0" w:space="0" w:color="auto"/>
                                                                    <w:bottom w:val="none" w:sz="0" w:space="0" w:color="auto"/>
                                                                    <w:right w:val="none" w:sz="0" w:space="0" w:color="auto"/>
                                                                  </w:divBdr>
                                                                </w:div>
                                                                <w:div w:id="1143766417">
                                                                  <w:marLeft w:val="0"/>
                                                                  <w:marRight w:val="0"/>
                                                                  <w:marTop w:val="0"/>
                                                                  <w:marBottom w:val="0"/>
                                                                  <w:divBdr>
                                                                    <w:top w:val="none" w:sz="0" w:space="0" w:color="auto"/>
                                                                    <w:left w:val="none" w:sz="0" w:space="0" w:color="auto"/>
                                                                    <w:bottom w:val="none" w:sz="0" w:space="0" w:color="auto"/>
                                                                    <w:right w:val="none" w:sz="0" w:space="0" w:color="auto"/>
                                                                  </w:divBdr>
                                                                </w:div>
                                                                <w:div w:id="1144852464">
                                                                  <w:marLeft w:val="0"/>
                                                                  <w:marRight w:val="0"/>
                                                                  <w:marTop w:val="0"/>
                                                                  <w:marBottom w:val="0"/>
                                                                  <w:divBdr>
                                                                    <w:top w:val="none" w:sz="0" w:space="0" w:color="auto"/>
                                                                    <w:left w:val="none" w:sz="0" w:space="0" w:color="auto"/>
                                                                    <w:bottom w:val="none" w:sz="0" w:space="0" w:color="auto"/>
                                                                    <w:right w:val="none" w:sz="0" w:space="0" w:color="auto"/>
                                                                  </w:divBdr>
                                                                </w:div>
                                                                <w:div w:id="1220677506">
                                                                  <w:marLeft w:val="0"/>
                                                                  <w:marRight w:val="0"/>
                                                                  <w:marTop w:val="120"/>
                                                                  <w:marBottom w:val="120"/>
                                                                  <w:divBdr>
                                                                    <w:top w:val="none" w:sz="0" w:space="0" w:color="auto"/>
                                                                    <w:left w:val="none" w:sz="0" w:space="0" w:color="auto"/>
                                                                    <w:bottom w:val="none" w:sz="0" w:space="0" w:color="auto"/>
                                                                    <w:right w:val="none" w:sz="0" w:space="0" w:color="auto"/>
                                                                  </w:divBdr>
                                                                  <w:divsChild>
                                                                    <w:div w:id="36393203">
                                                                      <w:marLeft w:val="0"/>
                                                                      <w:marRight w:val="0"/>
                                                                      <w:marTop w:val="0"/>
                                                                      <w:marBottom w:val="0"/>
                                                                      <w:divBdr>
                                                                        <w:top w:val="none" w:sz="0" w:space="0" w:color="auto"/>
                                                                        <w:left w:val="none" w:sz="0" w:space="0" w:color="auto"/>
                                                                        <w:bottom w:val="none" w:sz="0" w:space="0" w:color="auto"/>
                                                                        <w:right w:val="none" w:sz="0" w:space="0" w:color="auto"/>
                                                                      </w:divBdr>
                                                                    </w:div>
                                                                    <w:div w:id="160583471">
                                                                      <w:marLeft w:val="0"/>
                                                                      <w:marRight w:val="0"/>
                                                                      <w:marTop w:val="0"/>
                                                                      <w:marBottom w:val="0"/>
                                                                      <w:divBdr>
                                                                        <w:top w:val="none" w:sz="0" w:space="0" w:color="auto"/>
                                                                        <w:left w:val="none" w:sz="0" w:space="0" w:color="auto"/>
                                                                        <w:bottom w:val="none" w:sz="0" w:space="0" w:color="auto"/>
                                                                        <w:right w:val="none" w:sz="0" w:space="0" w:color="auto"/>
                                                                      </w:divBdr>
                                                                    </w:div>
                                                                    <w:div w:id="197863979">
                                                                      <w:marLeft w:val="0"/>
                                                                      <w:marRight w:val="0"/>
                                                                      <w:marTop w:val="0"/>
                                                                      <w:marBottom w:val="0"/>
                                                                      <w:divBdr>
                                                                        <w:top w:val="none" w:sz="0" w:space="0" w:color="auto"/>
                                                                        <w:left w:val="none" w:sz="0" w:space="0" w:color="auto"/>
                                                                        <w:bottom w:val="none" w:sz="0" w:space="0" w:color="auto"/>
                                                                        <w:right w:val="none" w:sz="0" w:space="0" w:color="auto"/>
                                                                      </w:divBdr>
                                                                    </w:div>
                                                                    <w:div w:id="649753872">
                                                                      <w:marLeft w:val="0"/>
                                                                      <w:marRight w:val="0"/>
                                                                      <w:marTop w:val="0"/>
                                                                      <w:marBottom w:val="0"/>
                                                                      <w:divBdr>
                                                                        <w:top w:val="none" w:sz="0" w:space="0" w:color="auto"/>
                                                                        <w:left w:val="none" w:sz="0" w:space="0" w:color="auto"/>
                                                                        <w:bottom w:val="none" w:sz="0" w:space="0" w:color="auto"/>
                                                                        <w:right w:val="none" w:sz="0" w:space="0" w:color="auto"/>
                                                                      </w:divBdr>
                                                                    </w:div>
                                                                    <w:div w:id="650520640">
                                                                      <w:marLeft w:val="0"/>
                                                                      <w:marRight w:val="0"/>
                                                                      <w:marTop w:val="0"/>
                                                                      <w:marBottom w:val="0"/>
                                                                      <w:divBdr>
                                                                        <w:top w:val="none" w:sz="0" w:space="0" w:color="auto"/>
                                                                        <w:left w:val="none" w:sz="0" w:space="0" w:color="auto"/>
                                                                        <w:bottom w:val="none" w:sz="0" w:space="0" w:color="auto"/>
                                                                        <w:right w:val="none" w:sz="0" w:space="0" w:color="auto"/>
                                                                      </w:divBdr>
                                                                    </w:div>
                                                                    <w:div w:id="1253120847">
                                                                      <w:marLeft w:val="0"/>
                                                                      <w:marRight w:val="0"/>
                                                                      <w:marTop w:val="0"/>
                                                                      <w:marBottom w:val="0"/>
                                                                      <w:divBdr>
                                                                        <w:top w:val="none" w:sz="0" w:space="0" w:color="auto"/>
                                                                        <w:left w:val="none" w:sz="0" w:space="0" w:color="auto"/>
                                                                        <w:bottom w:val="none" w:sz="0" w:space="0" w:color="auto"/>
                                                                        <w:right w:val="none" w:sz="0" w:space="0" w:color="auto"/>
                                                                      </w:divBdr>
                                                                    </w:div>
                                                                    <w:div w:id="1472744630">
                                                                      <w:marLeft w:val="0"/>
                                                                      <w:marRight w:val="0"/>
                                                                      <w:marTop w:val="0"/>
                                                                      <w:marBottom w:val="0"/>
                                                                      <w:divBdr>
                                                                        <w:top w:val="none" w:sz="0" w:space="0" w:color="auto"/>
                                                                        <w:left w:val="none" w:sz="0" w:space="0" w:color="auto"/>
                                                                        <w:bottom w:val="none" w:sz="0" w:space="0" w:color="auto"/>
                                                                        <w:right w:val="none" w:sz="0" w:space="0" w:color="auto"/>
                                                                      </w:divBdr>
                                                                    </w:div>
                                                                  </w:divsChild>
                                                                </w:div>
                                                                <w:div w:id="1428386811">
                                                                  <w:marLeft w:val="0"/>
                                                                  <w:marRight w:val="0"/>
                                                                  <w:marTop w:val="0"/>
                                                                  <w:marBottom w:val="0"/>
                                                                  <w:divBdr>
                                                                    <w:top w:val="none" w:sz="0" w:space="0" w:color="auto"/>
                                                                    <w:left w:val="none" w:sz="0" w:space="0" w:color="auto"/>
                                                                    <w:bottom w:val="none" w:sz="0" w:space="0" w:color="auto"/>
                                                                    <w:right w:val="none" w:sz="0" w:space="0" w:color="auto"/>
                                                                  </w:divBdr>
                                                                </w:div>
                                                                <w:div w:id="1451824535">
                                                                  <w:marLeft w:val="0"/>
                                                                  <w:marRight w:val="0"/>
                                                                  <w:marTop w:val="0"/>
                                                                  <w:marBottom w:val="0"/>
                                                                  <w:divBdr>
                                                                    <w:top w:val="none" w:sz="0" w:space="0" w:color="auto"/>
                                                                    <w:left w:val="none" w:sz="0" w:space="0" w:color="auto"/>
                                                                    <w:bottom w:val="none" w:sz="0" w:space="0" w:color="auto"/>
                                                                    <w:right w:val="none" w:sz="0" w:space="0" w:color="auto"/>
                                                                  </w:divBdr>
                                                                </w:div>
                                                                <w:div w:id="1531603235">
                                                                  <w:marLeft w:val="0"/>
                                                                  <w:marRight w:val="0"/>
                                                                  <w:marTop w:val="0"/>
                                                                  <w:marBottom w:val="0"/>
                                                                  <w:divBdr>
                                                                    <w:top w:val="none" w:sz="0" w:space="0" w:color="auto"/>
                                                                    <w:left w:val="none" w:sz="0" w:space="0" w:color="auto"/>
                                                                    <w:bottom w:val="none" w:sz="0" w:space="0" w:color="auto"/>
                                                                    <w:right w:val="none" w:sz="0" w:space="0" w:color="auto"/>
                                                                  </w:divBdr>
                                                                </w:div>
                                                                <w:div w:id="1563638574">
                                                                  <w:marLeft w:val="0"/>
                                                                  <w:marRight w:val="0"/>
                                                                  <w:marTop w:val="0"/>
                                                                  <w:marBottom w:val="0"/>
                                                                  <w:divBdr>
                                                                    <w:top w:val="none" w:sz="0" w:space="0" w:color="auto"/>
                                                                    <w:left w:val="none" w:sz="0" w:space="0" w:color="auto"/>
                                                                    <w:bottom w:val="none" w:sz="0" w:space="0" w:color="auto"/>
                                                                    <w:right w:val="none" w:sz="0" w:space="0" w:color="auto"/>
                                                                  </w:divBdr>
                                                                </w:div>
                                                                <w:div w:id="1598320135">
                                                                  <w:marLeft w:val="0"/>
                                                                  <w:marRight w:val="0"/>
                                                                  <w:marTop w:val="0"/>
                                                                  <w:marBottom w:val="0"/>
                                                                  <w:divBdr>
                                                                    <w:top w:val="none" w:sz="0" w:space="0" w:color="auto"/>
                                                                    <w:left w:val="none" w:sz="0" w:space="0" w:color="auto"/>
                                                                    <w:bottom w:val="none" w:sz="0" w:space="0" w:color="auto"/>
                                                                    <w:right w:val="none" w:sz="0" w:space="0" w:color="auto"/>
                                                                  </w:divBdr>
                                                                </w:div>
                                                                <w:div w:id="1656379189">
                                                                  <w:marLeft w:val="0"/>
                                                                  <w:marRight w:val="0"/>
                                                                  <w:marTop w:val="0"/>
                                                                  <w:marBottom w:val="0"/>
                                                                  <w:divBdr>
                                                                    <w:top w:val="none" w:sz="0" w:space="0" w:color="auto"/>
                                                                    <w:left w:val="none" w:sz="0" w:space="0" w:color="auto"/>
                                                                    <w:bottom w:val="none" w:sz="0" w:space="0" w:color="auto"/>
                                                                    <w:right w:val="none" w:sz="0" w:space="0" w:color="auto"/>
                                                                  </w:divBdr>
                                                                </w:div>
                                                                <w:div w:id="2031058225">
                                                                  <w:marLeft w:val="0"/>
                                                                  <w:marRight w:val="0"/>
                                                                  <w:marTop w:val="0"/>
                                                                  <w:marBottom w:val="0"/>
                                                                  <w:divBdr>
                                                                    <w:top w:val="none" w:sz="0" w:space="0" w:color="auto"/>
                                                                    <w:left w:val="none" w:sz="0" w:space="0" w:color="auto"/>
                                                                    <w:bottom w:val="none" w:sz="0" w:space="0" w:color="auto"/>
                                                                    <w:right w:val="none" w:sz="0" w:space="0" w:color="auto"/>
                                                                  </w:divBdr>
                                                                </w:div>
                                                                <w:div w:id="2042316296">
                                                                  <w:marLeft w:val="0"/>
                                                                  <w:marRight w:val="0"/>
                                                                  <w:marTop w:val="0"/>
                                                                  <w:marBottom w:val="0"/>
                                                                  <w:divBdr>
                                                                    <w:top w:val="none" w:sz="0" w:space="0" w:color="auto"/>
                                                                    <w:left w:val="none" w:sz="0" w:space="0" w:color="auto"/>
                                                                    <w:bottom w:val="none" w:sz="0" w:space="0" w:color="auto"/>
                                                                    <w:right w:val="none" w:sz="0" w:space="0" w:color="auto"/>
                                                                  </w:divBdr>
                                                                </w:div>
                                                                <w:div w:id="2043554985">
                                                                  <w:marLeft w:val="0"/>
                                                                  <w:marRight w:val="0"/>
                                                                  <w:marTop w:val="120"/>
                                                                  <w:marBottom w:val="120"/>
                                                                  <w:divBdr>
                                                                    <w:top w:val="none" w:sz="0" w:space="0" w:color="auto"/>
                                                                    <w:left w:val="none" w:sz="0" w:space="0" w:color="auto"/>
                                                                    <w:bottom w:val="none" w:sz="0" w:space="0" w:color="auto"/>
                                                                    <w:right w:val="none" w:sz="0" w:space="0" w:color="auto"/>
                                                                  </w:divBdr>
                                                                  <w:divsChild>
                                                                    <w:div w:id="364059603">
                                                                      <w:marLeft w:val="0"/>
                                                                      <w:marRight w:val="0"/>
                                                                      <w:marTop w:val="0"/>
                                                                      <w:marBottom w:val="0"/>
                                                                      <w:divBdr>
                                                                        <w:top w:val="none" w:sz="0" w:space="0" w:color="auto"/>
                                                                        <w:left w:val="none" w:sz="0" w:space="0" w:color="auto"/>
                                                                        <w:bottom w:val="none" w:sz="0" w:space="0" w:color="auto"/>
                                                                        <w:right w:val="none" w:sz="0" w:space="0" w:color="auto"/>
                                                                      </w:divBdr>
                                                                    </w:div>
                                                                    <w:div w:id="483087356">
                                                                      <w:marLeft w:val="0"/>
                                                                      <w:marRight w:val="0"/>
                                                                      <w:marTop w:val="0"/>
                                                                      <w:marBottom w:val="0"/>
                                                                      <w:divBdr>
                                                                        <w:top w:val="none" w:sz="0" w:space="0" w:color="auto"/>
                                                                        <w:left w:val="none" w:sz="0" w:space="0" w:color="auto"/>
                                                                        <w:bottom w:val="none" w:sz="0" w:space="0" w:color="auto"/>
                                                                        <w:right w:val="none" w:sz="0" w:space="0" w:color="auto"/>
                                                                      </w:divBdr>
                                                                    </w:div>
                                                                  </w:divsChild>
                                                                </w:div>
                                                                <w:div w:id="2078631476">
                                                                  <w:marLeft w:val="0"/>
                                                                  <w:marRight w:val="0"/>
                                                                  <w:marTop w:val="0"/>
                                                                  <w:marBottom w:val="0"/>
                                                                  <w:divBdr>
                                                                    <w:top w:val="none" w:sz="0" w:space="0" w:color="auto"/>
                                                                    <w:left w:val="none" w:sz="0" w:space="0" w:color="auto"/>
                                                                    <w:bottom w:val="none" w:sz="0" w:space="0" w:color="auto"/>
                                                                    <w:right w:val="none" w:sz="0" w:space="0" w:color="auto"/>
                                                                  </w:divBdr>
                                                                </w:div>
                                                                <w:div w:id="208506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04796917">
      <w:bodyDiv w:val="1"/>
      <w:marLeft w:val="0"/>
      <w:marRight w:val="0"/>
      <w:marTop w:val="0"/>
      <w:marBottom w:val="0"/>
      <w:divBdr>
        <w:top w:val="none" w:sz="0" w:space="0" w:color="auto"/>
        <w:left w:val="none" w:sz="0" w:space="0" w:color="auto"/>
        <w:bottom w:val="none" w:sz="0" w:space="0" w:color="auto"/>
        <w:right w:val="none" w:sz="0" w:space="0" w:color="auto"/>
      </w:divBdr>
    </w:div>
    <w:div w:id="1605266921">
      <w:bodyDiv w:val="1"/>
      <w:marLeft w:val="0"/>
      <w:marRight w:val="0"/>
      <w:marTop w:val="0"/>
      <w:marBottom w:val="0"/>
      <w:divBdr>
        <w:top w:val="none" w:sz="0" w:space="0" w:color="auto"/>
        <w:left w:val="none" w:sz="0" w:space="0" w:color="auto"/>
        <w:bottom w:val="none" w:sz="0" w:space="0" w:color="auto"/>
        <w:right w:val="none" w:sz="0" w:space="0" w:color="auto"/>
      </w:divBdr>
      <w:divsChild>
        <w:div w:id="804351066">
          <w:marLeft w:val="0"/>
          <w:marRight w:val="0"/>
          <w:marTop w:val="0"/>
          <w:marBottom w:val="0"/>
          <w:divBdr>
            <w:top w:val="none" w:sz="0" w:space="0" w:color="auto"/>
            <w:left w:val="none" w:sz="0" w:space="0" w:color="auto"/>
            <w:bottom w:val="none" w:sz="0" w:space="0" w:color="auto"/>
            <w:right w:val="none" w:sz="0" w:space="0" w:color="auto"/>
          </w:divBdr>
          <w:divsChild>
            <w:div w:id="43259390">
              <w:marLeft w:val="0"/>
              <w:marRight w:val="0"/>
              <w:marTop w:val="0"/>
              <w:marBottom w:val="0"/>
              <w:divBdr>
                <w:top w:val="none" w:sz="0" w:space="0" w:color="auto"/>
                <w:left w:val="none" w:sz="0" w:space="0" w:color="auto"/>
                <w:bottom w:val="none" w:sz="0" w:space="0" w:color="auto"/>
                <w:right w:val="none" w:sz="0" w:space="0" w:color="auto"/>
              </w:divBdr>
              <w:divsChild>
                <w:div w:id="1856067046">
                  <w:marLeft w:val="0"/>
                  <w:marRight w:val="0"/>
                  <w:marTop w:val="0"/>
                  <w:marBottom w:val="0"/>
                  <w:divBdr>
                    <w:top w:val="none" w:sz="0" w:space="0" w:color="auto"/>
                    <w:left w:val="none" w:sz="0" w:space="0" w:color="auto"/>
                    <w:bottom w:val="none" w:sz="0" w:space="0" w:color="auto"/>
                    <w:right w:val="none" w:sz="0" w:space="0" w:color="auto"/>
                  </w:divBdr>
                  <w:divsChild>
                    <w:div w:id="1912889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606422422">
      <w:bodyDiv w:val="1"/>
      <w:marLeft w:val="0"/>
      <w:marRight w:val="0"/>
      <w:marTop w:val="0"/>
      <w:marBottom w:val="0"/>
      <w:divBdr>
        <w:top w:val="none" w:sz="0" w:space="0" w:color="auto"/>
        <w:left w:val="none" w:sz="0" w:space="0" w:color="auto"/>
        <w:bottom w:val="none" w:sz="0" w:space="0" w:color="auto"/>
        <w:right w:val="none" w:sz="0" w:space="0" w:color="auto"/>
      </w:divBdr>
      <w:divsChild>
        <w:div w:id="124203288">
          <w:marLeft w:val="0"/>
          <w:marRight w:val="0"/>
          <w:marTop w:val="43"/>
          <w:marBottom w:val="43"/>
          <w:divBdr>
            <w:top w:val="single" w:sz="4" w:space="0" w:color="auto"/>
            <w:left w:val="none" w:sz="0" w:space="0" w:color="auto"/>
            <w:bottom w:val="single" w:sz="4" w:space="0" w:color="auto"/>
            <w:right w:val="none" w:sz="0" w:space="0" w:color="auto"/>
          </w:divBdr>
        </w:div>
        <w:div w:id="207911823">
          <w:marLeft w:val="0"/>
          <w:marRight w:val="0"/>
          <w:marTop w:val="43"/>
          <w:marBottom w:val="43"/>
          <w:divBdr>
            <w:top w:val="single" w:sz="4" w:space="0" w:color="auto"/>
            <w:left w:val="none" w:sz="0" w:space="0" w:color="auto"/>
            <w:bottom w:val="single" w:sz="4" w:space="0" w:color="auto"/>
            <w:right w:val="none" w:sz="0" w:space="0" w:color="auto"/>
          </w:divBdr>
        </w:div>
        <w:div w:id="349642782">
          <w:marLeft w:val="0"/>
          <w:marRight w:val="0"/>
          <w:marTop w:val="43"/>
          <w:marBottom w:val="43"/>
          <w:divBdr>
            <w:top w:val="single" w:sz="4" w:space="0" w:color="auto"/>
            <w:left w:val="none" w:sz="0" w:space="0" w:color="auto"/>
            <w:bottom w:val="single" w:sz="4" w:space="0" w:color="auto"/>
            <w:right w:val="none" w:sz="0" w:space="0" w:color="auto"/>
          </w:divBdr>
        </w:div>
        <w:div w:id="734401491">
          <w:marLeft w:val="0"/>
          <w:marRight w:val="0"/>
          <w:marTop w:val="43"/>
          <w:marBottom w:val="43"/>
          <w:divBdr>
            <w:top w:val="single" w:sz="4" w:space="0" w:color="auto"/>
            <w:left w:val="none" w:sz="0" w:space="0" w:color="auto"/>
            <w:bottom w:val="single" w:sz="4" w:space="0" w:color="auto"/>
            <w:right w:val="none" w:sz="0" w:space="0" w:color="auto"/>
          </w:divBdr>
        </w:div>
        <w:div w:id="832768503">
          <w:marLeft w:val="0"/>
          <w:marRight w:val="0"/>
          <w:marTop w:val="43"/>
          <w:marBottom w:val="43"/>
          <w:divBdr>
            <w:top w:val="single" w:sz="4" w:space="0" w:color="auto"/>
            <w:left w:val="none" w:sz="0" w:space="0" w:color="auto"/>
            <w:bottom w:val="single" w:sz="4" w:space="0" w:color="auto"/>
            <w:right w:val="none" w:sz="0" w:space="0" w:color="auto"/>
          </w:divBdr>
        </w:div>
        <w:div w:id="841895371">
          <w:marLeft w:val="0"/>
          <w:marRight w:val="0"/>
          <w:marTop w:val="245"/>
          <w:marBottom w:val="43"/>
          <w:divBdr>
            <w:top w:val="single" w:sz="4" w:space="0" w:color="auto"/>
            <w:left w:val="none" w:sz="0" w:space="0" w:color="auto"/>
            <w:bottom w:val="single" w:sz="4" w:space="0" w:color="auto"/>
            <w:right w:val="none" w:sz="0" w:space="0" w:color="auto"/>
          </w:divBdr>
        </w:div>
        <w:div w:id="930625941">
          <w:marLeft w:val="0"/>
          <w:marRight w:val="0"/>
          <w:marTop w:val="43"/>
          <w:marBottom w:val="43"/>
          <w:divBdr>
            <w:top w:val="single" w:sz="4" w:space="0" w:color="auto"/>
            <w:left w:val="none" w:sz="0" w:space="0" w:color="auto"/>
            <w:bottom w:val="single" w:sz="4" w:space="0" w:color="auto"/>
            <w:right w:val="none" w:sz="0" w:space="0" w:color="auto"/>
          </w:divBdr>
        </w:div>
        <w:div w:id="1400324581">
          <w:marLeft w:val="0"/>
          <w:marRight w:val="0"/>
          <w:marTop w:val="43"/>
          <w:marBottom w:val="43"/>
          <w:divBdr>
            <w:top w:val="single" w:sz="4" w:space="0" w:color="DDDDDD"/>
            <w:left w:val="none" w:sz="0" w:space="0" w:color="auto"/>
            <w:bottom w:val="single" w:sz="4" w:space="0" w:color="EEEEEE"/>
            <w:right w:val="none" w:sz="0" w:space="0" w:color="auto"/>
          </w:divBdr>
        </w:div>
        <w:div w:id="1481730132">
          <w:marLeft w:val="0"/>
          <w:marRight w:val="0"/>
          <w:marTop w:val="43"/>
          <w:marBottom w:val="43"/>
          <w:divBdr>
            <w:top w:val="single" w:sz="4" w:space="0" w:color="auto"/>
            <w:left w:val="none" w:sz="0" w:space="0" w:color="auto"/>
            <w:bottom w:val="single" w:sz="4" w:space="0" w:color="auto"/>
            <w:right w:val="none" w:sz="0" w:space="0" w:color="auto"/>
          </w:divBdr>
        </w:div>
        <w:div w:id="1849323639">
          <w:marLeft w:val="0"/>
          <w:marRight w:val="0"/>
          <w:marTop w:val="43"/>
          <w:marBottom w:val="43"/>
          <w:divBdr>
            <w:top w:val="single" w:sz="4" w:space="0" w:color="auto"/>
            <w:left w:val="none" w:sz="0" w:space="0" w:color="auto"/>
            <w:bottom w:val="single" w:sz="4" w:space="0" w:color="auto"/>
            <w:right w:val="none" w:sz="0" w:space="0" w:color="auto"/>
          </w:divBdr>
        </w:div>
        <w:div w:id="1951663964">
          <w:marLeft w:val="0"/>
          <w:marRight w:val="0"/>
          <w:marTop w:val="43"/>
          <w:marBottom w:val="43"/>
          <w:divBdr>
            <w:top w:val="single" w:sz="4" w:space="0" w:color="auto"/>
            <w:left w:val="none" w:sz="0" w:space="0" w:color="auto"/>
            <w:bottom w:val="single" w:sz="4" w:space="0" w:color="auto"/>
            <w:right w:val="none" w:sz="0" w:space="0" w:color="auto"/>
          </w:divBdr>
        </w:div>
      </w:divsChild>
    </w:div>
    <w:div w:id="1617908765">
      <w:bodyDiv w:val="1"/>
      <w:marLeft w:val="0"/>
      <w:marRight w:val="0"/>
      <w:marTop w:val="0"/>
      <w:marBottom w:val="0"/>
      <w:divBdr>
        <w:top w:val="none" w:sz="0" w:space="0" w:color="auto"/>
        <w:left w:val="none" w:sz="0" w:space="0" w:color="auto"/>
        <w:bottom w:val="none" w:sz="0" w:space="0" w:color="auto"/>
        <w:right w:val="none" w:sz="0" w:space="0" w:color="auto"/>
      </w:divBdr>
      <w:divsChild>
        <w:div w:id="1301886832">
          <w:marLeft w:val="0"/>
          <w:marRight w:val="0"/>
          <w:marTop w:val="0"/>
          <w:marBottom w:val="0"/>
          <w:divBdr>
            <w:top w:val="none" w:sz="0" w:space="0" w:color="auto"/>
            <w:left w:val="none" w:sz="0" w:space="0" w:color="auto"/>
            <w:bottom w:val="none" w:sz="0" w:space="0" w:color="auto"/>
            <w:right w:val="none" w:sz="0" w:space="0" w:color="auto"/>
          </w:divBdr>
          <w:divsChild>
            <w:div w:id="873275656">
              <w:marLeft w:val="0"/>
              <w:marRight w:val="0"/>
              <w:marTop w:val="0"/>
              <w:marBottom w:val="0"/>
              <w:divBdr>
                <w:top w:val="none" w:sz="0" w:space="0" w:color="auto"/>
                <w:left w:val="none" w:sz="0" w:space="0" w:color="auto"/>
                <w:bottom w:val="none" w:sz="0" w:space="0" w:color="auto"/>
                <w:right w:val="none" w:sz="0" w:space="0" w:color="auto"/>
              </w:divBdr>
              <w:divsChild>
                <w:div w:id="14071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220169">
      <w:bodyDiv w:val="1"/>
      <w:marLeft w:val="0"/>
      <w:marRight w:val="0"/>
      <w:marTop w:val="0"/>
      <w:marBottom w:val="0"/>
      <w:divBdr>
        <w:top w:val="none" w:sz="0" w:space="0" w:color="auto"/>
        <w:left w:val="none" w:sz="0" w:space="0" w:color="auto"/>
        <w:bottom w:val="none" w:sz="0" w:space="0" w:color="auto"/>
        <w:right w:val="none" w:sz="0" w:space="0" w:color="auto"/>
      </w:divBdr>
      <w:divsChild>
        <w:div w:id="42297023">
          <w:marLeft w:val="0"/>
          <w:marRight w:val="0"/>
          <w:marTop w:val="0"/>
          <w:marBottom w:val="0"/>
          <w:divBdr>
            <w:top w:val="none" w:sz="0" w:space="0" w:color="auto"/>
            <w:left w:val="none" w:sz="0" w:space="0" w:color="auto"/>
            <w:bottom w:val="none" w:sz="0" w:space="0" w:color="auto"/>
            <w:right w:val="none" w:sz="0" w:space="0" w:color="auto"/>
          </w:divBdr>
        </w:div>
      </w:divsChild>
    </w:div>
    <w:div w:id="1641302920">
      <w:bodyDiv w:val="1"/>
      <w:marLeft w:val="0"/>
      <w:marRight w:val="0"/>
      <w:marTop w:val="0"/>
      <w:marBottom w:val="0"/>
      <w:divBdr>
        <w:top w:val="none" w:sz="0" w:space="0" w:color="auto"/>
        <w:left w:val="none" w:sz="0" w:space="0" w:color="auto"/>
        <w:bottom w:val="none" w:sz="0" w:space="0" w:color="auto"/>
        <w:right w:val="none" w:sz="0" w:space="0" w:color="auto"/>
      </w:divBdr>
    </w:div>
    <w:div w:id="1653173116">
      <w:bodyDiv w:val="1"/>
      <w:marLeft w:val="0"/>
      <w:marRight w:val="0"/>
      <w:marTop w:val="0"/>
      <w:marBottom w:val="0"/>
      <w:divBdr>
        <w:top w:val="none" w:sz="0" w:space="0" w:color="auto"/>
        <w:left w:val="none" w:sz="0" w:space="0" w:color="auto"/>
        <w:bottom w:val="none" w:sz="0" w:space="0" w:color="auto"/>
        <w:right w:val="none" w:sz="0" w:space="0" w:color="auto"/>
      </w:divBdr>
      <w:divsChild>
        <w:div w:id="2105610759">
          <w:marLeft w:val="0"/>
          <w:marRight w:val="0"/>
          <w:marTop w:val="0"/>
          <w:marBottom w:val="0"/>
          <w:divBdr>
            <w:top w:val="none" w:sz="0" w:space="0" w:color="auto"/>
            <w:left w:val="none" w:sz="0" w:space="0" w:color="auto"/>
            <w:bottom w:val="none" w:sz="0" w:space="0" w:color="auto"/>
            <w:right w:val="none" w:sz="0" w:space="0" w:color="auto"/>
          </w:divBdr>
          <w:divsChild>
            <w:div w:id="183250510">
              <w:marLeft w:val="0"/>
              <w:marRight w:val="0"/>
              <w:marTop w:val="0"/>
              <w:marBottom w:val="0"/>
              <w:divBdr>
                <w:top w:val="none" w:sz="0" w:space="0" w:color="auto"/>
                <w:left w:val="none" w:sz="0" w:space="0" w:color="auto"/>
                <w:bottom w:val="none" w:sz="0" w:space="0" w:color="auto"/>
                <w:right w:val="none" w:sz="0" w:space="0" w:color="auto"/>
              </w:divBdr>
              <w:divsChild>
                <w:div w:id="285043373">
                  <w:marLeft w:val="0"/>
                  <w:marRight w:val="0"/>
                  <w:marTop w:val="0"/>
                  <w:marBottom w:val="0"/>
                  <w:divBdr>
                    <w:top w:val="none" w:sz="0" w:space="0" w:color="auto"/>
                    <w:left w:val="none" w:sz="0" w:space="0" w:color="auto"/>
                    <w:bottom w:val="none" w:sz="0" w:space="0" w:color="auto"/>
                    <w:right w:val="none" w:sz="0" w:space="0" w:color="auto"/>
                  </w:divBdr>
                  <w:divsChild>
                    <w:div w:id="461726534">
                      <w:marLeft w:val="0"/>
                      <w:marRight w:val="0"/>
                      <w:marTop w:val="0"/>
                      <w:marBottom w:val="0"/>
                      <w:divBdr>
                        <w:top w:val="none" w:sz="0" w:space="0" w:color="auto"/>
                        <w:left w:val="none" w:sz="0" w:space="0" w:color="auto"/>
                        <w:bottom w:val="none" w:sz="0" w:space="0" w:color="auto"/>
                        <w:right w:val="none" w:sz="0" w:space="0" w:color="auto"/>
                      </w:divBdr>
                      <w:divsChild>
                        <w:div w:id="1122378506">
                          <w:marLeft w:val="0"/>
                          <w:marRight w:val="0"/>
                          <w:marTop w:val="0"/>
                          <w:marBottom w:val="0"/>
                          <w:divBdr>
                            <w:top w:val="none" w:sz="0" w:space="0" w:color="auto"/>
                            <w:left w:val="none" w:sz="0" w:space="0" w:color="auto"/>
                            <w:bottom w:val="none" w:sz="0" w:space="0" w:color="auto"/>
                            <w:right w:val="none" w:sz="0" w:space="0" w:color="auto"/>
                          </w:divBdr>
                          <w:divsChild>
                            <w:div w:id="182480031">
                              <w:marLeft w:val="0"/>
                              <w:marRight w:val="0"/>
                              <w:marTop w:val="0"/>
                              <w:marBottom w:val="0"/>
                              <w:divBdr>
                                <w:top w:val="none" w:sz="0" w:space="0" w:color="auto"/>
                                <w:left w:val="none" w:sz="0" w:space="0" w:color="auto"/>
                                <w:bottom w:val="none" w:sz="0" w:space="0" w:color="auto"/>
                                <w:right w:val="none" w:sz="0" w:space="0" w:color="auto"/>
                              </w:divBdr>
                              <w:divsChild>
                                <w:div w:id="103889505">
                                  <w:marLeft w:val="0"/>
                                  <w:marRight w:val="0"/>
                                  <w:marTop w:val="0"/>
                                  <w:marBottom w:val="0"/>
                                  <w:divBdr>
                                    <w:top w:val="none" w:sz="0" w:space="0" w:color="auto"/>
                                    <w:left w:val="none" w:sz="0" w:space="0" w:color="auto"/>
                                    <w:bottom w:val="none" w:sz="0" w:space="0" w:color="auto"/>
                                    <w:right w:val="none" w:sz="0" w:space="0" w:color="auto"/>
                                  </w:divBdr>
                                  <w:divsChild>
                                    <w:div w:id="447546292">
                                      <w:marLeft w:val="0"/>
                                      <w:marRight w:val="0"/>
                                      <w:marTop w:val="0"/>
                                      <w:marBottom w:val="0"/>
                                      <w:divBdr>
                                        <w:top w:val="none" w:sz="0" w:space="0" w:color="auto"/>
                                        <w:left w:val="none" w:sz="0" w:space="0" w:color="auto"/>
                                        <w:bottom w:val="none" w:sz="0" w:space="0" w:color="auto"/>
                                        <w:right w:val="none" w:sz="0" w:space="0" w:color="auto"/>
                                      </w:divBdr>
                                    </w:div>
                                    <w:div w:id="1827743210">
                                      <w:marLeft w:val="0"/>
                                      <w:marRight w:val="0"/>
                                      <w:marTop w:val="0"/>
                                      <w:marBottom w:val="0"/>
                                      <w:divBdr>
                                        <w:top w:val="none" w:sz="0" w:space="0" w:color="auto"/>
                                        <w:left w:val="none" w:sz="0" w:space="0" w:color="auto"/>
                                        <w:bottom w:val="none" w:sz="0" w:space="0" w:color="auto"/>
                                        <w:right w:val="none" w:sz="0" w:space="0" w:color="auto"/>
                                      </w:divBdr>
                                    </w:div>
                                  </w:divsChild>
                                </w:div>
                                <w:div w:id="502476672">
                                  <w:marLeft w:val="0"/>
                                  <w:marRight w:val="0"/>
                                  <w:marTop w:val="0"/>
                                  <w:marBottom w:val="0"/>
                                  <w:divBdr>
                                    <w:top w:val="none" w:sz="0" w:space="0" w:color="auto"/>
                                    <w:left w:val="none" w:sz="0" w:space="0" w:color="auto"/>
                                    <w:bottom w:val="none" w:sz="0" w:space="0" w:color="auto"/>
                                    <w:right w:val="none" w:sz="0" w:space="0" w:color="auto"/>
                                  </w:divBdr>
                                  <w:divsChild>
                                    <w:div w:id="111100738">
                                      <w:marLeft w:val="0"/>
                                      <w:marRight w:val="0"/>
                                      <w:marTop w:val="0"/>
                                      <w:marBottom w:val="0"/>
                                      <w:divBdr>
                                        <w:top w:val="none" w:sz="0" w:space="0" w:color="auto"/>
                                        <w:left w:val="none" w:sz="0" w:space="0" w:color="auto"/>
                                        <w:bottom w:val="none" w:sz="0" w:space="0" w:color="auto"/>
                                        <w:right w:val="none" w:sz="0" w:space="0" w:color="auto"/>
                                      </w:divBdr>
                                    </w:div>
                                    <w:div w:id="1409695007">
                                      <w:marLeft w:val="0"/>
                                      <w:marRight w:val="0"/>
                                      <w:marTop w:val="0"/>
                                      <w:marBottom w:val="0"/>
                                      <w:divBdr>
                                        <w:top w:val="none" w:sz="0" w:space="0" w:color="auto"/>
                                        <w:left w:val="none" w:sz="0" w:space="0" w:color="auto"/>
                                        <w:bottom w:val="none" w:sz="0" w:space="0" w:color="auto"/>
                                        <w:right w:val="none" w:sz="0" w:space="0" w:color="auto"/>
                                      </w:divBdr>
                                    </w:div>
                                    <w:div w:id="1869027544">
                                      <w:marLeft w:val="0"/>
                                      <w:marRight w:val="0"/>
                                      <w:marTop w:val="0"/>
                                      <w:marBottom w:val="0"/>
                                      <w:divBdr>
                                        <w:top w:val="none" w:sz="0" w:space="0" w:color="auto"/>
                                        <w:left w:val="none" w:sz="0" w:space="0" w:color="auto"/>
                                        <w:bottom w:val="none" w:sz="0" w:space="0" w:color="auto"/>
                                        <w:right w:val="none" w:sz="0" w:space="0" w:color="auto"/>
                                      </w:divBdr>
                                    </w:div>
                                  </w:divsChild>
                                </w:div>
                                <w:div w:id="566384546">
                                  <w:marLeft w:val="0"/>
                                  <w:marRight w:val="0"/>
                                  <w:marTop w:val="0"/>
                                  <w:marBottom w:val="0"/>
                                  <w:divBdr>
                                    <w:top w:val="none" w:sz="0" w:space="0" w:color="auto"/>
                                    <w:left w:val="none" w:sz="0" w:space="0" w:color="auto"/>
                                    <w:bottom w:val="none" w:sz="0" w:space="0" w:color="auto"/>
                                    <w:right w:val="none" w:sz="0" w:space="0" w:color="auto"/>
                                  </w:divBdr>
                                  <w:divsChild>
                                    <w:div w:id="574244865">
                                      <w:marLeft w:val="0"/>
                                      <w:marRight w:val="0"/>
                                      <w:marTop w:val="0"/>
                                      <w:marBottom w:val="0"/>
                                      <w:divBdr>
                                        <w:top w:val="none" w:sz="0" w:space="0" w:color="auto"/>
                                        <w:left w:val="none" w:sz="0" w:space="0" w:color="auto"/>
                                        <w:bottom w:val="none" w:sz="0" w:space="0" w:color="auto"/>
                                        <w:right w:val="none" w:sz="0" w:space="0" w:color="auto"/>
                                      </w:divBdr>
                                    </w:div>
                                    <w:div w:id="1696224246">
                                      <w:marLeft w:val="0"/>
                                      <w:marRight w:val="0"/>
                                      <w:marTop w:val="0"/>
                                      <w:marBottom w:val="0"/>
                                      <w:divBdr>
                                        <w:top w:val="none" w:sz="0" w:space="0" w:color="auto"/>
                                        <w:left w:val="none" w:sz="0" w:space="0" w:color="auto"/>
                                        <w:bottom w:val="none" w:sz="0" w:space="0" w:color="auto"/>
                                        <w:right w:val="none" w:sz="0" w:space="0" w:color="auto"/>
                                      </w:divBdr>
                                    </w:div>
                                  </w:divsChild>
                                </w:div>
                                <w:div w:id="781072243">
                                  <w:marLeft w:val="0"/>
                                  <w:marRight w:val="0"/>
                                  <w:marTop w:val="0"/>
                                  <w:marBottom w:val="0"/>
                                  <w:divBdr>
                                    <w:top w:val="none" w:sz="0" w:space="0" w:color="auto"/>
                                    <w:left w:val="none" w:sz="0" w:space="0" w:color="auto"/>
                                    <w:bottom w:val="none" w:sz="0" w:space="0" w:color="auto"/>
                                    <w:right w:val="none" w:sz="0" w:space="0" w:color="auto"/>
                                  </w:divBdr>
                                </w:div>
                                <w:div w:id="920918164">
                                  <w:marLeft w:val="0"/>
                                  <w:marRight w:val="0"/>
                                  <w:marTop w:val="0"/>
                                  <w:marBottom w:val="0"/>
                                  <w:divBdr>
                                    <w:top w:val="none" w:sz="0" w:space="0" w:color="auto"/>
                                    <w:left w:val="none" w:sz="0" w:space="0" w:color="auto"/>
                                    <w:bottom w:val="none" w:sz="0" w:space="0" w:color="auto"/>
                                    <w:right w:val="none" w:sz="0" w:space="0" w:color="auto"/>
                                  </w:divBdr>
                                </w:div>
                                <w:div w:id="979727897">
                                  <w:marLeft w:val="0"/>
                                  <w:marRight w:val="0"/>
                                  <w:marTop w:val="0"/>
                                  <w:marBottom w:val="0"/>
                                  <w:divBdr>
                                    <w:top w:val="none" w:sz="0" w:space="0" w:color="auto"/>
                                    <w:left w:val="none" w:sz="0" w:space="0" w:color="auto"/>
                                    <w:bottom w:val="none" w:sz="0" w:space="0" w:color="auto"/>
                                    <w:right w:val="none" w:sz="0" w:space="0" w:color="auto"/>
                                  </w:divBdr>
                                </w:div>
                                <w:div w:id="1017999388">
                                  <w:marLeft w:val="0"/>
                                  <w:marRight w:val="0"/>
                                  <w:marTop w:val="0"/>
                                  <w:marBottom w:val="0"/>
                                  <w:divBdr>
                                    <w:top w:val="none" w:sz="0" w:space="0" w:color="auto"/>
                                    <w:left w:val="none" w:sz="0" w:space="0" w:color="auto"/>
                                    <w:bottom w:val="none" w:sz="0" w:space="0" w:color="auto"/>
                                    <w:right w:val="none" w:sz="0" w:space="0" w:color="auto"/>
                                  </w:divBdr>
                                </w:div>
                                <w:div w:id="1107505564">
                                  <w:marLeft w:val="0"/>
                                  <w:marRight w:val="0"/>
                                  <w:marTop w:val="0"/>
                                  <w:marBottom w:val="0"/>
                                  <w:divBdr>
                                    <w:top w:val="none" w:sz="0" w:space="0" w:color="auto"/>
                                    <w:left w:val="none" w:sz="0" w:space="0" w:color="auto"/>
                                    <w:bottom w:val="none" w:sz="0" w:space="0" w:color="auto"/>
                                    <w:right w:val="none" w:sz="0" w:space="0" w:color="auto"/>
                                  </w:divBdr>
                                </w:div>
                                <w:div w:id="1228689810">
                                  <w:marLeft w:val="0"/>
                                  <w:marRight w:val="0"/>
                                  <w:marTop w:val="0"/>
                                  <w:marBottom w:val="0"/>
                                  <w:divBdr>
                                    <w:top w:val="none" w:sz="0" w:space="0" w:color="auto"/>
                                    <w:left w:val="none" w:sz="0" w:space="0" w:color="auto"/>
                                    <w:bottom w:val="none" w:sz="0" w:space="0" w:color="auto"/>
                                    <w:right w:val="none" w:sz="0" w:space="0" w:color="auto"/>
                                  </w:divBdr>
                                </w:div>
                                <w:div w:id="1504933773">
                                  <w:marLeft w:val="0"/>
                                  <w:marRight w:val="0"/>
                                  <w:marTop w:val="0"/>
                                  <w:marBottom w:val="0"/>
                                  <w:divBdr>
                                    <w:top w:val="none" w:sz="0" w:space="0" w:color="auto"/>
                                    <w:left w:val="none" w:sz="0" w:space="0" w:color="auto"/>
                                    <w:bottom w:val="none" w:sz="0" w:space="0" w:color="auto"/>
                                    <w:right w:val="none" w:sz="0" w:space="0" w:color="auto"/>
                                  </w:divBdr>
                                </w:div>
                                <w:div w:id="1782413718">
                                  <w:marLeft w:val="0"/>
                                  <w:marRight w:val="0"/>
                                  <w:marTop w:val="0"/>
                                  <w:marBottom w:val="0"/>
                                  <w:divBdr>
                                    <w:top w:val="none" w:sz="0" w:space="0" w:color="auto"/>
                                    <w:left w:val="none" w:sz="0" w:space="0" w:color="auto"/>
                                    <w:bottom w:val="none" w:sz="0" w:space="0" w:color="auto"/>
                                    <w:right w:val="none" w:sz="0" w:space="0" w:color="auto"/>
                                  </w:divBdr>
                                </w:div>
                                <w:div w:id="1942644617">
                                  <w:marLeft w:val="0"/>
                                  <w:marRight w:val="0"/>
                                  <w:marTop w:val="0"/>
                                  <w:marBottom w:val="0"/>
                                  <w:divBdr>
                                    <w:top w:val="none" w:sz="0" w:space="0" w:color="auto"/>
                                    <w:left w:val="none" w:sz="0" w:space="0" w:color="auto"/>
                                    <w:bottom w:val="none" w:sz="0" w:space="0" w:color="auto"/>
                                    <w:right w:val="none" w:sz="0" w:space="0" w:color="auto"/>
                                  </w:divBdr>
                                </w:div>
                                <w:div w:id="2071225640">
                                  <w:marLeft w:val="0"/>
                                  <w:marRight w:val="0"/>
                                  <w:marTop w:val="0"/>
                                  <w:marBottom w:val="0"/>
                                  <w:divBdr>
                                    <w:top w:val="none" w:sz="0" w:space="0" w:color="auto"/>
                                    <w:left w:val="none" w:sz="0" w:space="0" w:color="auto"/>
                                    <w:bottom w:val="none" w:sz="0" w:space="0" w:color="auto"/>
                                    <w:right w:val="none" w:sz="0" w:space="0" w:color="auto"/>
                                  </w:divBdr>
                                </w:div>
                                <w:div w:id="2108118456">
                                  <w:marLeft w:val="0"/>
                                  <w:marRight w:val="0"/>
                                  <w:marTop w:val="0"/>
                                  <w:marBottom w:val="0"/>
                                  <w:divBdr>
                                    <w:top w:val="none" w:sz="0" w:space="0" w:color="auto"/>
                                    <w:left w:val="none" w:sz="0" w:space="0" w:color="auto"/>
                                    <w:bottom w:val="none" w:sz="0" w:space="0" w:color="auto"/>
                                    <w:right w:val="none" w:sz="0" w:space="0" w:color="auto"/>
                                  </w:divBdr>
                                </w:div>
                              </w:divsChild>
                            </w:div>
                            <w:div w:id="197740013">
                              <w:marLeft w:val="0"/>
                              <w:marRight w:val="0"/>
                              <w:marTop w:val="0"/>
                              <w:marBottom w:val="0"/>
                              <w:divBdr>
                                <w:top w:val="none" w:sz="0" w:space="0" w:color="auto"/>
                                <w:left w:val="none" w:sz="0" w:space="0" w:color="auto"/>
                                <w:bottom w:val="none" w:sz="0" w:space="0" w:color="auto"/>
                                <w:right w:val="none" w:sz="0" w:space="0" w:color="auto"/>
                              </w:divBdr>
                            </w:div>
                            <w:div w:id="791552947">
                              <w:marLeft w:val="0"/>
                              <w:marRight w:val="0"/>
                              <w:marTop w:val="0"/>
                              <w:marBottom w:val="0"/>
                              <w:divBdr>
                                <w:top w:val="none" w:sz="0" w:space="0" w:color="auto"/>
                                <w:left w:val="none" w:sz="0" w:space="0" w:color="auto"/>
                                <w:bottom w:val="none" w:sz="0" w:space="0" w:color="auto"/>
                                <w:right w:val="none" w:sz="0" w:space="0" w:color="auto"/>
                              </w:divBdr>
                              <w:divsChild>
                                <w:div w:id="978732009">
                                  <w:marLeft w:val="0"/>
                                  <w:marRight w:val="0"/>
                                  <w:marTop w:val="0"/>
                                  <w:marBottom w:val="0"/>
                                  <w:divBdr>
                                    <w:top w:val="none" w:sz="0" w:space="0" w:color="auto"/>
                                    <w:left w:val="none" w:sz="0" w:space="0" w:color="auto"/>
                                    <w:bottom w:val="none" w:sz="0" w:space="0" w:color="auto"/>
                                    <w:right w:val="none" w:sz="0" w:space="0" w:color="auto"/>
                                  </w:divBdr>
                                </w:div>
                                <w:div w:id="1352756296">
                                  <w:marLeft w:val="0"/>
                                  <w:marRight w:val="0"/>
                                  <w:marTop w:val="0"/>
                                  <w:marBottom w:val="0"/>
                                  <w:divBdr>
                                    <w:top w:val="none" w:sz="0" w:space="0" w:color="auto"/>
                                    <w:left w:val="none" w:sz="0" w:space="0" w:color="auto"/>
                                    <w:bottom w:val="none" w:sz="0" w:space="0" w:color="auto"/>
                                    <w:right w:val="none" w:sz="0" w:space="0" w:color="auto"/>
                                  </w:divBdr>
                                </w:div>
                              </w:divsChild>
                            </w:div>
                            <w:div w:id="794369344">
                              <w:marLeft w:val="0"/>
                              <w:marRight w:val="0"/>
                              <w:marTop w:val="0"/>
                              <w:marBottom w:val="0"/>
                              <w:divBdr>
                                <w:top w:val="none" w:sz="0" w:space="0" w:color="auto"/>
                                <w:left w:val="none" w:sz="0" w:space="0" w:color="auto"/>
                                <w:bottom w:val="none" w:sz="0" w:space="0" w:color="auto"/>
                                <w:right w:val="none" w:sz="0" w:space="0" w:color="auto"/>
                              </w:divBdr>
                            </w:div>
                          </w:divsChild>
                        </w:div>
                        <w:div w:id="1618680521">
                          <w:marLeft w:val="0"/>
                          <w:marRight w:val="0"/>
                          <w:marTop w:val="0"/>
                          <w:marBottom w:val="0"/>
                          <w:divBdr>
                            <w:top w:val="none" w:sz="0" w:space="0" w:color="auto"/>
                            <w:left w:val="none" w:sz="0" w:space="0" w:color="auto"/>
                            <w:bottom w:val="none" w:sz="0" w:space="0" w:color="auto"/>
                            <w:right w:val="none" w:sz="0" w:space="0" w:color="auto"/>
                          </w:divBdr>
                          <w:divsChild>
                            <w:div w:id="185952163">
                              <w:marLeft w:val="0"/>
                              <w:marRight w:val="0"/>
                              <w:marTop w:val="0"/>
                              <w:marBottom w:val="0"/>
                              <w:divBdr>
                                <w:top w:val="none" w:sz="0" w:space="0" w:color="auto"/>
                                <w:left w:val="none" w:sz="0" w:space="0" w:color="auto"/>
                                <w:bottom w:val="none" w:sz="0" w:space="0" w:color="auto"/>
                                <w:right w:val="none" w:sz="0" w:space="0" w:color="auto"/>
                              </w:divBdr>
                            </w:div>
                            <w:div w:id="262306680">
                              <w:marLeft w:val="0"/>
                              <w:marRight w:val="0"/>
                              <w:marTop w:val="0"/>
                              <w:marBottom w:val="0"/>
                              <w:divBdr>
                                <w:top w:val="none" w:sz="0" w:space="0" w:color="auto"/>
                                <w:left w:val="none" w:sz="0" w:space="0" w:color="auto"/>
                                <w:bottom w:val="none" w:sz="0" w:space="0" w:color="auto"/>
                                <w:right w:val="none" w:sz="0" w:space="0" w:color="auto"/>
                              </w:divBdr>
                            </w:div>
                            <w:div w:id="1478231492">
                              <w:marLeft w:val="0"/>
                              <w:marRight w:val="0"/>
                              <w:marTop w:val="0"/>
                              <w:marBottom w:val="0"/>
                              <w:divBdr>
                                <w:top w:val="none" w:sz="0" w:space="0" w:color="auto"/>
                                <w:left w:val="none" w:sz="0" w:space="0" w:color="auto"/>
                                <w:bottom w:val="none" w:sz="0" w:space="0" w:color="auto"/>
                                <w:right w:val="none" w:sz="0" w:space="0" w:color="auto"/>
                              </w:divBdr>
                            </w:div>
                            <w:div w:id="1836993335">
                              <w:marLeft w:val="0"/>
                              <w:marRight w:val="0"/>
                              <w:marTop w:val="0"/>
                              <w:marBottom w:val="0"/>
                              <w:divBdr>
                                <w:top w:val="none" w:sz="0" w:space="0" w:color="auto"/>
                                <w:left w:val="none" w:sz="0" w:space="0" w:color="auto"/>
                                <w:bottom w:val="none" w:sz="0" w:space="0" w:color="auto"/>
                                <w:right w:val="none" w:sz="0" w:space="0" w:color="auto"/>
                              </w:divBdr>
                              <w:divsChild>
                                <w:div w:id="73819376">
                                  <w:marLeft w:val="0"/>
                                  <w:marRight w:val="0"/>
                                  <w:marTop w:val="0"/>
                                  <w:marBottom w:val="0"/>
                                  <w:divBdr>
                                    <w:top w:val="none" w:sz="0" w:space="0" w:color="auto"/>
                                    <w:left w:val="none" w:sz="0" w:space="0" w:color="auto"/>
                                    <w:bottom w:val="none" w:sz="0" w:space="0" w:color="auto"/>
                                    <w:right w:val="none" w:sz="0" w:space="0" w:color="auto"/>
                                  </w:divBdr>
                                </w:div>
                                <w:div w:id="1099638528">
                                  <w:marLeft w:val="0"/>
                                  <w:marRight w:val="0"/>
                                  <w:marTop w:val="0"/>
                                  <w:marBottom w:val="0"/>
                                  <w:divBdr>
                                    <w:top w:val="none" w:sz="0" w:space="0" w:color="auto"/>
                                    <w:left w:val="none" w:sz="0" w:space="0" w:color="auto"/>
                                    <w:bottom w:val="none" w:sz="0" w:space="0" w:color="auto"/>
                                    <w:right w:val="none" w:sz="0" w:space="0" w:color="auto"/>
                                  </w:divBdr>
                                  <w:divsChild>
                                    <w:div w:id="195235343">
                                      <w:marLeft w:val="0"/>
                                      <w:marRight w:val="0"/>
                                      <w:marTop w:val="0"/>
                                      <w:marBottom w:val="0"/>
                                      <w:divBdr>
                                        <w:top w:val="none" w:sz="0" w:space="0" w:color="auto"/>
                                        <w:left w:val="none" w:sz="0" w:space="0" w:color="auto"/>
                                        <w:bottom w:val="none" w:sz="0" w:space="0" w:color="auto"/>
                                        <w:right w:val="none" w:sz="0" w:space="0" w:color="auto"/>
                                      </w:divBdr>
                                    </w:div>
                                    <w:div w:id="1733387209">
                                      <w:marLeft w:val="0"/>
                                      <w:marRight w:val="0"/>
                                      <w:marTop w:val="0"/>
                                      <w:marBottom w:val="0"/>
                                      <w:divBdr>
                                        <w:top w:val="none" w:sz="0" w:space="0" w:color="auto"/>
                                        <w:left w:val="none" w:sz="0" w:space="0" w:color="auto"/>
                                        <w:bottom w:val="none" w:sz="0" w:space="0" w:color="auto"/>
                                        <w:right w:val="none" w:sz="0" w:space="0" w:color="auto"/>
                                      </w:divBdr>
                                    </w:div>
                                  </w:divsChild>
                                </w:div>
                                <w:div w:id="1147818046">
                                  <w:marLeft w:val="0"/>
                                  <w:marRight w:val="0"/>
                                  <w:marTop w:val="0"/>
                                  <w:marBottom w:val="0"/>
                                  <w:divBdr>
                                    <w:top w:val="none" w:sz="0" w:space="0" w:color="auto"/>
                                    <w:left w:val="none" w:sz="0" w:space="0" w:color="auto"/>
                                    <w:bottom w:val="none" w:sz="0" w:space="0" w:color="auto"/>
                                    <w:right w:val="none" w:sz="0" w:space="0" w:color="auto"/>
                                  </w:divBdr>
                                </w:div>
                                <w:div w:id="135249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497151">
      <w:bodyDiv w:val="1"/>
      <w:marLeft w:val="0"/>
      <w:marRight w:val="0"/>
      <w:marTop w:val="0"/>
      <w:marBottom w:val="0"/>
      <w:divBdr>
        <w:top w:val="none" w:sz="0" w:space="0" w:color="auto"/>
        <w:left w:val="none" w:sz="0" w:space="0" w:color="auto"/>
        <w:bottom w:val="none" w:sz="0" w:space="0" w:color="auto"/>
        <w:right w:val="none" w:sz="0" w:space="0" w:color="auto"/>
      </w:divBdr>
    </w:div>
    <w:div w:id="1675182748">
      <w:bodyDiv w:val="1"/>
      <w:marLeft w:val="0"/>
      <w:marRight w:val="0"/>
      <w:marTop w:val="0"/>
      <w:marBottom w:val="0"/>
      <w:divBdr>
        <w:top w:val="none" w:sz="0" w:space="0" w:color="auto"/>
        <w:left w:val="none" w:sz="0" w:space="0" w:color="auto"/>
        <w:bottom w:val="none" w:sz="0" w:space="0" w:color="auto"/>
        <w:right w:val="none" w:sz="0" w:space="0" w:color="auto"/>
      </w:divBdr>
      <w:divsChild>
        <w:div w:id="748310476">
          <w:marLeft w:val="0"/>
          <w:marRight w:val="0"/>
          <w:marTop w:val="0"/>
          <w:marBottom w:val="0"/>
          <w:divBdr>
            <w:top w:val="none" w:sz="0" w:space="0" w:color="auto"/>
            <w:left w:val="none" w:sz="0" w:space="0" w:color="auto"/>
            <w:bottom w:val="none" w:sz="0" w:space="0" w:color="auto"/>
            <w:right w:val="none" w:sz="0" w:space="0" w:color="auto"/>
          </w:divBdr>
          <w:divsChild>
            <w:div w:id="571736315">
              <w:marLeft w:val="0"/>
              <w:marRight w:val="0"/>
              <w:marTop w:val="0"/>
              <w:marBottom w:val="0"/>
              <w:divBdr>
                <w:top w:val="none" w:sz="0" w:space="0" w:color="auto"/>
                <w:left w:val="none" w:sz="0" w:space="0" w:color="auto"/>
                <w:bottom w:val="none" w:sz="0" w:space="0" w:color="auto"/>
                <w:right w:val="none" w:sz="0" w:space="0" w:color="auto"/>
              </w:divBdr>
              <w:divsChild>
                <w:div w:id="641665195">
                  <w:marLeft w:val="0"/>
                  <w:marRight w:val="0"/>
                  <w:marTop w:val="0"/>
                  <w:marBottom w:val="0"/>
                  <w:divBdr>
                    <w:top w:val="none" w:sz="0" w:space="0" w:color="auto"/>
                    <w:left w:val="none" w:sz="0" w:space="0" w:color="auto"/>
                    <w:bottom w:val="none" w:sz="0" w:space="0" w:color="auto"/>
                    <w:right w:val="none" w:sz="0" w:space="0" w:color="auto"/>
                  </w:divBdr>
                  <w:divsChild>
                    <w:div w:id="36027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898647">
      <w:bodyDiv w:val="1"/>
      <w:marLeft w:val="0"/>
      <w:marRight w:val="0"/>
      <w:marTop w:val="0"/>
      <w:marBottom w:val="0"/>
      <w:divBdr>
        <w:top w:val="none" w:sz="0" w:space="0" w:color="auto"/>
        <w:left w:val="none" w:sz="0" w:space="0" w:color="auto"/>
        <w:bottom w:val="none" w:sz="0" w:space="0" w:color="auto"/>
        <w:right w:val="none" w:sz="0" w:space="0" w:color="auto"/>
      </w:divBdr>
    </w:div>
    <w:div w:id="1688216401">
      <w:bodyDiv w:val="1"/>
      <w:marLeft w:val="0"/>
      <w:marRight w:val="0"/>
      <w:marTop w:val="0"/>
      <w:marBottom w:val="0"/>
      <w:divBdr>
        <w:top w:val="none" w:sz="0" w:space="0" w:color="auto"/>
        <w:left w:val="none" w:sz="0" w:space="0" w:color="auto"/>
        <w:bottom w:val="none" w:sz="0" w:space="0" w:color="auto"/>
        <w:right w:val="none" w:sz="0" w:space="0" w:color="auto"/>
      </w:divBdr>
    </w:div>
    <w:div w:id="1691644242">
      <w:bodyDiv w:val="1"/>
      <w:marLeft w:val="0"/>
      <w:marRight w:val="0"/>
      <w:marTop w:val="0"/>
      <w:marBottom w:val="0"/>
      <w:divBdr>
        <w:top w:val="none" w:sz="0" w:space="0" w:color="auto"/>
        <w:left w:val="none" w:sz="0" w:space="0" w:color="auto"/>
        <w:bottom w:val="none" w:sz="0" w:space="0" w:color="auto"/>
        <w:right w:val="none" w:sz="0" w:space="0" w:color="auto"/>
      </w:divBdr>
    </w:div>
    <w:div w:id="1711881512">
      <w:bodyDiv w:val="1"/>
      <w:marLeft w:val="0"/>
      <w:marRight w:val="0"/>
      <w:marTop w:val="0"/>
      <w:marBottom w:val="0"/>
      <w:divBdr>
        <w:top w:val="none" w:sz="0" w:space="0" w:color="auto"/>
        <w:left w:val="none" w:sz="0" w:space="0" w:color="auto"/>
        <w:bottom w:val="none" w:sz="0" w:space="0" w:color="auto"/>
        <w:right w:val="none" w:sz="0" w:space="0" w:color="auto"/>
      </w:divBdr>
    </w:div>
    <w:div w:id="1716083589">
      <w:bodyDiv w:val="1"/>
      <w:marLeft w:val="0"/>
      <w:marRight w:val="0"/>
      <w:marTop w:val="0"/>
      <w:marBottom w:val="0"/>
      <w:divBdr>
        <w:top w:val="none" w:sz="0" w:space="0" w:color="auto"/>
        <w:left w:val="none" w:sz="0" w:space="0" w:color="auto"/>
        <w:bottom w:val="none" w:sz="0" w:space="0" w:color="auto"/>
        <w:right w:val="none" w:sz="0" w:space="0" w:color="auto"/>
      </w:divBdr>
    </w:div>
    <w:div w:id="1748728855">
      <w:bodyDiv w:val="1"/>
      <w:marLeft w:val="0"/>
      <w:marRight w:val="0"/>
      <w:marTop w:val="0"/>
      <w:marBottom w:val="0"/>
      <w:divBdr>
        <w:top w:val="none" w:sz="0" w:space="0" w:color="auto"/>
        <w:left w:val="none" w:sz="0" w:space="0" w:color="auto"/>
        <w:bottom w:val="none" w:sz="0" w:space="0" w:color="auto"/>
        <w:right w:val="none" w:sz="0" w:space="0" w:color="auto"/>
      </w:divBdr>
    </w:div>
    <w:div w:id="1767841080">
      <w:bodyDiv w:val="1"/>
      <w:marLeft w:val="0"/>
      <w:marRight w:val="0"/>
      <w:marTop w:val="0"/>
      <w:marBottom w:val="0"/>
      <w:divBdr>
        <w:top w:val="none" w:sz="0" w:space="0" w:color="auto"/>
        <w:left w:val="none" w:sz="0" w:space="0" w:color="auto"/>
        <w:bottom w:val="none" w:sz="0" w:space="0" w:color="auto"/>
        <w:right w:val="none" w:sz="0" w:space="0" w:color="auto"/>
      </w:divBdr>
      <w:divsChild>
        <w:div w:id="1831409945">
          <w:marLeft w:val="0"/>
          <w:marRight w:val="0"/>
          <w:marTop w:val="0"/>
          <w:marBottom w:val="0"/>
          <w:divBdr>
            <w:top w:val="none" w:sz="0" w:space="0" w:color="auto"/>
            <w:left w:val="none" w:sz="0" w:space="0" w:color="auto"/>
            <w:bottom w:val="none" w:sz="0" w:space="0" w:color="auto"/>
            <w:right w:val="none" w:sz="0" w:space="0" w:color="auto"/>
          </w:divBdr>
        </w:div>
      </w:divsChild>
    </w:div>
    <w:div w:id="1772168168">
      <w:bodyDiv w:val="1"/>
      <w:marLeft w:val="0"/>
      <w:marRight w:val="0"/>
      <w:marTop w:val="0"/>
      <w:marBottom w:val="0"/>
      <w:divBdr>
        <w:top w:val="none" w:sz="0" w:space="0" w:color="auto"/>
        <w:left w:val="none" w:sz="0" w:space="0" w:color="auto"/>
        <w:bottom w:val="none" w:sz="0" w:space="0" w:color="auto"/>
        <w:right w:val="none" w:sz="0" w:space="0" w:color="auto"/>
      </w:divBdr>
    </w:div>
    <w:div w:id="1773546130">
      <w:bodyDiv w:val="1"/>
      <w:marLeft w:val="0"/>
      <w:marRight w:val="0"/>
      <w:marTop w:val="0"/>
      <w:marBottom w:val="0"/>
      <w:divBdr>
        <w:top w:val="none" w:sz="0" w:space="0" w:color="auto"/>
        <w:left w:val="none" w:sz="0" w:space="0" w:color="auto"/>
        <w:bottom w:val="none" w:sz="0" w:space="0" w:color="auto"/>
        <w:right w:val="none" w:sz="0" w:space="0" w:color="auto"/>
      </w:divBdr>
      <w:divsChild>
        <w:div w:id="970206164">
          <w:marLeft w:val="0"/>
          <w:marRight w:val="0"/>
          <w:marTop w:val="0"/>
          <w:marBottom w:val="0"/>
          <w:divBdr>
            <w:top w:val="none" w:sz="0" w:space="0" w:color="auto"/>
            <w:left w:val="none" w:sz="0" w:space="0" w:color="auto"/>
            <w:bottom w:val="none" w:sz="0" w:space="0" w:color="auto"/>
            <w:right w:val="none" w:sz="0" w:space="0" w:color="auto"/>
          </w:divBdr>
          <w:divsChild>
            <w:div w:id="1093939885">
              <w:marLeft w:val="-225"/>
              <w:marRight w:val="-225"/>
              <w:marTop w:val="0"/>
              <w:marBottom w:val="0"/>
              <w:divBdr>
                <w:top w:val="none" w:sz="0" w:space="0" w:color="auto"/>
                <w:left w:val="none" w:sz="0" w:space="0" w:color="auto"/>
                <w:bottom w:val="none" w:sz="0" w:space="0" w:color="auto"/>
                <w:right w:val="none" w:sz="0" w:space="0" w:color="auto"/>
              </w:divBdr>
              <w:divsChild>
                <w:div w:id="168174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3424">
      <w:bodyDiv w:val="1"/>
      <w:marLeft w:val="0"/>
      <w:marRight w:val="0"/>
      <w:marTop w:val="0"/>
      <w:marBottom w:val="0"/>
      <w:divBdr>
        <w:top w:val="none" w:sz="0" w:space="0" w:color="auto"/>
        <w:left w:val="none" w:sz="0" w:space="0" w:color="auto"/>
        <w:bottom w:val="none" w:sz="0" w:space="0" w:color="auto"/>
        <w:right w:val="none" w:sz="0" w:space="0" w:color="auto"/>
      </w:divBdr>
    </w:div>
    <w:div w:id="1799109613">
      <w:bodyDiv w:val="1"/>
      <w:marLeft w:val="0"/>
      <w:marRight w:val="0"/>
      <w:marTop w:val="0"/>
      <w:marBottom w:val="0"/>
      <w:divBdr>
        <w:top w:val="none" w:sz="0" w:space="0" w:color="auto"/>
        <w:left w:val="none" w:sz="0" w:space="0" w:color="auto"/>
        <w:bottom w:val="none" w:sz="0" w:space="0" w:color="auto"/>
        <w:right w:val="none" w:sz="0" w:space="0" w:color="auto"/>
      </w:divBdr>
    </w:div>
    <w:div w:id="1803301615">
      <w:bodyDiv w:val="1"/>
      <w:marLeft w:val="0"/>
      <w:marRight w:val="0"/>
      <w:marTop w:val="0"/>
      <w:marBottom w:val="0"/>
      <w:divBdr>
        <w:top w:val="none" w:sz="0" w:space="0" w:color="auto"/>
        <w:left w:val="none" w:sz="0" w:space="0" w:color="auto"/>
        <w:bottom w:val="none" w:sz="0" w:space="0" w:color="auto"/>
        <w:right w:val="none" w:sz="0" w:space="0" w:color="auto"/>
      </w:divBdr>
    </w:div>
    <w:div w:id="1817533121">
      <w:bodyDiv w:val="1"/>
      <w:marLeft w:val="0"/>
      <w:marRight w:val="0"/>
      <w:marTop w:val="0"/>
      <w:marBottom w:val="0"/>
      <w:divBdr>
        <w:top w:val="none" w:sz="0" w:space="0" w:color="auto"/>
        <w:left w:val="none" w:sz="0" w:space="0" w:color="auto"/>
        <w:bottom w:val="none" w:sz="0" w:space="0" w:color="auto"/>
        <w:right w:val="none" w:sz="0" w:space="0" w:color="auto"/>
      </w:divBdr>
    </w:div>
    <w:div w:id="1821923462">
      <w:bodyDiv w:val="1"/>
      <w:marLeft w:val="0"/>
      <w:marRight w:val="0"/>
      <w:marTop w:val="0"/>
      <w:marBottom w:val="0"/>
      <w:divBdr>
        <w:top w:val="none" w:sz="0" w:space="0" w:color="auto"/>
        <w:left w:val="none" w:sz="0" w:space="0" w:color="auto"/>
        <w:bottom w:val="none" w:sz="0" w:space="0" w:color="auto"/>
        <w:right w:val="none" w:sz="0" w:space="0" w:color="auto"/>
      </w:divBdr>
      <w:divsChild>
        <w:div w:id="1738630954">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822574829">
      <w:bodyDiv w:val="1"/>
      <w:marLeft w:val="0"/>
      <w:marRight w:val="0"/>
      <w:marTop w:val="0"/>
      <w:marBottom w:val="0"/>
      <w:divBdr>
        <w:top w:val="none" w:sz="0" w:space="0" w:color="auto"/>
        <w:left w:val="none" w:sz="0" w:space="0" w:color="auto"/>
        <w:bottom w:val="none" w:sz="0" w:space="0" w:color="auto"/>
        <w:right w:val="none" w:sz="0" w:space="0" w:color="auto"/>
      </w:divBdr>
    </w:div>
    <w:div w:id="1822889991">
      <w:bodyDiv w:val="1"/>
      <w:marLeft w:val="0"/>
      <w:marRight w:val="0"/>
      <w:marTop w:val="0"/>
      <w:marBottom w:val="0"/>
      <w:divBdr>
        <w:top w:val="none" w:sz="0" w:space="0" w:color="auto"/>
        <w:left w:val="none" w:sz="0" w:space="0" w:color="auto"/>
        <w:bottom w:val="none" w:sz="0" w:space="0" w:color="auto"/>
        <w:right w:val="none" w:sz="0" w:space="0" w:color="auto"/>
      </w:divBdr>
      <w:divsChild>
        <w:div w:id="44179384">
          <w:marLeft w:val="0"/>
          <w:marRight w:val="0"/>
          <w:marTop w:val="43"/>
          <w:marBottom w:val="43"/>
          <w:divBdr>
            <w:top w:val="single" w:sz="4" w:space="0" w:color="auto"/>
            <w:left w:val="none" w:sz="0" w:space="0" w:color="auto"/>
            <w:bottom w:val="single" w:sz="4" w:space="0" w:color="auto"/>
            <w:right w:val="none" w:sz="0" w:space="0" w:color="auto"/>
          </w:divBdr>
        </w:div>
        <w:div w:id="129059051">
          <w:marLeft w:val="0"/>
          <w:marRight w:val="0"/>
          <w:marTop w:val="43"/>
          <w:marBottom w:val="43"/>
          <w:divBdr>
            <w:top w:val="single" w:sz="4" w:space="0" w:color="auto"/>
            <w:left w:val="none" w:sz="0" w:space="0" w:color="auto"/>
            <w:bottom w:val="single" w:sz="4" w:space="0" w:color="auto"/>
            <w:right w:val="none" w:sz="0" w:space="0" w:color="auto"/>
          </w:divBdr>
        </w:div>
        <w:div w:id="134376896">
          <w:marLeft w:val="0"/>
          <w:marRight w:val="0"/>
          <w:marTop w:val="43"/>
          <w:marBottom w:val="43"/>
          <w:divBdr>
            <w:top w:val="single" w:sz="4" w:space="0" w:color="auto"/>
            <w:left w:val="none" w:sz="0" w:space="0" w:color="auto"/>
            <w:bottom w:val="single" w:sz="4" w:space="0" w:color="auto"/>
            <w:right w:val="none" w:sz="0" w:space="0" w:color="auto"/>
          </w:divBdr>
        </w:div>
        <w:div w:id="149174452">
          <w:marLeft w:val="0"/>
          <w:marRight w:val="0"/>
          <w:marTop w:val="43"/>
          <w:marBottom w:val="43"/>
          <w:divBdr>
            <w:top w:val="single" w:sz="4" w:space="0" w:color="auto"/>
            <w:left w:val="none" w:sz="0" w:space="0" w:color="auto"/>
            <w:bottom w:val="single" w:sz="4" w:space="0" w:color="auto"/>
            <w:right w:val="none" w:sz="0" w:space="0" w:color="auto"/>
          </w:divBdr>
        </w:div>
        <w:div w:id="169680452">
          <w:marLeft w:val="0"/>
          <w:marRight w:val="0"/>
          <w:marTop w:val="43"/>
          <w:marBottom w:val="43"/>
          <w:divBdr>
            <w:top w:val="single" w:sz="4" w:space="0" w:color="auto"/>
            <w:left w:val="none" w:sz="0" w:space="0" w:color="auto"/>
            <w:bottom w:val="single" w:sz="4" w:space="0" w:color="auto"/>
            <w:right w:val="none" w:sz="0" w:space="0" w:color="auto"/>
          </w:divBdr>
        </w:div>
        <w:div w:id="204486219">
          <w:marLeft w:val="0"/>
          <w:marRight w:val="0"/>
          <w:marTop w:val="43"/>
          <w:marBottom w:val="43"/>
          <w:divBdr>
            <w:top w:val="single" w:sz="4" w:space="0" w:color="auto"/>
            <w:left w:val="none" w:sz="0" w:space="0" w:color="auto"/>
            <w:bottom w:val="single" w:sz="4" w:space="0" w:color="auto"/>
            <w:right w:val="none" w:sz="0" w:space="0" w:color="auto"/>
          </w:divBdr>
        </w:div>
        <w:div w:id="314184455">
          <w:marLeft w:val="0"/>
          <w:marRight w:val="0"/>
          <w:marTop w:val="43"/>
          <w:marBottom w:val="43"/>
          <w:divBdr>
            <w:top w:val="single" w:sz="4" w:space="0" w:color="auto"/>
            <w:left w:val="none" w:sz="0" w:space="0" w:color="auto"/>
            <w:bottom w:val="single" w:sz="4" w:space="0" w:color="auto"/>
            <w:right w:val="none" w:sz="0" w:space="0" w:color="auto"/>
          </w:divBdr>
        </w:div>
        <w:div w:id="314260602">
          <w:marLeft w:val="0"/>
          <w:marRight w:val="0"/>
          <w:marTop w:val="43"/>
          <w:marBottom w:val="43"/>
          <w:divBdr>
            <w:top w:val="single" w:sz="4" w:space="0" w:color="auto"/>
            <w:left w:val="none" w:sz="0" w:space="0" w:color="auto"/>
            <w:bottom w:val="single" w:sz="4" w:space="0" w:color="auto"/>
            <w:right w:val="none" w:sz="0" w:space="0" w:color="auto"/>
          </w:divBdr>
        </w:div>
        <w:div w:id="314531407">
          <w:marLeft w:val="0"/>
          <w:marRight w:val="0"/>
          <w:marTop w:val="43"/>
          <w:marBottom w:val="43"/>
          <w:divBdr>
            <w:top w:val="single" w:sz="4" w:space="0" w:color="auto"/>
            <w:left w:val="none" w:sz="0" w:space="0" w:color="auto"/>
            <w:bottom w:val="single" w:sz="4" w:space="0" w:color="auto"/>
            <w:right w:val="none" w:sz="0" w:space="0" w:color="auto"/>
          </w:divBdr>
        </w:div>
        <w:div w:id="491218342">
          <w:marLeft w:val="0"/>
          <w:marRight w:val="0"/>
          <w:marTop w:val="43"/>
          <w:marBottom w:val="43"/>
          <w:divBdr>
            <w:top w:val="single" w:sz="4" w:space="0" w:color="auto"/>
            <w:left w:val="none" w:sz="0" w:space="0" w:color="auto"/>
            <w:bottom w:val="single" w:sz="4" w:space="0" w:color="auto"/>
            <w:right w:val="none" w:sz="0" w:space="0" w:color="auto"/>
          </w:divBdr>
        </w:div>
        <w:div w:id="540090263">
          <w:marLeft w:val="0"/>
          <w:marRight w:val="0"/>
          <w:marTop w:val="43"/>
          <w:marBottom w:val="43"/>
          <w:divBdr>
            <w:top w:val="single" w:sz="4" w:space="0" w:color="auto"/>
            <w:left w:val="none" w:sz="0" w:space="0" w:color="auto"/>
            <w:bottom w:val="single" w:sz="4" w:space="0" w:color="auto"/>
            <w:right w:val="none" w:sz="0" w:space="0" w:color="auto"/>
          </w:divBdr>
        </w:div>
        <w:div w:id="594090629">
          <w:marLeft w:val="0"/>
          <w:marRight w:val="0"/>
          <w:marTop w:val="43"/>
          <w:marBottom w:val="43"/>
          <w:divBdr>
            <w:top w:val="single" w:sz="4" w:space="0" w:color="auto"/>
            <w:left w:val="none" w:sz="0" w:space="0" w:color="auto"/>
            <w:bottom w:val="single" w:sz="4" w:space="0" w:color="auto"/>
            <w:right w:val="none" w:sz="0" w:space="0" w:color="auto"/>
          </w:divBdr>
        </w:div>
        <w:div w:id="646937373">
          <w:marLeft w:val="0"/>
          <w:marRight w:val="0"/>
          <w:marTop w:val="43"/>
          <w:marBottom w:val="43"/>
          <w:divBdr>
            <w:top w:val="single" w:sz="4" w:space="0" w:color="auto"/>
            <w:left w:val="none" w:sz="0" w:space="0" w:color="auto"/>
            <w:bottom w:val="single" w:sz="4" w:space="0" w:color="auto"/>
            <w:right w:val="none" w:sz="0" w:space="0" w:color="auto"/>
          </w:divBdr>
        </w:div>
        <w:div w:id="653264882">
          <w:marLeft w:val="0"/>
          <w:marRight w:val="0"/>
          <w:marTop w:val="43"/>
          <w:marBottom w:val="43"/>
          <w:divBdr>
            <w:top w:val="single" w:sz="4" w:space="0" w:color="auto"/>
            <w:left w:val="none" w:sz="0" w:space="0" w:color="auto"/>
            <w:bottom w:val="single" w:sz="4" w:space="0" w:color="auto"/>
            <w:right w:val="none" w:sz="0" w:space="0" w:color="auto"/>
          </w:divBdr>
        </w:div>
        <w:div w:id="665522636">
          <w:marLeft w:val="0"/>
          <w:marRight w:val="0"/>
          <w:marTop w:val="245"/>
          <w:marBottom w:val="43"/>
          <w:divBdr>
            <w:top w:val="single" w:sz="4" w:space="0" w:color="DDDDDD"/>
            <w:left w:val="none" w:sz="0" w:space="0" w:color="auto"/>
            <w:bottom w:val="single" w:sz="4" w:space="0" w:color="EEEEEE"/>
            <w:right w:val="none" w:sz="0" w:space="0" w:color="auto"/>
          </w:divBdr>
        </w:div>
        <w:div w:id="703602750">
          <w:marLeft w:val="0"/>
          <w:marRight w:val="0"/>
          <w:marTop w:val="43"/>
          <w:marBottom w:val="43"/>
          <w:divBdr>
            <w:top w:val="single" w:sz="4" w:space="0" w:color="auto"/>
            <w:left w:val="none" w:sz="0" w:space="0" w:color="auto"/>
            <w:bottom w:val="single" w:sz="4" w:space="0" w:color="auto"/>
            <w:right w:val="none" w:sz="0" w:space="0" w:color="auto"/>
          </w:divBdr>
        </w:div>
        <w:div w:id="739986202">
          <w:marLeft w:val="0"/>
          <w:marRight w:val="0"/>
          <w:marTop w:val="43"/>
          <w:marBottom w:val="43"/>
          <w:divBdr>
            <w:top w:val="single" w:sz="4" w:space="0" w:color="auto"/>
            <w:left w:val="none" w:sz="0" w:space="0" w:color="auto"/>
            <w:bottom w:val="single" w:sz="4" w:space="0" w:color="auto"/>
            <w:right w:val="none" w:sz="0" w:space="0" w:color="auto"/>
          </w:divBdr>
        </w:div>
        <w:div w:id="763769032">
          <w:marLeft w:val="1296"/>
          <w:marRight w:val="0"/>
          <w:marTop w:val="14"/>
          <w:marBottom w:val="0"/>
          <w:divBdr>
            <w:top w:val="single" w:sz="4" w:space="0" w:color="auto"/>
            <w:left w:val="none" w:sz="0" w:space="0" w:color="auto"/>
            <w:bottom w:val="single" w:sz="4" w:space="0" w:color="auto"/>
            <w:right w:val="none" w:sz="0" w:space="0" w:color="auto"/>
          </w:divBdr>
        </w:div>
        <w:div w:id="873151952">
          <w:marLeft w:val="0"/>
          <w:marRight w:val="0"/>
          <w:marTop w:val="43"/>
          <w:marBottom w:val="43"/>
          <w:divBdr>
            <w:top w:val="single" w:sz="4" w:space="0" w:color="auto"/>
            <w:left w:val="none" w:sz="0" w:space="0" w:color="auto"/>
            <w:bottom w:val="single" w:sz="4" w:space="0" w:color="auto"/>
            <w:right w:val="none" w:sz="0" w:space="0" w:color="auto"/>
          </w:divBdr>
        </w:div>
        <w:div w:id="893157369">
          <w:marLeft w:val="0"/>
          <w:marRight w:val="0"/>
          <w:marTop w:val="43"/>
          <w:marBottom w:val="43"/>
          <w:divBdr>
            <w:top w:val="single" w:sz="4" w:space="0" w:color="auto"/>
            <w:left w:val="none" w:sz="0" w:space="0" w:color="auto"/>
            <w:bottom w:val="single" w:sz="4" w:space="0" w:color="auto"/>
            <w:right w:val="none" w:sz="0" w:space="0" w:color="auto"/>
          </w:divBdr>
        </w:div>
        <w:div w:id="924461551">
          <w:marLeft w:val="0"/>
          <w:marRight w:val="0"/>
          <w:marTop w:val="43"/>
          <w:marBottom w:val="43"/>
          <w:divBdr>
            <w:top w:val="single" w:sz="4" w:space="0" w:color="auto"/>
            <w:left w:val="none" w:sz="0" w:space="0" w:color="auto"/>
            <w:bottom w:val="single" w:sz="4" w:space="0" w:color="auto"/>
            <w:right w:val="none" w:sz="0" w:space="0" w:color="auto"/>
          </w:divBdr>
        </w:div>
        <w:div w:id="1015351015">
          <w:marLeft w:val="0"/>
          <w:marRight w:val="0"/>
          <w:marTop w:val="43"/>
          <w:marBottom w:val="43"/>
          <w:divBdr>
            <w:top w:val="single" w:sz="4" w:space="0" w:color="auto"/>
            <w:left w:val="none" w:sz="0" w:space="0" w:color="auto"/>
            <w:bottom w:val="single" w:sz="4" w:space="0" w:color="auto"/>
            <w:right w:val="none" w:sz="0" w:space="0" w:color="auto"/>
          </w:divBdr>
        </w:div>
        <w:div w:id="1184367767">
          <w:marLeft w:val="0"/>
          <w:marRight w:val="0"/>
          <w:marTop w:val="43"/>
          <w:marBottom w:val="43"/>
          <w:divBdr>
            <w:top w:val="single" w:sz="4" w:space="0" w:color="auto"/>
            <w:left w:val="none" w:sz="0" w:space="0" w:color="auto"/>
            <w:bottom w:val="single" w:sz="4" w:space="0" w:color="auto"/>
            <w:right w:val="none" w:sz="0" w:space="0" w:color="auto"/>
          </w:divBdr>
        </w:div>
        <w:div w:id="1203711536">
          <w:marLeft w:val="0"/>
          <w:marRight w:val="0"/>
          <w:marTop w:val="43"/>
          <w:marBottom w:val="43"/>
          <w:divBdr>
            <w:top w:val="single" w:sz="4" w:space="0" w:color="auto"/>
            <w:left w:val="none" w:sz="0" w:space="0" w:color="auto"/>
            <w:bottom w:val="single" w:sz="4" w:space="0" w:color="auto"/>
            <w:right w:val="none" w:sz="0" w:space="0" w:color="auto"/>
          </w:divBdr>
        </w:div>
        <w:div w:id="1211767579">
          <w:marLeft w:val="0"/>
          <w:marRight w:val="0"/>
          <w:marTop w:val="43"/>
          <w:marBottom w:val="43"/>
          <w:divBdr>
            <w:top w:val="single" w:sz="4" w:space="0" w:color="auto"/>
            <w:left w:val="none" w:sz="0" w:space="0" w:color="auto"/>
            <w:bottom w:val="single" w:sz="4" w:space="0" w:color="auto"/>
            <w:right w:val="none" w:sz="0" w:space="0" w:color="auto"/>
          </w:divBdr>
        </w:div>
        <w:div w:id="1306356826">
          <w:marLeft w:val="0"/>
          <w:marRight w:val="0"/>
          <w:marTop w:val="43"/>
          <w:marBottom w:val="43"/>
          <w:divBdr>
            <w:top w:val="single" w:sz="4" w:space="0" w:color="auto"/>
            <w:left w:val="none" w:sz="0" w:space="0" w:color="auto"/>
            <w:bottom w:val="single" w:sz="4" w:space="0" w:color="auto"/>
            <w:right w:val="none" w:sz="0" w:space="0" w:color="auto"/>
          </w:divBdr>
        </w:div>
        <w:div w:id="1322154543">
          <w:marLeft w:val="0"/>
          <w:marRight w:val="0"/>
          <w:marTop w:val="43"/>
          <w:marBottom w:val="43"/>
          <w:divBdr>
            <w:top w:val="single" w:sz="4" w:space="0" w:color="auto"/>
            <w:left w:val="none" w:sz="0" w:space="0" w:color="auto"/>
            <w:bottom w:val="single" w:sz="4" w:space="0" w:color="auto"/>
            <w:right w:val="none" w:sz="0" w:space="0" w:color="auto"/>
          </w:divBdr>
        </w:div>
        <w:div w:id="1343429868">
          <w:marLeft w:val="0"/>
          <w:marRight w:val="0"/>
          <w:marTop w:val="43"/>
          <w:marBottom w:val="43"/>
          <w:divBdr>
            <w:top w:val="single" w:sz="4" w:space="0" w:color="auto"/>
            <w:left w:val="none" w:sz="0" w:space="0" w:color="auto"/>
            <w:bottom w:val="single" w:sz="4" w:space="0" w:color="auto"/>
            <w:right w:val="none" w:sz="0" w:space="0" w:color="auto"/>
          </w:divBdr>
        </w:div>
        <w:div w:id="1350907577">
          <w:marLeft w:val="0"/>
          <w:marRight w:val="0"/>
          <w:marTop w:val="43"/>
          <w:marBottom w:val="43"/>
          <w:divBdr>
            <w:top w:val="single" w:sz="4" w:space="0" w:color="auto"/>
            <w:left w:val="none" w:sz="0" w:space="0" w:color="auto"/>
            <w:bottom w:val="single" w:sz="4" w:space="0" w:color="auto"/>
            <w:right w:val="none" w:sz="0" w:space="0" w:color="auto"/>
          </w:divBdr>
        </w:div>
        <w:div w:id="1392656443">
          <w:marLeft w:val="0"/>
          <w:marRight w:val="0"/>
          <w:marTop w:val="43"/>
          <w:marBottom w:val="43"/>
          <w:divBdr>
            <w:top w:val="single" w:sz="4" w:space="0" w:color="auto"/>
            <w:left w:val="none" w:sz="0" w:space="0" w:color="auto"/>
            <w:bottom w:val="single" w:sz="4" w:space="0" w:color="auto"/>
            <w:right w:val="none" w:sz="0" w:space="0" w:color="auto"/>
          </w:divBdr>
        </w:div>
        <w:div w:id="1464039651">
          <w:marLeft w:val="0"/>
          <w:marRight w:val="0"/>
          <w:marTop w:val="43"/>
          <w:marBottom w:val="43"/>
          <w:divBdr>
            <w:top w:val="single" w:sz="4" w:space="0" w:color="auto"/>
            <w:left w:val="none" w:sz="0" w:space="0" w:color="auto"/>
            <w:bottom w:val="single" w:sz="4" w:space="0" w:color="auto"/>
            <w:right w:val="none" w:sz="0" w:space="0" w:color="auto"/>
          </w:divBdr>
        </w:div>
        <w:div w:id="1524784195">
          <w:marLeft w:val="0"/>
          <w:marRight w:val="0"/>
          <w:marTop w:val="43"/>
          <w:marBottom w:val="43"/>
          <w:divBdr>
            <w:top w:val="single" w:sz="4" w:space="0" w:color="auto"/>
            <w:left w:val="none" w:sz="0" w:space="0" w:color="auto"/>
            <w:bottom w:val="single" w:sz="4" w:space="0" w:color="auto"/>
            <w:right w:val="none" w:sz="0" w:space="0" w:color="auto"/>
          </w:divBdr>
        </w:div>
        <w:div w:id="1592356188">
          <w:marLeft w:val="0"/>
          <w:marRight w:val="0"/>
          <w:marTop w:val="43"/>
          <w:marBottom w:val="43"/>
          <w:divBdr>
            <w:top w:val="single" w:sz="4" w:space="0" w:color="auto"/>
            <w:left w:val="none" w:sz="0" w:space="0" w:color="auto"/>
            <w:bottom w:val="single" w:sz="4" w:space="0" w:color="auto"/>
            <w:right w:val="none" w:sz="0" w:space="0" w:color="auto"/>
          </w:divBdr>
        </w:div>
        <w:div w:id="1613317205">
          <w:marLeft w:val="0"/>
          <w:marRight w:val="0"/>
          <w:marTop w:val="43"/>
          <w:marBottom w:val="43"/>
          <w:divBdr>
            <w:top w:val="single" w:sz="4" w:space="0" w:color="auto"/>
            <w:left w:val="none" w:sz="0" w:space="0" w:color="auto"/>
            <w:bottom w:val="single" w:sz="4" w:space="0" w:color="auto"/>
            <w:right w:val="none" w:sz="0" w:space="0" w:color="auto"/>
          </w:divBdr>
        </w:div>
        <w:div w:id="1688675649">
          <w:marLeft w:val="0"/>
          <w:marRight w:val="0"/>
          <w:marTop w:val="43"/>
          <w:marBottom w:val="43"/>
          <w:divBdr>
            <w:top w:val="single" w:sz="4" w:space="0" w:color="auto"/>
            <w:left w:val="none" w:sz="0" w:space="0" w:color="auto"/>
            <w:bottom w:val="single" w:sz="4" w:space="0" w:color="auto"/>
            <w:right w:val="none" w:sz="0" w:space="0" w:color="auto"/>
          </w:divBdr>
        </w:div>
        <w:div w:id="1758742630">
          <w:marLeft w:val="0"/>
          <w:marRight w:val="0"/>
          <w:marTop w:val="43"/>
          <w:marBottom w:val="43"/>
          <w:divBdr>
            <w:top w:val="single" w:sz="4" w:space="0" w:color="auto"/>
            <w:left w:val="none" w:sz="0" w:space="0" w:color="auto"/>
            <w:bottom w:val="single" w:sz="4" w:space="0" w:color="auto"/>
            <w:right w:val="none" w:sz="0" w:space="0" w:color="auto"/>
          </w:divBdr>
        </w:div>
        <w:div w:id="1788548307">
          <w:marLeft w:val="0"/>
          <w:marRight w:val="0"/>
          <w:marTop w:val="43"/>
          <w:marBottom w:val="43"/>
          <w:divBdr>
            <w:top w:val="single" w:sz="4" w:space="0" w:color="auto"/>
            <w:left w:val="none" w:sz="0" w:space="0" w:color="auto"/>
            <w:bottom w:val="single" w:sz="4" w:space="0" w:color="auto"/>
            <w:right w:val="none" w:sz="0" w:space="0" w:color="auto"/>
          </w:divBdr>
        </w:div>
        <w:div w:id="1830051214">
          <w:marLeft w:val="0"/>
          <w:marRight w:val="0"/>
          <w:marTop w:val="43"/>
          <w:marBottom w:val="43"/>
          <w:divBdr>
            <w:top w:val="single" w:sz="4" w:space="0" w:color="auto"/>
            <w:left w:val="none" w:sz="0" w:space="0" w:color="auto"/>
            <w:bottom w:val="single" w:sz="4" w:space="0" w:color="auto"/>
            <w:right w:val="none" w:sz="0" w:space="0" w:color="auto"/>
          </w:divBdr>
        </w:div>
        <w:div w:id="1871990717">
          <w:marLeft w:val="0"/>
          <w:marRight w:val="0"/>
          <w:marTop w:val="43"/>
          <w:marBottom w:val="43"/>
          <w:divBdr>
            <w:top w:val="single" w:sz="4" w:space="0" w:color="auto"/>
            <w:left w:val="none" w:sz="0" w:space="0" w:color="auto"/>
            <w:bottom w:val="single" w:sz="4" w:space="0" w:color="auto"/>
            <w:right w:val="none" w:sz="0" w:space="0" w:color="auto"/>
          </w:divBdr>
        </w:div>
        <w:div w:id="1902903962">
          <w:marLeft w:val="0"/>
          <w:marRight w:val="0"/>
          <w:marTop w:val="43"/>
          <w:marBottom w:val="43"/>
          <w:divBdr>
            <w:top w:val="single" w:sz="4" w:space="0" w:color="auto"/>
            <w:left w:val="none" w:sz="0" w:space="0" w:color="auto"/>
            <w:bottom w:val="single" w:sz="4" w:space="0" w:color="auto"/>
            <w:right w:val="none" w:sz="0" w:space="0" w:color="auto"/>
          </w:divBdr>
        </w:div>
        <w:div w:id="1926069545">
          <w:marLeft w:val="0"/>
          <w:marRight w:val="0"/>
          <w:marTop w:val="43"/>
          <w:marBottom w:val="43"/>
          <w:divBdr>
            <w:top w:val="single" w:sz="4" w:space="0" w:color="auto"/>
            <w:left w:val="none" w:sz="0" w:space="0" w:color="auto"/>
            <w:bottom w:val="single" w:sz="4" w:space="0" w:color="auto"/>
            <w:right w:val="none" w:sz="0" w:space="0" w:color="auto"/>
          </w:divBdr>
        </w:div>
        <w:div w:id="1953004655">
          <w:marLeft w:val="0"/>
          <w:marRight w:val="0"/>
          <w:marTop w:val="43"/>
          <w:marBottom w:val="43"/>
          <w:divBdr>
            <w:top w:val="single" w:sz="4" w:space="0" w:color="auto"/>
            <w:left w:val="none" w:sz="0" w:space="0" w:color="auto"/>
            <w:bottom w:val="single" w:sz="4" w:space="0" w:color="auto"/>
            <w:right w:val="none" w:sz="0" w:space="0" w:color="auto"/>
          </w:divBdr>
        </w:div>
        <w:div w:id="2080712733">
          <w:marLeft w:val="0"/>
          <w:marRight w:val="0"/>
          <w:marTop w:val="43"/>
          <w:marBottom w:val="43"/>
          <w:divBdr>
            <w:top w:val="single" w:sz="4" w:space="0" w:color="auto"/>
            <w:left w:val="none" w:sz="0" w:space="0" w:color="auto"/>
            <w:bottom w:val="single" w:sz="4" w:space="0" w:color="auto"/>
            <w:right w:val="none" w:sz="0" w:space="0" w:color="auto"/>
          </w:divBdr>
        </w:div>
        <w:div w:id="2125953906">
          <w:marLeft w:val="0"/>
          <w:marRight w:val="0"/>
          <w:marTop w:val="43"/>
          <w:marBottom w:val="43"/>
          <w:divBdr>
            <w:top w:val="single" w:sz="4" w:space="0" w:color="auto"/>
            <w:left w:val="none" w:sz="0" w:space="0" w:color="auto"/>
            <w:bottom w:val="single" w:sz="4" w:space="0" w:color="auto"/>
            <w:right w:val="none" w:sz="0" w:space="0" w:color="auto"/>
          </w:divBdr>
        </w:div>
      </w:divsChild>
    </w:div>
    <w:div w:id="1825126518">
      <w:bodyDiv w:val="1"/>
      <w:marLeft w:val="0"/>
      <w:marRight w:val="0"/>
      <w:marTop w:val="0"/>
      <w:marBottom w:val="0"/>
      <w:divBdr>
        <w:top w:val="none" w:sz="0" w:space="0" w:color="auto"/>
        <w:left w:val="none" w:sz="0" w:space="0" w:color="auto"/>
        <w:bottom w:val="none" w:sz="0" w:space="0" w:color="auto"/>
        <w:right w:val="none" w:sz="0" w:space="0" w:color="auto"/>
      </w:divBdr>
      <w:divsChild>
        <w:div w:id="1748963385">
          <w:marLeft w:val="0"/>
          <w:marRight w:val="0"/>
          <w:marTop w:val="0"/>
          <w:marBottom w:val="0"/>
          <w:divBdr>
            <w:top w:val="none" w:sz="0" w:space="0" w:color="auto"/>
            <w:left w:val="none" w:sz="0" w:space="0" w:color="auto"/>
            <w:bottom w:val="none" w:sz="0" w:space="0" w:color="auto"/>
            <w:right w:val="none" w:sz="0" w:space="0" w:color="auto"/>
          </w:divBdr>
          <w:divsChild>
            <w:div w:id="63729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545802">
      <w:bodyDiv w:val="1"/>
      <w:marLeft w:val="0"/>
      <w:marRight w:val="0"/>
      <w:marTop w:val="0"/>
      <w:marBottom w:val="0"/>
      <w:divBdr>
        <w:top w:val="none" w:sz="0" w:space="0" w:color="auto"/>
        <w:left w:val="none" w:sz="0" w:space="0" w:color="auto"/>
        <w:bottom w:val="none" w:sz="0" w:space="0" w:color="auto"/>
        <w:right w:val="none" w:sz="0" w:space="0" w:color="auto"/>
      </w:divBdr>
      <w:divsChild>
        <w:div w:id="2126851548">
          <w:marLeft w:val="0"/>
          <w:marRight w:val="0"/>
          <w:marTop w:val="0"/>
          <w:marBottom w:val="0"/>
          <w:divBdr>
            <w:top w:val="none" w:sz="0" w:space="0" w:color="auto"/>
            <w:left w:val="none" w:sz="0" w:space="0" w:color="auto"/>
            <w:bottom w:val="none" w:sz="0" w:space="0" w:color="auto"/>
            <w:right w:val="none" w:sz="0" w:space="0" w:color="auto"/>
          </w:divBdr>
        </w:div>
      </w:divsChild>
    </w:div>
    <w:div w:id="1829511468">
      <w:bodyDiv w:val="1"/>
      <w:marLeft w:val="0"/>
      <w:marRight w:val="0"/>
      <w:marTop w:val="0"/>
      <w:marBottom w:val="0"/>
      <w:divBdr>
        <w:top w:val="none" w:sz="0" w:space="0" w:color="auto"/>
        <w:left w:val="none" w:sz="0" w:space="0" w:color="auto"/>
        <w:bottom w:val="none" w:sz="0" w:space="0" w:color="auto"/>
        <w:right w:val="none" w:sz="0" w:space="0" w:color="auto"/>
      </w:divBdr>
    </w:div>
    <w:div w:id="1832940987">
      <w:bodyDiv w:val="1"/>
      <w:marLeft w:val="0"/>
      <w:marRight w:val="0"/>
      <w:marTop w:val="0"/>
      <w:marBottom w:val="0"/>
      <w:divBdr>
        <w:top w:val="none" w:sz="0" w:space="0" w:color="auto"/>
        <w:left w:val="none" w:sz="0" w:space="0" w:color="auto"/>
        <w:bottom w:val="none" w:sz="0" w:space="0" w:color="auto"/>
        <w:right w:val="none" w:sz="0" w:space="0" w:color="auto"/>
      </w:divBdr>
      <w:divsChild>
        <w:div w:id="1249001996">
          <w:marLeft w:val="0"/>
          <w:marRight w:val="0"/>
          <w:marTop w:val="0"/>
          <w:marBottom w:val="0"/>
          <w:divBdr>
            <w:top w:val="none" w:sz="0" w:space="0" w:color="auto"/>
            <w:left w:val="none" w:sz="0" w:space="0" w:color="auto"/>
            <w:bottom w:val="none" w:sz="0" w:space="0" w:color="auto"/>
            <w:right w:val="none" w:sz="0" w:space="0" w:color="auto"/>
          </w:divBdr>
          <w:divsChild>
            <w:div w:id="29503697">
              <w:marLeft w:val="0"/>
              <w:marRight w:val="0"/>
              <w:marTop w:val="0"/>
              <w:marBottom w:val="0"/>
              <w:divBdr>
                <w:top w:val="none" w:sz="0" w:space="0" w:color="auto"/>
                <w:left w:val="none" w:sz="0" w:space="0" w:color="auto"/>
                <w:bottom w:val="none" w:sz="0" w:space="0" w:color="auto"/>
                <w:right w:val="none" w:sz="0" w:space="0" w:color="auto"/>
              </w:divBdr>
              <w:divsChild>
                <w:div w:id="1403943688">
                  <w:marLeft w:val="0"/>
                  <w:marRight w:val="0"/>
                  <w:marTop w:val="0"/>
                  <w:marBottom w:val="0"/>
                  <w:divBdr>
                    <w:top w:val="none" w:sz="0" w:space="0" w:color="auto"/>
                    <w:left w:val="none" w:sz="0" w:space="0" w:color="auto"/>
                    <w:bottom w:val="none" w:sz="0" w:space="0" w:color="auto"/>
                    <w:right w:val="none" w:sz="0" w:space="0" w:color="auto"/>
                  </w:divBdr>
                  <w:divsChild>
                    <w:div w:id="257762686">
                      <w:marLeft w:val="0"/>
                      <w:marRight w:val="0"/>
                      <w:marTop w:val="0"/>
                      <w:marBottom w:val="0"/>
                      <w:divBdr>
                        <w:top w:val="none" w:sz="0" w:space="0" w:color="auto"/>
                        <w:left w:val="none" w:sz="0" w:space="0" w:color="auto"/>
                        <w:bottom w:val="none" w:sz="0" w:space="0" w:color="auto"/>
                        <w:right w:val="none" w:sz="0" w:space="0" w:color="auto"/>
                      </w:divBdr>
                      <w:divsChild>
                        <w:div w:id="624851403">
                          <w:marLeft w:val="0"/>
                          <w:marRight w:val="0"/>
                          <w:marTop w:val="0"/>
                          <w:marBottom w:val="0"/>
                          <w:divBdr>
                            <w:top w:val="none" w:sz="0" w:space="0" w:color="auto"/>
                            <w:left w:val="none" w:sz="0" w:space="0" w:color="auto"/>
                            <w:bottom w:val="none" w:sz="0" w:space="0" w:color="auto"/>
                            <w:right w:val="none" w:sz="0" w:space="0" w:color="auto"/>
                          </w:divBdr>
                          <w:divsChild>
                            <w:div w:id="1876580262">
                              <w:marLeft w:val="0"/>
                              <w:marRight w:val="0"/>
                              <w:marTop w:val="0"/>
                              <w:marBottom w:val="0"/>
                              <w:divBdr>
                                <w:top w:val="none" w:sz="0" w:space="0" w:color="auto"/>
                                <w:left w:val="none" w:sz="0" w:space="0" w:color="auto"/>
                                <w:bottom w:val="none" w:sz="0" w:space="0" w:color="auto"/>
                                <w:right w:val="none" w:sz="0" w:space="0" w:color="auto"/>
                              </w:divBdr>
                              <w:divsChild>
                                <w:div w:id="107436441">
                                  <w:marLeft w:val="0"/>
                                  <w:marRight w:val="0"/>
                                  <w:marTop w:val="0"/>
                                  <w:marBottom w:val="0"/>
                                  <w:divBdr>
                                    <w:top w:val="none" w:sz="0" w:space="0" w:color="auto"/>
                                    <w:left w:val="none" w:sz="0" w:space="0" w:color="auto"/>
                                    <w:bottom w:val="none" w:sz="0" w:space="0" w:color="auto"/>
                                    <w:right w:val="none" w:sz="0" w:space="0" w:color="auto"/>
                                  </w:divBdr>
                                  <w:divsChild>
                                    <w:div w:id="1599363001">
                                      <w:marLeft w:val="0"/>
                                      <w:marRight w:val="0"/>
                                      <w:marTop w:val="0"/>
                                      <w:marBottom w:val="0"/>
                                      <w:divBdr>
                                        <w:top w:val="none" w:sz="0" w:space="0" w:color="auto"/>
                                        <w:left w:val="none" w:sz="0" w:space="0" w:color="auto"/>
                                        <w:bottom w:val="none" w:sz="0" w:space="0" w:color="auto"/>
                                        <w:right w:val="none" w:sz="0" w:space="0" w:color="auto"/>
                                      </w:divBdr>
                                      <w:divsChild>
                                        <w:div w:id="958030821">
                                          <w:marLeft w:val="0"/>
                                          <w:marRight w:val="0"/>
                                          <w:marTop w:val="0"/>
                                          <w:marBottom w:val="0"/>
                                          <w:divBdr>
                                            <w:top w:val="none" w:sz="0" w:space="0" w:color="auto"/>
                                            <w:left w:val="none" w:sz="0" w:space="0" w:color="auto"/>
                                            <w:bottom w:val="none" w:sz="0" w:space="0" w:color="auto"/>
                                            <w:right w:val="none" w:sz="0" w:space="0" w:color="auto"/>
                                          </w:divBdr>
                                          <w:divsChild>
                                            <w:div w:id="851341128">
                                              <w:marLeft w:val="0"/>
                                              <w:marRight w:val="0"/>
                                              <w:marTop w:val="0"/>
                                              <w:marBottom w:val="0"/>
                                              <w:divBdr>
                                                <w:top w:val="none" w:sz="0" w:space="0" w:color="auto"/>
                                                <w:left w:val="none" w:sz="0" w:space="0" w:color="auto"/>
                                                <w:bottom w:val="none" w:sz="0" w:space="0" w:color="auto"/>
                                                <w:right w:val="none" w:sz="0" w:space="0" w:color="auto"/>
                                              </w:divBdr>
                                              <w:divsChild>
                                                <w:div w:id="864559711">
                                                  <w:marLeft w:val="0"/>
                                                  <w:marRight w:val="0"/>
                                                  <w:marTop w:val="0"/>
                                                  <w:marBottom w:val="0"/>
                                                  <w:divBdr>
                                                    <w:top w:val="none" w:sz="0" w:space="0" w:color="auto"/>
                                                    <w:left w:val="none" w:sz="0" w:space="0" w:color="auto"/>
                                                    <w:bottom w:val="none" w:sz="0" w:space="0" w:color="auto"/>
                                                    <w:right w:val="none" w:sz="0" w:space="0" w:color="auto"/>
                                                  </w:divBdr>
                                                  <w:divsChild>
                                                    <w:div w:id="66879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3788140">
      <w:bodyDiv w:val="1"/>
      <w:marLeft w:val="0"/>
      <w:marRight w:val="0"/>
      <w:marTop w:val="0"/>
      <w:marBottom w:val="0"/>
      <w:divBdr>
        <w:top w:val="none" w:sz="0" w:space="0" w:color="auto"/>
        <w:left w:val="none" w:sz="0" w:space="0" w:color="auto"/>
        <w:bottom w:val="none" w:sz="0" w:space="0" w:color="auto"/>
        <w:right w:val="none" w:sz="0" w:space="0" w:color="auto"/>
      </w:divBdr>
    </w:div>
    <w:div w:id="1839925363">
      <w:bodyDiv w:val="1"/>
      <w:marLeft w:val="0"/>
      <w:marRight w:val="0"/>
      <w:marTop w:val="0"/>
      <w:marBottom w:val="0"/>
      <w:divBdr>
        <w:top w:val="none" w:sz="0" w:space="0" w:color="auto"/>
        <w:left w:val="none" w:sz="0" w:space="0" w:color="auto"/>
        <w:bottom w:val="none" w:sz="0" w:space="0" w:color="auto"/>
        <w:right w:val="none" w:sz="0" w:space="0" w:color="auto"/>
      </w:divBdr>
      <w:divsChild>
        <w:div w:id="1063986792">
          <w:marLeft w:val="0"/>
          <w:marRight w:val="0"/>
          <w:marTop w:val="0"/>
          <w:marBottom w:val="0"/>
          <w:divBdr>
            <w:top w:val="none" w:sz="0" w:space="0" w:color="auto"/>
            <w:left w:val="none" w:sz="0" w:space="0" w:color="auto"/>
            <w:bottom w:val="none" w:sz="0" w:space="0" w:color="auto"/>
            <w:right w:val="none" w:sz="0" w:space="0" w:color="auto"/>
          </w:divBdr>
          <w:divsChild>
            <w:div w:id="726105849">
              <w:marLeft w:val="0"/>
              <w:marRight w:val="0"/>
              <w:marTop w:val="0"/>
              <w:marBottom w:val="0"/>
              <w:divBdr>
                <w:top w:val="none" w:sz="0" w:space="0" w:color="auto"/>
                <w:left w:val="none" w:sz="0" w:space="0" w:color="auto"/>
                <w:bottom w:val="none" w:sz="0" w:space="0" w:color="auto"/>
                <w:right w:val="none" w:sz="0" w:space="0" w:color="auto"/>
              </w:divBdr>
              <w:divsChild>
                <w:div w:id="937444144">
                  <w:marLeft w:val="0"/>
                  <w:marRight w:val="0"/>
                  <w:marTop w:val="0"/>
                  <w:marBottom w:val="0"/>
                  <w:divBdr>
                    <w:top w:val="none" w:sz="0" w:space="0" w:color="auto"/>
                    <w:left w:val="none" w:sz="0" w:space="0" w:color="auto"/>
                    <w:bottom w:val="none" w:sz="0" w:space="0" w:color="auto"/>
                    <w:right w:val="none" w:sz="0" w:space="0" w:color="auto"/>
                  </w:divBdr>
                  <w:divsChild>
                    <w:div w:id="173165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312692">
      <w:bodyDiv w:val="1"/>
      <w:marLeft w:val="0"/>
      <w:marRight w:val="0"/>
      <w:marTop w:val="0"/>
      <w:marBottom w:val="0"/>
      <w:divBdr>
        <w:top w:val="none" w:sz="0" w:space="0" w:color="auto"/>
        <w:left w:val="none" w:sz="0" w:space="0" w:color="auto"/>
        <w:bottom w:val="none" w:sz="0" w:space="0" w:color="auto"/>
        <w:right w:val="none" w:sz="0" w:space="0" w:color="auto"/>
      </w:divBdr>
    </w:div>
    <w:div w:id="1843348584">
      <w:bodyDiv w:val="1"/>
      <w:marLeft w:val="0"/>
      <w:marRight w:val="0"/>
      <w:marTop w:val="0"/>
      <w:marBottom w:val="0"/>
      <w:divBdr>
        <w:top w:val="none" w:sz="0" w:space="0" w:color="auto"/>
        <w:left w:val="none" w:sz="0" w:space="0" w:color="auto"/>
        <w:bottom w:val="none" w:sz="0" w:space="0" w:color="auto"/>
        <w:right w:val="none" w:sz="0" w:space="0" w:color="auto"/>
      </w:divBdr>
    </w:div>
    <w:div w:id="1844319041">
      <w:bodyDiv w:val="1"/>
      <w:marLeft w:val="0"/>
      <w:marRight w:val="0"/>
      <w:marTop w:val="0"/>
      <w:marBottom w:val="0"/>
      <w:divBdr>
        <w:top w:val="none" w:sz="0" w:space="0" w:color="auto"/>
        <w:left w:val="none" w:sz="0" w:space="0" w:color="auto"/>
        <w:bottom w:val="none" w:sz="0" w:space="0" w:color="auto"/>
        <w:right w:val="none" w:sz="0" w:space="0" w:color="auto"/>
      </w:divBdr>
      <w:divsChild>
        <w:div w:id="1645701901">
          <w:marLeft w:val="0"/>
          <w:marRight w:val="0"/>
          <w:marTop w:val="0"/>
          <w:marBottom w:val="0"/>
          <w:divBdr>
            <w:top w:val="none" w:sz="0" w:space="0" w:color="auto"/>
            <w:left w:val="none" w:sz="0" w:space="0" w:color="auto"/>
            <w:bottom w:val="none" w:sz="0" w:space="0" w:color="auto"/>
            <w:right w:val="none" w:sz="0" w:space="0" w:color="auto"/>
          </w:divBdr>
          <w:divsChild>
            <w:div w:id="1179929825">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1849565628">
      <w:bodyDiv w:val="1"/>
      <w:marLeft w:val="0"/>
      <w:marRight w:val="0"/>
      <w:marTop w:val="0"/>
      <w:marBottom w:val="0"/>
      <w:divBdr>
        <w:top w:val="none" w:sz="0" w:space="0" w:color="auto"/>
        <w:left w:val="none" w:sz="0" w:space="0" w:color="auto"/>
        <w:bottom w:val="none" w:sz="0" w:space="0" w:color="auto"/>
        <w:right w:val="none" w:sz="0" w:space="0" w:color="auto"/>
      </w:divBdr>
      <w:divsChild>
        <w:div w:id="748112484">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852068601">
      <w:bodyDiv w:val="1"/>
      <w:marLeft w:val="0"/>
      <w:marRight w:val="0"/>
      <w:marTop w:val="0"/>
      <w:marBottom w:val="0"/>
      <w:divBdr>
        <w:top w:val="none" w:sz="0" w:space="0" w:color="auto"/>
        <w:left w:val="none" w:sz="0" w:space="0" w:color="auto"/>
        <w:bottom w:val="none" w:sz="0" w:space="0" w:color="auto"/>
        <w:right w:val="none" w:sz="0" w:space="0" w:color="auto"/>
      </w:divBdr>
      <w:divsChild>
        <w:div w:id="397022119">
          <w:marLeft w:val="0"/>
          <w:marRight w:val="0"/>
          <w:marTop w:val="0"/>
          <w:marBottom w:val="0"/>
          <w:divBdr>
            <w:top w:val="none" w:sz="0" w:space="0" w:color="auto"/>
            <w:left w:val="none" w:sz="0" w:space="0" w:color="auto"/>
            <w:bottom w:val="none" w:sz="0" w:space="0" w:color="auto"/>
            <w:right w:val="none" w:sz="0" w:space="0" w:color="auto"/>
          </w:divBdr>
          <w:divsChild>
            <w:div w:id="829173778">
              <w:marLeft w:val="0"/>
              <w:marRight w:val="0"/>
              <w:marTop w:val="0"/>
              <w:marBottom w:val="0"/>
              <w:divBdr>
                <w:top w:val="none" w:sz="0" w:space="0" w:color="auto"/>
                <w:left w:val="none" w:sz="0" w:space="0" w:color="auto"/>
                <w:bottom w:val="none" w:sz="0" w:space="0" w:color="auto"/>
                <w:right w:val="none" w:sz="0" w:space="0" w:color="auto"/>
              </w:divBdr>
            </w:div>
            <w:div w:id="1087580800">
              <w:marLeft w:val="0"/>
              <w:marRight w:val="0"/>
              <w:marTop w:val="0"/>
              <w:marBottom w:val="0"/>
              <w:divBdr>
                <w:top w:val="none" w:sz="0" w:space="0" w:color="auto"/>
                <w:left w:val="none" w:sz="0" w:space="0" w:color="auto"/>
                <w:bottom w:val="none" w:sz="0" w:space="0" w:color="auto"/>
                <w:right w:val="none" w:sz="0" w:space="0" w:color="auto"/>
              </w:divBdr>
              <w:divsChild>
                <w:div w:id="816147338">
                  <w:marLeft w:val="0"/>
                  <w:marRight w:val="0"/>
                  <w:marTop w:val="0"/>
                  <w:marBottom w:val="0"/>
                  <w:divBdr>
                    <w:top w:val="none" w:sz="0" w:space="0" w:color="auto"/>
                    <w:left w:val="none" w:sz="0" w:space="0" w:color="auto"/>
                    <w:bottom w:val="none" w:sz="0" w:space="0" w:color="auto"/>
                    <w:right w:val="none" w:sz="0" w:space="0" w:color="auto"/>
                  </w:divBdr>
                </w:div>
                <w:div w:id="1125930319">
                  <w:marLeft w:val="0"/>
                  <w:marRight w:val="0"/>
                  <w:marTop w:val="0"/>
                  <w:marBottom w:val="0"/>
                  <w:divBdr>
                    <w:top w:val="none" w:sz="0" w:space="0" w:color="auto"/>
                    <w:left w:val="none" w:sz="0" w:space="0" w:color="auto"/>
                    <w:bottom w:val="none" w:sz="0" w:space="0" w:color="auto"/>
                    <w:right w:val="none" w:sz="0" w:space="0" w:color="auto"/>
                  </w:divBdr>
                </w:div>
                <w:div w:id="1223785302">
                  <w:marLeft w:val="0"/>
                  <w:marRight w:val="0"/>
                  <w:marTop w:val="0"/>
                  <w:marBottom w:val="0"/>
                  <w:divBdr>
                    <w:top w:val="none" w:sz="0" w:space="0" w:color="auto"/>
                    <w:left w:val="none" w:sz="0" w:space="0" w:color="auto"/>
                    <w:bottom w:val="none" w:sz="0" w:space="0" w:color="auto"/>
                    <w:right w:val="none" w:sz="0" w:space="0" w:color="auto"/>
                  </w:divBdr>
                </w:div>
              </w:divsChild>
            </w:div>
            <w:div w:id="1441993891">
              <w:marLeft w:val="0"/>
              <w:marRight w:val="0"/>
              <w:marTop w:val="0"/>
              <w:marBottom w:val="0"/>
              <w:divBdr>
                <w:top w:val="none" w:sz="0" w:space="0" w:color="auto"/>
                <w:left w:val="none" w:sz="0" w:space="0" w:color="auto"/>
                <w:bottom w:val="none" w:sz="0" w:space="0" w:color="auto"/>
                <w:right w:val="none" w:sz="0" w:space="0" w:color="auto"/>
              </w:divBdr>
            </w:div>
            <w:div w:id="1752659742">
              <w:marLeft w:val="0"/>
              <w:marRight w:val="0"/>
              <w:marTop w:val="0"/>
              <w:marBottom w:val="0"/>
              <w:divBdr>
                <w:top w:val="none" w:sz="0" w:space="0" w:color="auto"/>
                <w:left w:val="none" w:sz="0" w:space="0" w:color="auto"/>
                <w:bottom w:val="none" w:sz="0" w:space="0" w:color="auto"/>
                <w:right w:val="none" w:sz="0" w:space="0" w:color="auto"/>
              </w:divBdr>
            </w:div>
          </w:divsChild>
        </w:div>
        <w:div w:id="1506244155">
          <w:marLeft w:val="0"/>
          <w:marRight w:val="0"/>
          <w:marTop w:val="0"/>
          <w:marBottom w:val="0"/>
          <w:divBdr>
            <w:top w:val="none" w:sz="0" w:space="0" w:color="auto"/>
            <w:left w:val="none" w:sz="0" w:space="0" w:color="auto"/>
            <w:bottom w:val="none" w:sz="0" w:space="0" w:color="auto"/>
            <w:right w:val="none" w:sz="0" w:space="0" w:color="auto"/>
          </w:divBdr>
        </w:div>
      </w:divsChild>
    </w:div>
    <w:div w:id="1858883155">
      <w:bodyDiv w:val="1"/>
      <w:marLeft w:val="0"/>
      <w:marRight w:val="0"/>
      <w:marTop w:val="0"/>
      <w:marBottom w:val="0"/>
      <w:divBdr>
        <w:top w:val="none" w:sz="0" w:space="0" w:color="auto"/>
        <w:left w:val="none" w:sz="0" w:space="0" w:color="auto"/>
        <w:bottom w:val="none" w:sz="0" w:space="0" w:color="auto"/>
        <w:right w:val="none" w:sz="0" w:space="0" w:color="auto"/>
      </w:divBdr>
      <w:divsChild>
        <w:div w:id="1786460330">
          <w:marLeft w:val="0"/>
          <w:marRight w:val="0"/>
          <w:marTop w:val="0"/>
          <w:marBottom w:val="0"/>
          <w:divBdr>
            <w:top w:val="none" w:sz="0" w:space="0" w:color="auto"/>
            <w:left w:val="none" w:sz="0" w:space="0" w:color="auto"/>
            <w:bottom w:val="none" w:sz="0" w:space="0" w:color="auto"/>
            <w:right w:val="none" w:sz="0" w:space="0" w:color="auto"/>
          </w:divBdr>
          <w:divsChild>
            <w:div w:id="584264800">
              <w:marLeft w:val="3225"/>
              <w:marRight w:val="0"/>
              <w:marTop w:val="0"/>
              <w:marBottom w:val="0"/>
              <w:divBdr>
                <w:top w:val="none" w:sz="0" w:space="0" w:color="auto"/>
                <w:left w:val="none" w:sz="0" w:space="0" w:color="auto"/>
                <w:bottom w:val="none" w:sz="0" w:space="0" w:color="auto"/>
                <w:right w:val="none" w:sz="0" w:space="0" w:color="auto"/>
              </w:divBdr>
              <w:divsChild>
                <w:div w:id="1250968058">
                  <w:marLeft w:val="90"/>
                  <w:marRight w:val="0"/>
                  <w:marTop w:val="0"/>
                  <w:marBottom w:val="0"/>
                  <w:divBdr>
                    <w:top w:val="single" w:sz="6" w:space="0" w:color="EEEEEE"/>
                    <w:left w:val="none" w:sz="0" w:space="0" w:color="auto"/>
                    <w:bottom w:val="none" w:sz="0" w:space="0" w:color="auto"/>
                    <w:right w:val="none" w:sz="0" w:space="0" w:color="auto"/>
                  </w:divBdr>
                  <w:divsChild>
                    <w:div w:id="1283345769">
                      <w:marLeft w:val="0"/>
                      <w:marRight w:val="0"/>
                      <w:marTop w:val="0"/>
                      <w:marBottom w:val="0"/>
                      <w:divBdr>
                        <w:top w:val="none" w:sz="0" w:space="0" w:color="auto"/>
                        <w:left w:val="none" w:sz="0" w:space="0" w:color="auto"/>
                        <w:bottom w:val="none" w:sz="0" w:space="0" w:color="auto"/>
                        <w:right w:val="none" w:sz="0" w:space="0" w:color="auto"/>
                      </w:divBdr>
                      <w:divsChild>
                        <w:div w:id="116320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6467">
      <w:bodyDiv w:val="1"/>
      <w:marLeft w:val="0"/>
      <w:marRight w:val="0"/>
      <w:marTop w:val="0"/>
      <w:marBottom w:val="0"/>
      <w:divBdr>
        <w:top w:val="none" w:sz="0" w:space="0" w:color="auto"/>
        <w:left w:val="none" w:sz="0" w:space="0" w:color="auto"/>
        <w:bottom w:val="none" w:sz="0" w:space="0" w:color="auto"/>
        <w:right w:val="none" w:sz="0" w:space="0" w:color="auto"/>
      </w:divBdr>
      <w:divsChild>
        <w:div w:id="1205797107">
          <w:marLeft w:val="0"/>
          <w:marRight w:val="0"/>
          <w:marTop w:val="0"/>
          <w:marBottom w:val="0"/>
          <w:divBdr>
            <w:top w:val="none" w:sz="0" w:space="0" w:color="auto"/>
            <w:left w:val="none" w:sz="0" w:space="0" w:color="auto"/>
            <w:bottom w:val="none" w:sz="0" w:space="0" w:color="auto"/>
            <w:right w:val="none" w:sz="0" w:space="0" w:color="auto"/>
          </w:divBdr>
          <w:divsChild>
            <w:div w:id="158423578">
              <w:marLeft w:val="0"/>
              <w:marRight w:val="0"/>
              <w:marTop w:val="0"/>
              <w:marBottom w:val="0"/>
              <w:divBdr>
                <w:top w:val="none" w:sz="0" w:space="0" w:color="auto"/>
                <w:left w:val="none" w:sz="0" w:space="0" w:color="auto"/>
                <w:bottom w:val="none" w:sz="0" w:space="0" w:color="auto"/>
                <w:right w:val="none" w:sz="0" w:space="0" w:color="auto"/>
              </w:divBdr>
              <w:divsChild>
                <w:div w:id="1686130066">
                  <w:marLeft w:val="0"/>
                  <w:marRight w:val="0"/>
                  <w:marTop w:val="0"/>
                  <w:marBottom w:val="0"/>
                  <w:divBdr>
                    <w:top w:val="none" w:sz="0" w:space="0" w:color="auto"/>
                    <w:left w:val="none" w:sz="0" w:space="0" w:color="auto"/>
                    <w:bottom w:val="none" w:sz="0" w:space="0" w:color="auto"/>
                    <w:right w:val="none" w:sz="0" w:space="0" w:color="auto"/>
                  </w:divBdr>
                  <w:divsChild>
                    <w:div w:id="1072434359">
                      <w:marLeft w:val="0"/>
                      <w:marRight w:val="0"/>
                      <w:marTop w:val="0"/>
                      <w:marBottom w:val="0"/>
                      <w:divBdr>
                        <w:top w:val="none" w:sz="0" w:space="0" w:color="auto"/>
                        <w:left w:val="none" w:sz="0" w:space="0" w:color="auto"/>
                        <w:bottom w:val="none" w:sz="0" w:space="0" w:color="auto"/>
                        <w:right w:val="none" w:sz="0" w:space="0" w:color="auto"/>
                      </w:divBdr>
                      <w:divsChild>
                        <w:div w:id="2147119367">
                          <w:marLeft w:val="0"/>
                          <w:marRight w:val="0"/>
                          <w:marTop w:val="0"/>
                          <w:marBottom w:val="0"/>
                          <w:divBdr>
                            <w:top w:val="none" w:sz="0" w:space="0" w:color="auto"/>
                            <w:left w:val="none" w:sz="0" w:space="0" w:color="auto"/>
                            <w:bottom w:val="none" w:sz="0" w:space="0" w:color="auto"/>
                            <w:right w:val="none" w:sz="0" w:space="0" w:color="auto"/>
                          </w:divBdr>
                          <w:divsChild>
                            <w:div w:id="45845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850397">
      <w:bodyDiv w:val="1"/>
      <w:marLeft w:val="0"/>
      <w:marRight w:val="0"/>
      <w:marTop w:val="0"/>
      <w:marBottom w:val="0"/>
      <w:divBdr>
        <w:top w:val="none" w:sz="0" w:space="0" w:color="auto"/>
        <w:left w:val="none" w:sz="0" w:space="0" w:color="auto"/>
        <w:bottom w:val="none" w:sz="0" w:space="0" w:color="auto"/>
        <w:right w:val="none" w:sz="0" w:space="0" w:color="auto"/>
      </w:divBdr>
    </w:div>
    <w:div w:id="1881474233">
      <w:bodyDiv w:val="1"/>
      <w:marLeft w:val="0"/>
      <w:marRight w:val="0"/>
      <w:marTop w:val="0"/>
      <w:marBottom w:val="0"/>
      <w:divBdr>
        <w:top w:val="none" w:sz="0" w:space="0" w:color="auto"/>
        <w:left w:val="none" w:sz="0" w:space="0" w:color="auto"/>
        <w:bottom w:val="none" w:sz="0" w:space="0" w:color="auto"/>
        <w:right w:val="none" w:sz="0" w:space="0" w:color="auto"/>
      </w:divBdr>
    </w:div>
    <w:div w:id="1894922168">
      <w:bodyDiv w:val="1"/>
      <w:marLeft w:val="0"/>
      <w:marRight w:val="0"/>
      <w:marTop w:val="0"/>
      <w:marBottom w:val="0"/>
      <w:divBdr>
        <w:top w:val="none" w:sz="0" w:space="0" w:color="auto"/>
        <w:left w:val="none" w:sz="0" w:space="0" w:color="auto"/>
        <w:bottom w:val="none" w:sz="0" w:space="0" w:color="auto"/>
        <w:right w:val="none" w:sz="0" w:space="0" w:color="auto"/>
      </w:divBdr>
      <w:divsChild>
        <w:div w:id="630210080">
          <w:marLeft w:val="0"/>
          <w:marRight w:val="0"/>
          <w:marTop w:val="0"/>
          <w:marBottom w:val="240"/>
          <w:divBdr>
            <w:top w:val="single" w:sz="6" w:space="5" w:color="C2C2C2"/>
            <w:left w:val="single" w:sz="6" w:space="5" w:color="C2C2C2"/>
            <w:bottom w:val="single" w:sz="24" w:space="5" w:color="C2C2C2"/>
            <w:right w:val="single" w:sz="6" w:space="5" w:color="C2C2C2"/>
          </w:divBdr>
          <w:divsChild>
            <w:div w:id="197857970">
              <w:marLeft w:val="0"/>
              <w:marRight w:val="0"/>
              <w:marTop w:val="0"/>
              <w:marBottom w:val="0"/>
              <w:divBdr>
                <w:top w:val="none" w:sz="0" w:space="0" w:color="auto"/>
                <w:left w:val="none" w:sz="0" w:space="0" w:color="auto"/>
                <w:bottom w:val="none" w:sz="0" w:space="0" w:color="auto"/>
                <w:right w:val="none" w:sz="0" w:space="0" w:color="auto"/>
              </w:divBdr>
            </w:div>
            <w:div w:id="1012296305">
              <w:marLeft w:val="0"/>
              <w:marRight w:val="0"/>
              <w:marTop w:val="0"/>
              <w:marBottom w:val="0"/>
              <w:divBdr>
                <w:top w:val="none" w:sz="0" w:space="0" w:color="auto"/>
                <w:left w:val="none" w:sz="0" w:space="0" w:color="auto"/>
                <w:bottom w:val="none" w:sz="0" w:space="0" w:color="auto"/>
                <w:right w:val="none" w:sz="0" w:space="0" w:color="auto"/>
              </w:divBdr>
            </w:div>
            <w:div w:id="171943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938791">
      <w:bodyDiv w:val="1"/>
      <w:marLeft w:val="0"/>
      <w:marRight w:val="0"/>
      <w:marTop w:val="0"/>
      <w:marBottom w:val="0"/>
      <w:divBdr>
        <w:top w:val="none" w:sz="0" w:space="0" w:color="auto"/>
        <w:left w:val="none" w:sz="0" w:space="0" w:color="auto"/>
        <w:bottom w:val="none" w:sz="0" w:space="0" w:color="auto"/>
        <w:right w:val="none" w:sz="0" w:space="0" w:color="auto"/>
      </w:divBdr>
    </w:div>
    <w:div w:id="1903982695">
      <w:bodyDiv w:val="1"/>
      <w:marLeft w:val="0"/>
      <w:marRight w:val="0"/>
      <w:marTop w:val="0"/>
      <w:marBottom w:val="0"/>
      <w:divBdr>
        <w:top w:val="none" w:sz="0" w:space="0" w:color="auto"/>
        <w:left w:val="none" w:sz="0" w:space="0" w:color="auto"/>
        <w:bottom w:val="none" w:sz="0" w:space="0" w:color="auto"/>
        <w:right w:val="none" w:sz="0" w:space="0" w:color="auto"/>
      </w:divBdr>
    </w:div>
    <w:div w:id="1914582067">
      <w:bodyDiv w:val="1"/>
      <w:marLeft w:val="0"/>
      <w:marRight w:val="0"/>
      <w:marTop w:val="0"/>
      <w:marBottom w:val="0"/>
      <w:divBdr>
        <w:top w:val="none" w:sz="0" w:space="0" w:color="auto"/>
        <w:left w:val="none" w:sz="0" w:space="0" w:color="auto"/>
        <w:bottom w:val="none" w:sz="0" w:space="0" w:color="auto"/>
        <w:right w:val="none" w:sz="0" w:space="0" w:color="auto"/>
      </w:divBdr>
    </w:div>
    <w:div w:id="1925602636">
      <w:bodyDiv w:val="1"/>
      <w:marLeft w:val="0"/>
      <w:marRight w:val="0"/>
      <w:marTop w:val="0"/>
      <w:marBottom w:val="0"/>
      <w:divBdr>
        <w:top w:val="none" w:sz="0" w:space="0" w:color="auto"/>
        <w:left w:val="none" w:sz="0" w:space="0" w:color="auto"/>
        <w:bottom w:val="none" w:sz="0" w:space="0" w:color="auto"/>
        <w:right w:val="none" w:sz="0" w:space="0" w:color="auto"/>
      </w:divBdr>
    </w:div>
    <w:div w:id="1927227236">
      <w:bodyDiv w:val="1"/>
      <w:marLeft w:val="0"/>
      <w:marRight w:val="0"/>
      <w:marTop w:val="0"/>
      <w:marBottom w:val="0"/>
      <w:divBdr>
        <w:top w:val="none" w:sz="0" w:space="0" w:color="auto"/>
        <w:left w:val="none" w:sz="0" w:space="0" w:color="auto"/>
        <w:bottom w:val="none" w:sz="0" w:space="0" w:color="auto"/>
        <w:right w:val="none" w:sz="0" w:space="0" w:color="auto"/>
      </w:divBdr>
      <w:divsChild>
        <w:div w:id="1016348472">
          <w:marLeft w:val="0"/>
          <w:marRight w:val="0"/>
          <w:marTop w:val="0"/>
          <w:marBottom w:val="0"/>
          <w:divBdr>
            <w:top w:val="none" w:sz="0" w:space="0" w:color="auto"/>
            <w:left w:val="none" w:sz="0" w:space="0" w:color="auto"/>
            <w:bottom w:val="none" w:sz="0" w:space="0" w:color="auto"/>
            <w:right w:val="none" w:sz="0" w:space="0" w:color="auto"/>
          </w:divBdr>
          <w:divsChild>
            <w:div w:id="143432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895776">
      <w:bodyDiv w:val="1"/>
      <w:marLeft w:val="0"/>
      <w:marRight w:val="0"/>
      <w:marTop w:val="0"/>
      <w:marBottom w:val="0"/>
      <w:divBdr>
        <w:top w:val="none" w:sz="0" w:space="0" w:color="auto"/>
        <w:left w:val="none" w:sz="0" w:space="0" w:color="auto"/>
        <w:bottom w:val="none" w:sz="0" w:space="0" w:color="auto"/>
        <w:right w:val="none" w:sz="0" w:space="0" w:color="auto"/>
      </w:divBdr>
      <w:divsChild>
        <w:div w:id="410583283">
          <w:marLeft w:val="0"/>
          <w:marRight w:val="0"/>
          <w:marTop w:val="0"/>
          <w:marBottom w:val="0"/>
          <w:divBdr>
            <w:top w:val="none" w:sz="0" w:space="0" w:color="auto"/>
            <w:left w:val="none" w:sz="0" w:space="0" w:color="auto"/>
            <w:bottom w:val="none" w:sz="0" w:space="0" w:color="auto"/>
            <w:right w:val="none" w:sz="0" w:space="0" w:color="auto"/>
          </w:divBdr>
          <w:divsChild>
            <w:div w:id="1701785497">
              <w:marLeft w:val="0"/>
              <w:marRight w:val="0"/>
              <w:marTop w:val="0"/>
              <w:marBottom w:val="0"/>
              <w:divBdr>
                <w:top w:val="none" w:sz="0" w:space="0" w:color="auto"/>
                <w:left w:val="none" w:sz="0" w:space="0" w:color="auto"/>
                <w:bottom w:val="none" w:sz="0" w:space="0" w:color="auto"/>
                <w:right w:val="none" w:sz="0" w:space="0" w:color="auto"/>
              </w:divBdr>
              <w:divsChild>
                <w:div w:id="563033274">
                  <w:marLeft w:val="0"/>
                  <w:marRight w:val="0"/>
                  <w:marTop w:val="0"/>
                  <w:marBottom w:val="0"/>
                  <w:divBdr>
                    <w:top w:val="none" w:sz="0" w:space="0" w:color="auto"/>
                    <w:left w:val="none" w:sz="0" w:space="0" w:color="auto"/>
                    <w:bottom w:val="none" w:sz="0" w:space="0" w:color="auto"/>
                    <w:right w:val="none" w:sz="0" w:space="0" w:color="auto"/>
                  </w:divBdr>
                  <w:divsChild>
                    <w:div w:id="1476993070">
                      <w:marLeft w:val="0"/>
                      <w:marRight w:val="0"/>
                      <w:marTop w:val="0"/>
                      <w:marBottom w:val="0"/>
                      <w:divBdr>
                        <w:top w:val="none" w:sz="0" w:space="0" w:color="auto"/>
                        <w:left w:val="none" w:sz="0" w:space="0" w:color="auto"/>
                        <w:bottom w:val="none" w:sz="0" w:space="0" w:color="auto"/>
                        <w:right w:val="none" w:sz="0" w:space="0" w:color="auto"/>
                      </w:divBdr>
                      <w:divsChild>
                        <w:div w:id="413087213">
                          <w:marLeft w:val="0"/>
                          <w:marRight w:val="0"/>
                          <w:marTop w:val="0"/>
                          <w:marBottom w:val="0"/>
                          <w:divBdr>
                            <w:top w:val="none" w:sz="0" w:space="0" w:color="auto"/>
                            <w:left w:val="none" w:sz="0" w:space="0" w:color="auto"/>
                            <w:bottom w:val="none" w:sz="0" w:space="0" w:color="auto"/>
                            <w:right w:val="none" w:sz="0" w:space="0" w:color="auto"/>
                          </w:divBdr>
                          <w:divsChild>
                            <w:div w:id="1135832189">
                              <w:marLeft w:val="0"/>
                              <w:marRight w:val="0"/>
                              <w:marTop w:val="0"/>
                              <w:marBottom w:val="0"/>
                              <w:divBdr>
                                <w:top w:val="none" w:sz="0" w:space="0" w:color="auto"/>
                                <w:left w:val="none" w:sz="0" w:space="0" w:color="auto"/>
                                <w:bottom w:val="none" w:sz="0" w:space="0" w:color="auto"/>
                                <w:right w:val="none" w:sz="0" w:space="0" w:color="auto"/>
                              </w:divBdr>
                              <w:divsChild>
                                <w:div w:id="28188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5935454">
      <w:bodyDiv w:val="1"/>
      <w:marLeft w:val="0"/>
      <w:marRight w:val="0"/>
      <w:marTop w:val="0"/>
      <w:marBottom w:val="0"/>
      <w:divBdr>
        <w:top w:val="none" w:sz="0" w:space="0" w:color="auto"/>
        <w:left w:val="none" w:sz="0" w:space="0" w:color="auto"/>
        <w:bottom w:val="none" w:sz="0" w:space="0" w:color="auto"/>
        <w:right w:val="none" w:sz="0" w:space="0" w:color="auto"/>
      </w:divBdr>
      <w:divsChild>
        <w:div w:id="1915581901">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936280416">
      <w:bodyDiv w:val="1"/>
      <w:marLeft w:val="0"/>
      <w:marRight w:val="0"/>
      <w:marTop w:val="0"/>
      <w:marBottom w:val="0"/>
      <w:divBdr>
        <w:top w:val="none" w:sz="0" w:space="0" w:color="auto"/>
        <w:left w:val="none" w:sz="0" w:space="0" w:color="auto"/>
        <w:bottom w:val="none" w:sz="0" w:space="0" w:color="auto"/>
        <w:right w:val="none" w:sz="0" w:space="0" w:color="auto"/>
      </w:divBdr>
    </w:div>
    <w:div w:id="1942495906">
      <w:bodyDiv w:val="1"/>
      <w:marLeft w:val="0"/>
      <w:marRight w:val="0"/>
      <w:marTop w:val="0"/>
      <w:marBottom w:val="0"/>
      <w:divBdr>
        <w:top w:val="none" w:sz="0" w:space="0" w:color="auto"/>
        <w:left w:val="none" w:sz="0" w:space="0" w:color="auto"/>
        <w:bottom w:val="none" w:sz="0" w:space="0" w:color="auto"/>
        <w:right w:val="none" w:sz="0" w:space="0" w:color="auto"/>
      </w:divBdr>
    </w:div>
    <w:div w:id="1943099382">
      <w:bodyDiv w:val="1"/>
      <w:marLeft w:val="0"/>
      <w:marRight w:val="0"/>
      <w:marTop w:val="0"/>
      <w:marBottom w:val="0"/>
      <w:divBdr>
        <w:top w:val="none" w:sz="0" w:space="0" w:color="auto"/>
        <w:left w:val="none" w:sz="0" w:space="0" w:color="auto"/>
        <w:bottom w:val="none" w:sz="0" w:space="0" w:color="auto"/>
        <w:right w:val="none" w:sz="0" w:space="0" w:color="auto"/>
      </w:divBdr>
      <w:divsChild>
        <w:div w:id="1272787194">
          <w:marLeft w:val="0"/>
          <w:marRight w:val="0"/>
          <w:marTop w:val="0"/>
          <w:marBottom w:val="0"/>
          <w:divBdr>
            <w:top w:val="none" w:sz="0" w:space="0" w:color="auto"/>
            <w:left w:val="none" w:sz="0" w:space="0" w:color="auto"/>
            <w:bottom w:val="none" w:sz="0" w:space="0" w:color="auto"/>
            <w:right w:val="none" w:sz="0" w:space="0" w:color="auto"/>
          </w:divBdr>
          <w:divsChild>
            <w:div w:id="190776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943324">
      <w:bodyDiv w:val="1"/>
      <w:marLeft w:val="0"/>
      <w:marRight w:val="0"/>
      <w:marTop w:val="0"/>
      <w:marBottom w:val="0"/>
      <w:divBdr>
        <w:top w:val="none" w:sz="0" w:space="0" w:color="auto"/>
        <w:left w:val="none" w:sz="0" w:space="0" w:color="auto"/>
        <w:bottom w:val="none" w:sz="0" w:space="0" w:color="auto"/>
        <w:right w:val="none" w:sz="0" w:space="0" w:color="auto"/>
      </w:divBdr>
    </w:div>
    <w:div w:id="1956717538">
      <w:bodyDiv w:val="1"/>
      <w:marLeft w:val="0"/>
      <w:marRight w:val="0"/>
      <w:marTop w:val="0"/>
      <w:marBottom w:val="0"/>
      <w:divBdr>
        <w:top w:val="none" w:sz="0" w:space="0" w:color="auto"/>
        <w:left w:val="none" w:sz="0" w:space="0" w:color="auto"/>
        <w:bottom w:val="none" w:sz="0" w:space="0" w:color="auto"/>
        <w:right w:val="none" w:sz="0" w:space="0" w:color="auto"/>
      </w:divBdr>
    </w:div>
    <w:div w:id="1964460411">
      <w:bodyDiv w:val="1"/>
      <w:marLeft w:val="0"/>
      <w:marRight w:val="0"/>
      <w:marTop w:val="0"/>
      <w:marBottom w:val="0"/>
      <w:divBdr>
        <w:top w:val="none" w:sz="0" w:space="0" w:color="auto"/>
        <w:left w:val="none" w:sz="0" w:space="0" w:color="auto"/>
        <w:bottom w:val="none" w:sz="0" w:space="0" w:color="auto"/>
        <w:right w:val="none" w:sz="0" w:space="0" w:color="auto"/>
      </w:divBdr>
    </w:div>
    <w:div w:id="1969043870">
      <w:bodyDiv w:val="1"/>
      <w:marLeft w:val="0"/>
      <w:marRight w:val="0"/>
      <w:marTop w:val="0"/>
      <w:marBottom w:val="0"/>
      <w:divBdr>
        <w:top w:val="none" w:sz="0" w:space="0" w:color="auto"/>
        <w:left w:val="none" w:sz="0" w:space="0" w:color="auto"/>
        <w:bottom w:val="none" w:sz="0" w:space="0" w:color="auto"/>
        <w:right w:val="none" w:sz="0" w:space="0" w:color="auto"/>
      </w:divBdr>
    </w:div>
    <w:div w:id="1969241963">
      <w:bodyDiv w:val="1"/>
      <w:marLeft w:val="0"/>
      <w:marRight w:val="0"/>
      <w:marTop w:val="0"/>
      <w:marBottom w:val="0"/>
      <w:divBdr>
        <w:top w:val="none" w:sz="0" w:space="0" w:color="auto"/>
        <w:left w:val="none" w:sz="0" w:space="0" w:color="auto"/>
        <w:bottom w:val="none" w:sz="0" w:space="0" w:color="auto"/>
        <w:right w:val="none" w:sz="0" w:space="0" w:color="auto"/>
      </w:divBdr>
      <w:divsChild>
        <w:div w:id="1478301440">
          <w:marLeft w:val="0"/>
          <w:marRight w:val="0"/>
          <w:marTop w:val="0"/>
          <w:marBottom w:val="0"/>
          <w:divBdr>
            <w:top w:val="none" w:sz="0" w:space="0" w:color="auto"/>
            <w:left w:val="none" w:sz="0" w:space="0" w:color="auto"/>
            <w:bottom w:val="none" w:sz="0" w:space="0" w:color="auto"/>
            <w:right w:val="none" w:sz="0" w:space="0" w:color="auto"/>
          </w:divBdr>
        </w:div>
      </w:divsChild>
    </w:div>
    <w:div w:id="1970085086">
      <w:bodyDiv w:val="1"/>
      <w:marLeft w:val="0"/>
      <w:marRight w:val="0"/>
      <w:marTop w:val="0"/>
      <w:marBottom w:val="0"/>
      <w:divBdr>
        <w:top w:val="none" w:sz="0" w:space="0" w:color="auto"/>
        <w:left w:val="none" w:sz="0" w:space="0" w:color="auto"/>
        <w:bottom w:val="none" w:sz="0" w:space="0" w:color="auto"/>
        <w:right w:val="none" w:sz="0" w:space="0" w:color="auto"/>
      </w:divBdr>
    </w:div>
    <w:div w:id="1986200221">
      <w:bodyDiv w:val="1"/>
      <w:marLeft w:val="0"/>
      <w:marRight w:val="0"/>
      <w:marTop w:val="0"/>
      <w:marBottom w:val="0"/>
      <w:divBdr>
        <w:top w:val="none" w:sz="0" w:space="0" w:color="auto"/>
        <w:left w:val="none" w:sz="0" w:space="0" w:color="auto"/>
        <w:bottom w:val="none" w:sz="0" w:space="0" w:color="auto"/>
        <w:right w:val="none" w:sz="0" w:space="0" w:color="auto"/>
      </w:divBdr>
      <w:divsChild>
        <w:div w:id="1759446757">
          <w:marLeft w:val="0"/>
          <w:marRight w:val="0"/>
          <w:marTop w:val="0"/>
          <w:marBottom w:val="0"/>
          <w:divBdr>
            <w:top w:val="none" w:sz="0" w:space="0" w:color="auto"/>
            <w:left w:val="none" w:sz="0" w:space="0" w:color="auto"/>
            <w:bottom w:val="none" w:sz="0" w:space="0" w:color="auto"/>
            <w:right w:val="none" w:sz="0" w:space="0" w:color="auto"/>
          </w:divBdr>
          <w:divsChild>
            <w:div w:id="2132750025">
              <w:marLeft w:val="0"/>
              <w:marRight w:val="0"/>
              <w:marTop w:val="0"/>
              <w:marBottom w:val="0"/>
              <w:divBdr>
                <w:top w:val="none" w:sz="0" w:space="0" w:color="auto"/>
                <w:left w:val="none" w:sz="0" w:space="0" w:color="auto"/>
                <w:bottom w:val="none" w:sz="0" w:space="0" w:color="auto"/>
                <w:right w:val="none" w:sz="0" w:space="0" w:color="auto"/>
              </w:divBdr>
              <w:divsChild>
                <w:div w:id="81342641">
                  <w:marLeft w:val="0"/>
                  <w:marRight w:val="0"/>
                  <w:marTop w:val="0"/>
                  <w:marBottom w:val="0"/>
                  <w:divBdr>
                    <w:top w:val="none" w:sz="0" w:space="0" w:color="auto"/>
                    <w:left w:val="none" w:sz="0" w:space="0" w:color="auto"/>
                    <w:bottom w:val="none" w:sz="0" w:space="0" w:color="auto"/>
                    <w:right w:val="none" w:sz="0" w:space="0" w:color="auto"/>
                  </w:divBdr>
                  <w:divsChild>
                    <w:div w:id="45267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862722">
      <w:bodyDiv w:val="1"/>
      <w:marLeft w:val="0"/>
      <w:marRight w:val="0"/>
      <w:marTop w:val="0"/>
      <w:marBottom w:val="0"/>
      <w:divBdr>
        <w:top w:val="none" w:sz="0" w:space="0" w:color="auto"/>
        <w:left w:val="none" w:sz="0" w:space="0" w:color="auto"/>
        <w:bottom w:val="none" w:sz="0" w:space="0" w:color="auto"/>
        <w:right w:val="none" w:sz="0" w:space="0" w:color="auto"/>
      </w:divBdr>
    </w:div>
    <w:div w:id="2004238787">
      <w:bodyDiv w:val="1"/>
      <w:marLeft w:val="0"/>
      <w:marRight w:val="0"/>
      <w:marTop w:val="0"/>
      <w:marBottom w:val="0"/>
      <w:divBdr>
        <w:top w:val="none" w:sz="0" w:space="0" w:color="auto"/>
        <w:left w:val="none" w:sz="0" w:space="0" w:color="auto"/>
        <w:bottom w:val="none" w:sz="0" w:space="0" w:color="auto"/>
        <w:right w:val="none" w:sz="0" w:space="0" w:color="auto"/>
      </w:divBdr>
      <w:divsChild>
        <w:div w:id="1847019688">
          <w:marLeft w:val="0"/>
          <w:marRight w:val="0"/>
          <w:marTop w:val="0"/>
          <w:marBottom w:val="0"/>
          <w:divBdr>
            <w:top w:val="none" w:sz="0" w:space="0" w:color="auto"/>
            <w:left w:val="none" w:sz="0" w:space="0" w:color="auto"/>
            <w:bottom w:val="none" w:sz="0" w:space="0" w:color="auto"/>
            <w:right w:val="none" w:sz="0" w:space="0" w:color="auto"/>
          </w:divBdr>
          <w:divsChild>
            <w:div w:id="94281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350568">
      <w:bodyDiv w:val="1"/>
      <w:marLeft w:val="0"/>
      <w:marRight w:val="0"/>
      <w:marTop w:val="0"/>
      <w:marBottom w:val="0"/>
      <w:divBdr>
        <w:top w:val="none" w:sz="0" w:space="0" w:color="auto"/>
        <w:left w:val="none" w:sz="0" w:space="0" w:color="auto"/>
        <w:bottom w:val="none" w:sz="0" w:space="0" w:color="auto"/>
        <w:right w:val="none" w:sz="0" w:space="0" w:color="auto"/>
      </w:divBdr>
    </w:div>
    <w:div w:id="2013990810">
      <w:bodyDiv w:val="1"/>
      <w:marLeft w:val="0"/>
      <w:marRight w:val="0"/>
      <w:marTop w:val="0"/>
      <w:marBottom w:val="0"/>
      <w:divBdr>
        <w:top w:val="none" w:sz="0" w:space="0" w:color="auto"/>
        <w:left w:val="none" w:sz="0" w:space="0" w:color="auto"/>
        <w:bottom w:val="none" w:sz="0" w:space="0" w:color="auto"/>
        <w:right w:val="none" w:sz="0" w:space="0" w:color="auto"/>
      </w:divBdr>
    </w:div>
    <w:div w:id="2015568498">
      <w:bodyDiv w:val="1"/>
      <w:marLeft w:val="0"/>
      <w:marRight w:val="0"/>
      <w:marTop w:val="0"/>
      <w:marBottom w:val="0"/>
      <w:divBdr>
        <w:top w:val="none" w:sz="0" w:space="0" w:color="auto"/>
        <w:left w:val="none" w:sz="0" w:space="0" w:color="auto"/>
        <w:bottom w:val="none" w:sz="0" w:space="0" w:color="auto"/>
        <w:right w:val="none" w:sz="0" w:space="0" w:color="auto"/>
      </w:divBdr>
    </w:div>
    <w:div w:id="2017535980">
      <w:bodyDiv w:val="1"/>
      <w:marLeft w:val="0"/>
      <w:marRight w:val="0"/>
      <w:marTop w:val="0"/>
      <w:marBottom w:val="0"/>
      <w:divBdr>
        <w:top w:val="none" w:sz="0" w:space="0" w:color="auto"/>
        <w:left w:val="none" w:sz="0" w:space="0" w:color="auto"/>
        <w:bottom w:val="none" w:sz="0" w:space="0" w:color="auto"/>
        <w:right w:val="none" w:sz="0" w:space="0" w:color="auto"/>
      </w:divBdr>
    </w:div>
    <w:div w:id="2019886970">
      <w:bodyDiv w:val="1"/>
      <w:marLeft w:val="0"/>
      <w:marRight w:val="0"/>
      <w:marTop w:val="0"/>
      <w:marBottom w:val="0"/>
      <w:divBdr>
        <w:top w:val="none" w:sz="0" w:space="0" w:color="auto"/>
        <w:left w:val="none" w:sz="0" w:space="0" w:color="auto"/>
        <w:bottom w:val="none" w:sz="0" w:space="0" w:color="auto"/>
        <w:right w:val="none" w:sz="0" w:space="0" w:color="auto"/>
      </w:divBdr>
      <w:divsChild>
        <w:div w:id="1609390706">
          <w:marLeft w:val="0"/>
          <w:marRight w:val="0"/>
          <w:marTop w:val="0"/>
          <w:marBottom w:val="0"/>
          <w:divBdr>
            <w:top w:val="none" w:sz="0" w:space="0" w:color="auto"/>
            <w:left w:val="none" w:sz="0" w:space="0" w:color="auto"/>
            <w:bottom w:val="none" w:sz="0" w:space="0" w:color="auto"/>
            <w:right w:val="none" w:sz="0" w:space="0" w:color="auto"/>
          </w:divBdr>
        </w:div>
      </w:divsChild>
    </w:div>
    <w:div w:id="2020571967">
      <w:bodyDiv w:val="1"/>
      <w:marLeft w:val="0"/>
      <w:marRight w:val="0"/>
      <w:marTop w:val="0"/>
      <w:marBottom w:val="0"/>
      <w:divBdr>
        <w:top w:val="none" w:sz="0" w:space="0" w:color="auto"/>
        <w:left w:val="none" w:sz="0" w:space="0" w:color="auto"/>
        <w:bottom w:val="none" w:sz="0" w:space="0" w:color="auto"/>
        <w:right w:val="none" w:sz="0" w:space="0" w:color="auto"/>
      </w:divBdr>
      <w:divsChild>
        <w:div w:id="645478871">
          <w:marLeft w:val="0"/>
          <w:marRight w:val="0"/>
          <w:marTop w:val="0"/>
          <w:marBottom w:val="0"/>
          <w:divBdr>
            <w:top w:val="none" w:sz="0" w:space="0" w:color="auto"/>
            <w:left w:val="none" w:sz="0" w:space="0" w:color="auto"/>
            <w:bottom w:val="none" w:sz="0" w:space="0" w:color="auto"/>
            <w:right w:val="none" w:sz="0" w:space="0" w:color="auto"/>
          </w:divBdr>
        </w:div>
      </w:divsChild>
    </w:div>
    <w:div w:id="2024815594">
      <w:bodyDiv w:val="1"/>
      <w:marLeft w:val="0"/>
      <w:marRight w:val="0"/>
      <w:marTop w:val="0"/>
      <w:marBottom w:val="0"/>
      <w:divBdr>
        <w:top w:val="none" w:sz="0" w:space="0" w:color="auto"/>
        <w:left w:val="none" w:sz="0" w:space="0" w:color="auto"/>
        <w:bottom w:val="none" w:sz="0" w:space="0" w:color="auto"/>
        <w:right w:val="none" w:sz="0" w:space="0" w:color="auto"/>
      </w:divBdr>
      <w:divsChild>
        <w:div w:id="808981468">
          <w:marLeft w:val="0"/>
          <w:marRight w:val="0"/>
          <w:marTop w:val="0"/>
          <w:marBottom w:val="0"/>
          <w:divBdr>
            <w:top w:val="none" w:sz="0" w:space="0" w:color="auto"/>
            <w:left w:val="none" w:sz="0" w:space="0" w:color="auto"/>
            <w:bottom w:val="none" w:sz="0" w:space="0" w:color="auto"/>
            <w:right w:val="none" w:sz="0" w:space="0" w:color="auto"/>
          </w:divBdr>
          <w:divsChild>
            <w:div w:id="15935729">
              <w:marLeft w:val="0"/>
              <w:marRight w:val="0"/>
              <w:marTop w:val="0"/>
              <w:marBottom w:val="0"/>
              <w:divBdr>
                <w:top w:val="none" w:sz="0" w:space="0" w:color="auto"/>
                <w:left w:val="none" w:sz="0" w:space="0" w:color="auto"/>
                <w:bottom w:val="none" w:sz="0" w:space="0" w:color="auto"/>
                <w:right w:val="none" w:sz="0" w:space="0" w:color="auto"/>
              </w:divBdr>
              <w:divsChild>
                <w:div w:id="1660772389">
                  <w:marLeft w:val="0"/>
                  <w:marRight w:val="0"/>
                  <w:marTop w:val="0"/>
                  <w:marBottom w:val="0"/>
                  <w:divBdr>
                    <w:top w:val="none" w:sz="0" w:space="0" w:color="auto"/>
                    <w:left w:val="none" w:sz="0" w:space="0" w:color="auto"/>
                    <w:bottom w:val="none" w:sz="0" w:space="0" w:color="auto"/>
                    <w:right w:val="none" w:sz="0" w:space="0" w:color="auto"/>
                  </w:divBdr>
                  <w:divsChild>
                    <w:div w:id="95383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135594">
      <w:bodyDiv w:val="1"/>
      <w:marLeft w:val="0"/>
      <w:marRight w:val="0"/>
      <w:marTop w:val="0"/>
      <w:marBottom w:val="0"/>
      <w:divBdr>
        <w:top w:val="none" w:sz="0" w:space="0" w:color="auto"/>
        <w:left w:val="none" w:sz="0" w:space="0" w:color="auto"/>
        <w:bottom w:val="none" w:sz="0" w:space="0" w:color="auto"/>
        <w:right w:val="none" w:sz="0" w:space="0" w:color="auto"/>
      </w:divBdr>
    </w:div>
    <w:div w:id="2046907407">
      <w:bodyDiv w:val="1"/>
      <w:marLeft w:val="0"/>
      <w:marRight w:val="0"/>
      <w:marTop w:val="0"/>
      <w:marBottom w:val="0"/>
      <w:divBdr>
        <w:top w:val="none" w:sz="0" w:space="0" w:color="auto"/>
        <w:left w:val="none" w:sz="0" w:space="0" w:color="auto"/>
        <w:bottom w:val="none" w:sz="0" w:space="0" w:color="auto"/>
        <w:right w:val="none" w:sz="0" w:space="0" w:color="auto"/>
      </w:divBdr>
    </w:div>
    <w:div w:id="2050756677">
      <w:bodyDiv w:val="1"/>
      <w:marLeft w:val="0"/>
      <w:marRight w:val="0"/>
      <w:marTop w:val="0"/>
      <w:marBottom w:val="0"/>
      <w:divBdr>
        <w:top w:val="none" w:sz="0" w:space="0" w:color="auto"/>
        <w:left w:val="none" w:sz="0" w:space="0" w:color="auto"/>
        <w:bottom w:val="none" w:sz="0" w:space="0" w:color="auto"/>
        <w:right w:val="none" w:sz="0" w:space="0" w:color="auto"/>
      </w:divBdr>
    </w:div>
    <w:div w:id="2060932168">
      <w:bodyDiv w:val="1"/>
      <w:marLeft w:val="0"/>
      <w:marRight w:val="0"/>
      <w:marTop w:val="0"/>
      <w:marBottom w:val="0"/>
      <w:divBdr>
        <w:top w:val="none" w:sz="0" w:space="0" w:color="auto"/>
        <w:left w:val="none" w:sz="0" w:space="0" w:color="auto"/>
        <w:bottom w:val="none" w:sz="0" w:space="0" w:color="auto"/>
        <w:right w:val="none" w:sz="0" w:space="0" w:color="auto"/>
      </w:divBdr>
    </w:div>
    <w:div w:id="2060934529">
      <w:bodyDiv w:val="1"/>
      <w:marLeft w:val="0"/>
      <w:marRight w:val="0"/>
      <w:marTop w:val="0"/>
      <w:marBottom w:val="0"/>
      <w:divBdr>
        <w:top w:val="none" w:sz="0" w:space="0" w:color="auto"/>
        <w:left w:val="none" w:sz="0" w:space="0" w:color="auto"/>
        <w:bottom w:val="none" w:sz="0" w:space="0" w:color="auto"/>
        <w:right w:val="none" w:sz="0" w:space="0" w:color="auto"/>
      </w:divBdr>
    </w:div>
    <w:div w:id="2062897752">
      <w:bodyDiv w:val="1"/>
      <w:marLeft w:val="0"/>
      <w:marRight w:val="0"/>
      <w:marTop w:val="0"/>
      <w:marBottom w:val="0"/>
      <w:divBdr>
        <w:top w:val="none" w:sz="0" w:space="0" w:color="auto"/>
        <w:left w:val="none" w:sz="0" w:space="0" w:color="auto"/>
        <w:bottom w:val="none" w:sz="0" w:space="0" w:color="auto"/>
        <w:right w:val="none" w:sz="0" w:space="0" w:color="auto"/>
      </w:divBdr>
    </w:div>
    <w:div w:id="2069455156">
      <w:bodyDiv w:val="1"/>
      <w:marLeft w:val="0"/>
      <w:marRight w:val="0"/>
      <w:marTop w:val="0"/>
      <w:marBottom w:val="0"/>
      <w:divBdr>
        <w:top w:val="none" w:sz="0" w:space="0" w:color="auto"/>
        <w:left w:val="none" w:sz="0" w:space="0" w:color="auto"/>
        <w:bottom w:val="none" w:sz="0" w:space="0" w:color="auto"/>
        <w:right w:val="none" w:sz="0" w:space="0" w:color="auto"/>
      </w:divBdr>
    </w:div>
    <w:div w:id="2070807296">
      <w:bodyDiv w:val="1"/>
      <w:marLeft w:val="0"/>
      <w:marRight w:val="0"/>
      <w:marTop w:val="0"/>
      <w:marBottom w:val="0"/>
      <w:divBdr>
        <w:top w:val="none" w:sz="0" w:space="0" w:color="auto"/>
        <w:left w:val="none" w:sz="0" w:space="0" w:color="auto"/>
        <w:bottom w:val="none" w:sz="0" w:space="0" w:color="auto"/>
        <w:right w:val="none" w:sz="0" w:space="0" w:color="auto"/>
      </w:divBdr>
      <w:divsChild>
        <w:div w:id="310907138">
          <w:marLeft w:val="0"/>
          <w:marRight w:val="0"/>
          <w:marTop w:val="0"/>
          <w:marBottom w:val="0"/>
          <w:divBdr>
            <w:top w:val="none" w:sz="0" w:space="0" w:color="auto"/>
            <w:left w:val="none" w:sz="0" w:space="0" w:color="auto"/>
            <w:bottom w:val="none" w:sz="0" w:space="0" w:color="auto"/>
            <w:right w:val="none" w:sz="0" w:space="0" w:color="auto"/>
          </w:divBdr>
          <w:divsChild>
            <w:div w:id="175940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21384">
      <w:bodyDiv w:val="1"/>
      <w:marLeft w:val="0"/>
      <w:marRight w:val="0"/>
      <w:marTop w:val="0"/>
      <w:marBottom w:val="0"/>
      <w:divBdr>
        <w:top w:val="none" w:sz="0" w:space="0" w:color="auto"/>
        <w:left w:val="none" w:sz="0" w:space="0" w:color="auto"/>
        <w:bottom w:val="none" w:sz="0" w:space="0" w:color="auto"/>
        <w:right w:val="none" w:sz="0" w:space="0" w:color="auto"/>
      </w:divBdr>
      <w:divsChild>
        <w:div w:id="441998813">
          <w:marLeft w:val="0"/>
          <w:marRight w:val="0"/>
          <w:marTop w:val="0"/>
          <w:marBottom w:val="0"/>
          <w:divBdr>
            <w:top w:val="none" w:sz="0" w:space="0" w:color="auto"/>
            <w:left w:val="none" w:sz="0" w:space="0" w:color="auto"/>
            <w:bottom w:val="none" w:sz="0" w:space="0" w:color="auto"/>
            <w:right w:val="none" w:sz="0" w:space="0" w:color="auto"/>
          </w:divBdr>
          <w:divsChild>
            <w:div w:id="2027098097">
              <w:marLeft w:val="0"/>
              <w:marRight w:val="0"/>
              <w:marTop w:val="0"/>
              <w:marBottom w:val="0"/>
              <w:divBdr>
                <w:top w:val="none" w:sz="0" w:space="0" w:color="auto"/>
                <w:left w:val="none" w:sz="0" w:space="0" w:color="auto"/>
                <w:bottom w:val="none" w:sz="0" w:space="0" w:color="auto"/>
                <w:right w:val="none" w:sz="0" w:space="0" w:color="auto"/>
              </w:divBdr>
              <w:divsChild>
                <w:div w:id="100683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479568">
      <w:bodyDiv w:val="1"/>
      <w:marLeft w:val="0"/>
      <w:marRight w:val="0"/>
      <w:marTop w:val="0"/>
      <w:marBottom w:val="0"/>
      <w:divBdr>
        <w:top w:val="none" w:sz="0" w:space="0" w:color="auto"/>
        <w:left w:val="none" w:sz="0" w:space="0" w:color="auto"/>
        <w:bottom w:val="none" w:sz="0" w:space="0" w:color="auto"/>
        <w:right w:val="none" w:sz="0" w:space="0" w:color="auto"/>
      </w:divBdr>
      <w:divsChild>
        <w:div w:id="993022487">
          <w:marLeft w:val="-225"/>
          <w:marRight w:val="-225"/>
          <w:marTop w:val="0"/>
          <w:marBottom w:val="0"/>
          <w:divBdr>
            <w:top w:val="none" w:sz="0" w:space="0" w:color="auto"/>
            <w:left w:val="none" w:sz="0" w:space="0" w:color="auto"/>
            <w:bottom w:val="none" w:sz="0" w:space="0" w:color="auto"/>
            <w:right w:val="none" w:sz="0" w:space="0" w:color="auto"/>
          </w:divBdr>
          <w:divsChild>
            <w:div w:id="1308900931">
              <w:marLeft w:val="0"/>
              <w:marRight w:val="0"/>
              <w:marTop w:val="0"/>
              <w:marBottom w:val="0"/>
              <w:divBdr>
                <w:top w:val="none" w:sz="0" w:space="0" w:color="auto"/>
                <w:left w:val="none" w:sz="0" w:space="0" w:color="auto"/>
                <w:bottom w:val="none" w:sz="0" w:space="0" w:color="auto"/>
                <w:right w:val="none" w:sz="0" w:space="0" w:color="auto"/>
              </w:divBdr>
            </w:div>
          </w:divsChild>
        </w:div>
        <w:div w:id="1415512708">
          <w:marLeft w:val="0"/>
          <w:marRight w:val="0"/>
          <w:marTop w:val="0"/>
          <w:marBottom w:val="0"/>
          <w:divBdr>
            <w:top w:val="none" w:sz="0" w:space="0" w:color="auto"/>
            <w:left w:val="none" w:sz="0" w:space="0" w:color="auto"/>
            <w:bottom w:val="none" w:sz="0" w:space="0" w:color="auto"/>
            <w:right w:val="none" w:sz="0" w:space="0" w:color="auto"/>
          </w:divBdr>
        </w:div>
        <w:div w:id="1344672425">
          <w:marLeft w:val="-225"/>
          <w:marRight w:val="-225"/>
          <w:marTop w:val="0"/>
          <w:marBottom w:val="0"/>
          <w:divBdr>
            <w:top w:val="none" w:sz="0" w:space="0" w:color="auto"/>
            <w:left w:val="none" w:sz="0" w:space="0" w:color="auto"/>
            <w:bottom w:val="none" w:sz="0" w:space="0" w:color="auto"/>
            <w:right w:val="none" w:sz="0" w:space="0" w:color="auto"/>
          </w:divBdr>
          <w:divsChild>
            <w:div w:id="460000552">
              <w:marLeft w:val="0"/>
              <w:marRight w:val="0"/>
              <w:marTop w:val="0"/>
              <w:marBottom w:val="0"/>
              <w:divBdr>
                <w:top w:val="none" w:sz="0" w:space="0" w:color="auto"/>
                <w:left w:val="none" w:sz="0" w:space="0" w:color="auto"/>
                <w:bottom w:val="none" w:sz="0" w:space="0" w:color="auto"/>
                <w:right w:val="none" w:sz="0" w:space="0" w:color="auto"/>
              </w:divBdr>
            </w:div>
          </w:divsChild>
        </w:div>
        <w:div w:id="1421028812">
          <w:marLeft w:val="-225"/>
          <w:marRight w:val="-225"/>
          <w:marTop w:val="0"/>
          <w:marBottom w:val="0"/>
          <w:divBdr>
            <w:top w:val="none" w:sz="0" w:space="0" w:color="auto"/>
            <w:left w:val="none" w:sz="0" w:space="0" w:color="auto"/>
            <w:bottom w:val="none" w:sz="0" w:space="0" w:color="auto"/>
            <w:right w:val="none" w:sz="0" w:space="0" w:color="auto"/>
          </w:divBdr>
          <w:divsChild>
            <w:div w:id="1771125476">
              <w:marLeft w:val="0"/>
              <w:marRight w:val="0"/>
              <w:marTop w:val="0"/>
              <w:marBottom w:val="0"/>
              <w:divBdr>
                <w:top w:val="none" w:sz="0" w:space="0" w:color="auto"/>
                <w:left w:val="none" w:sz="0" w:space="0" w:color="auto"/>
                <w:bottom w:val="none" w:sz="0" w:space="0" w:color="auto"/>
                <w:right w:val="none" w:sz="0" w:space="0" w:color="auto"/>
              </w:divBdr>
            </w:div>
          </w:divsChild>
        </w:div>
        <w:div w:id="383260897">
          <w:marLeft w:val="0"/>
          <w:marRight w:val="0"/>
          <w:marTop w:val="0"/>
          <w:marBottom w:val="0"/>
          <w:divBdr>
            <w:top w:val="none" w:sz="0" w:space="0" w:color="auto"/>
            <w:left w:val="none" w:sz="0" w:space="0" w:color="auto"/>
            <w:bottom w:val="none" w:sz="0" w:space="0" w:color="auto"/>
            <w:right w:val="none" w:sz="0" w:space="0" w:color="auto"/>
          </w:divBdr>
          <w:divsChild>
            <w:div w:id="1936280536">
              <w:marLeft w:val="0"/>
              <w:marRight w:val="0"/>
              <w:marTop w:val="0"/>
              <w:marBottom w:val="0"/>
              <w:divBdr>
                <w:top w:val="none" w:sz="0" w:space="0" w:color="auto"/>
                <w:left w:val="none" w:sz="0" w:space="0" w:color="auto"/>
                <w:bottom w:val="none" w:sz="0" w:space="0" w:color="auto"/>
                <w:right w:val="none" w:sz="0" w:space="0" w:color="auto"/>
              </w:divBdr>
            </w:div>
            <w:div w:id="762647733">
              <w:marLeft w:val="0"/>
              <w:marRight w:val="0"/>
              <w:marTop w:val="0"/>
              <w:marBottom w:val="0"/>
              <w:divBdr>
                <w:top w:val="none" w:sz="0" w:space="0" w:color="auto"/>
                <w:left w:val="none" w:sz="0" w:space="0" w:color="auto"/>
                <w:bottom w:val="none" w:sz="0" w:space="0" w:color="auto"/>
                <w:right w:val="none" w:sz="0" w:space="0" w:color="auto"/>
              </w:divBdr>
            </w:div>
            <w:div w:id="1834563633">
              <w:marLeft w:val="0"/>
              <w:marRight w:val="0"/>
              <w:marTop w:val="0"/>
              <w:marBottom w:val="0"/>
              <w:divBdr>
                <w:top w:val="none" w:sz="0" w:space="0" w:color="auto"/>
                <w:left w:val="none" w:sz="0" w:space="0" w:color="auto"/>
                <w:bottom w:val="none" w:sz="0" w:space="0" w:color="auto"/>
                <w:right w:val="none" w:sz="0" w:space="0" w:color="auto"/>
              </w:divBdr>
            </w:div>
            <w:div w:id="1110970760">
              <w:marLeft w:val="0"/>
              <w:marRight w:val="0"/>
              <w:marTop w:val="0"/>
              <w:marBottom w:val="0"/>
              <w:divBdr>
                <w:top w:val="none" w:sz="0" w:space="0" w:color="auto"/>
                <w:left w:val="none" w:sz="0" w:space="0" w:color="auto"/>
                <w:bottom w:val="none" w:sz="0" w:space="0" w:color="auto"/>
                <w:right w:val="none" w:sz="0" w:space="0" w:color="auto"/>
              </w:divBdr>
            </w:div>
            <w:div w:id="35870329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2081518559">
      <w:bodyDiv w:val="1"/>
      <w:marLeft w:val="0"/>
      <w:marRight w:val="0"/>
      <w:marTop w:val="0"/>
      <w:marBottom w:val="0"/>
      <w:divBdr>
        <w:top w:val="none" w:sz="0" w:space="0" w:color="auto"/>
        <w:left w:val="none" w:sz="0" w:space="0" w:color="auto"/>
        <w:bottom w:val="none" w:sz="0" w:space="0" w:color="auto"/>
        <w:right w:val="none" w:sz="0" w:space="0" w:color="auto"/>
      </w:divBdr>
      <w:divsChild>
        <w:div w:id="495414489">
          <w:marLeft w:val="0"/>
          <w:marRight w:val="0"/>
          <w:marTop w:val="0"/>
          <w:marBottom w:val="0"/>
          <w:divBdr>
            <w:top w:val="none" w:sz="0" w:space="0" w:color="auto"/>
            <w:left w:val="none" w:sz="0" w:space="0" w:color="auto"/>
            <w:bottom w:val="none" w:sz="0" w:space="0" w:color="auto"/>
            <w:right w:val="none" w:sz="0" w:space="0" w:color="auto"/>
          </w:divBdr>
          <w:divsChild>
            <w:div w:id="1128671355">
              <w:marLeft w:val="0"/>
              <w:marRight w:val="0"/>
              <w:marTop w:val="0"/>
              <w:marBottom w:val="0"/>
              <w:divBdr>
                <w:top w:val="none" w:sz="0" w:space="0" w:color="auto"/>
                <w:left w:val="none" w:sz="0" w:space="0" w:color="auto"/>
                <w:bottom w:val="none" w:sz="0" w:space="0" w:color="auto"/>
                <w:right w:val="none" w:sz="0" w:space="0" w:color="auto"/>
              </w:divBdr>
              <w:divsChild>
                <w:div w:id="1719622093">
                  <w:marLeft w:val="0"/>
                  <w:marRight w:val="0"/>
                  <w:marTop w:val="0"/>
                  <w:marBottom w:val="0"/>
                  <w:divBdr>
                    <w:top w:val="none" w:sz="0" w:space="0" w:color="auto"/>
                    <w:left w:val="none" w:sz="0" w:space="0" w:color="auto"/>
                    <w:bottom w:val="none" w:sz="0" w:space="0" w:color="auto"/>
                    <w:right w:val="none" w:sz="0" w:space="0" w:color="auto"/>
                  </w:divBdr>
                  <w:divsChild>
                    <w:div w:id="68867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705814">
      <w:bodyDiv w:val="1"/>
      <w:marLeft w:val="0"/>
      <w:marRight w:val="0"/>
      <w:marTop w:val="0"/>
      <w:marBottom w:val="0"/>
      <w:divBdr>
        <w:top w:val="none" w:sz="0" w:space="0" w:color="auto"/>
        <w:left w:val="none" w:sz="0" w:space="0" w:color="auto"/>
        <w:bottom w:val="none" w:sz="0" w:space="0" w:color="auto"/>
        <w:right w:val="none" w:sz="0" w:space="0" w:color="auto"/>
      </w:divBdr>
    </w:div>
    <w:div w:id="2086222766">
      <w:bodyDiv w:val="1"/>
      <w:marLeft w:val="0"/>
      <w:marRight w:val="0"/>
      <w:marTop w:val="0"/>
      <w:marBottom w:val="0"/>
      <w:divBdr>
        <w:top w:val="none" w:sz="0" w:space="0" w:color="auto"/>
        <w:left w:val="none" w:sz="0" w:space="0" w:color="auto"/>
        <w:bottom w:val="none" w:sz="0" w:space="0" w:color="auto"/>
        <w:right w:val="none" w:sz="0" w:space="0" w:color="auto"/>
      </w:divBdr>
    </w:div>
    <w:div w:id="2087410325">
      <w:bodyDiv w:val="1"/>
      <w:marLeft w:val="0"/>
      <w:marRight w:val="0"/>
      <w:marTop w:val="0"/>
      <w:marBottom w:val="0"/>
      <w:divBdr>
        <w:top w:val="none" w:sz="0" w:space="0" w:color="auto"/>
        <w:left w:val="none" w:sz="0" w:space="0" w:color="auto"/>
        <w:bottom w:val="none" w:sz="0" w:space="0" w:color="auto"/>
        <w:right w:val="none" w:sz="0" w:space="0" w:color="auto"/>
      </w:divBdr>
    </w:div>
    <w:div w:id="2090035063">
      <w:bodyDiv w:val="1"/>
      <w:marLeft w:val="0"/>
      <w:marRight w:val="0"/>
      <w:marTop w:val="0"/>
      <w:marBottom w:val="0"/>
      <w:divBdr>
        <w:top w:val="none" w:sz="0" w:space="0" w:color="auto"/>
        <w:left w:val="none" w:sz="0" w:space="0" w:color="auto"/>
        <w:bottom w:val="none" w:sz="0" w:space="0" w:color="auto"/>
        <w:right w:val="none" w:sz="0" w:space="0" w:color="auto"/>
      </w:divBdr>
    </w:div>
    <w:div w:id="2096856065">
      <w:bodyDiv w:val="1"/>
      <w:marLeft w:val="0"/>
      <w:marRight w:val="0"/>
      <w:marTop w:val="0"/>
      <w:marBottom w:val="0"/>
      <w:divBdr>
        <w:top w:val="none" w:sz="0" w:space="0" w:color="auto"/>
        <w:left w:val="none" w:sz="0" w:space="0" w:color="auto"/>
        <w:bottom w:val="none" w:sz="0" w:space="0" w:color="auto"/>
        <w:right w:val="none" w:sz="0" w:space="0" w:color="auto"/>
      </w:divBdr>
    </w:div>
    <w:div w:id="2110930041">
      <w:bodyDiv w:val="1"/>
      <w:marLeft w:val="0"/>
      <w:marRight w:val="0"/>
      <w:marTop w:val="0"/>
      <w:marBottom w:val="0"/>
      <w:divBdr>
        <w:top w:val="none" w:sz="0" w:space="0" w:color="auto"/>
        <w:left w:val="none" w:sz="0" w:space="0" w:color="auto"/>
        <w:bottom w:val="none" w:sz="0" w:space="0" w:color="auto"/>
        <w:right w:val="none" w:sz="0" w:space="0" w:color="auto"/>
      </w:divBdr>
    </w:div>
    <w:div w:id="2114551626">
      <w:bodyDiv w:val="1"/>
      <w:marLeft w:val="0"/>
      <w:marRight w:val="0"/>
      <w:marTop w:val="0"/>
      <w:marBottom w:val="0"/>
      <w:divBdr>
        <w:top w:val="none" w:sz="0" w:space="0" w:color="auto"/>
        <w:left w:val="none" w:sz="0" w:space="0" w:color="auto"/>
        <w:bottom w:val="none" w:sz="0" w:space="0" w:color="auto"/>
        <w:right w:val="none" w:sz="0" w:space="0" w:color="auto"/>
      </w:divBdr>
    </w:div>
    <w:div w:id="2124112824">
      <w:bodyDiv w:val="1"/>
      <w:marLeft w:val="0"/>
      <w:marRight w:val="0"/>
      <w:marTop w:val="0"/>
      <w:marBottom w:val="0"/>
      <w:divBdr>
        <w:top w:val="none" w:sz="0" w:space="0" w:color="auto"/>
        <w:left w:val="none" w:sz="0" w:space="0" w:color="auto"/>
        <w:bottom w:val="none" w:sz="0" w:space="0" w:color="auto"/>
        <w:right w:val="none" w:sz="0" w:space="0" w:color="auto"/>
      </w:divBdr>
      <w:divsChild>
        <w:div w:id="220866853">
          <w:marLeft w:val="0"/>
          <w:marRight w:val="0"/>
          <w:marTop w:val="0"/>
          <w:marBottom w:val="0"/>
          <w:divBdr>
            <w:top w:val="none" w:sz="0" w:space="0" w:color="auto"/>
            <w:left w:val="none" w:sz="0" w:space="0" w:color="auto"/>
            <w:bottom w:val="none" w:sz="0" w:space="0" w:color="auto"/>
            <w:right w:val="none" w:sz="0" w:space="0" w:color="auto"/>
          </w:divBdr>
          <w:divsChild>
            <w:div w:id="574365465">
              <w:marLeft w:val="0"/>
              <w:marRight w:val="0"/>
              <w:marTop w:val="0"/>
              <w:marBottom w:val="0"/>
              <w:divBdr>
                <w:top w:val="none" w:sz="0" w:space="0" w:color="auto"/>
                <w:left w:val="none" w:sz="0" w:space="0" w:color="auto"/>
                <w:bottom w:val="none" w:sz="0" w:space="0" w:color="auto"/>
                <w:right w:val="none" w:sz="0" w:space="0" w:color="auto"/>
              </w:divBdr>
              <w:divsChild>
                <w:div w:id="737559150">
                  <w:marLeft w:val="0"/>
                  <w:marRight w:val="0"/>
                  <w:marTop w:val="0"/>
                  <w:marBottom w:val="0"/>
                  <w:divBdr>
                    <w:top w:val="none" w:sz="0" w:space="0" w:color="auto"/>
                    <w:left w:val="none" w:sz="0" w:space="0" w:color="auto"/>
                    <w:bottom w:val="none" w:sz="0" w:space="0" w:color="auto"/>
                    <w:right w:val="none" w:sz="0" w:space="0" w:color="auto"/>
                  </w:divBdr>
                  <w:divsChild>
                    <w:div w:id="271591645">
                      <w:marLeft w:val="0"/>
                      <w:marRight w:val="0"/>
                      <w:marTop w:val="0"/>
                      <w:marBottom w:val="0"/>
                      <w:divBdr>
                        <w:top w:val="none" w:sz="0" w:space="0" w:color="auto"/>
                        <w:left w:val="none" w:sz="0" w:space="0" w:color="auto"/>
                        <w:bottom w:val="none" w:sz="0" w:space="0" w:color="auto"/>
                        <w:right w:val="none" w:sz="0" w:space="0" w:color="auto"/>
                      </w:divBdr>
                      <w:divsChild>
                        <w:div w:id="551500234">
                          <w:marLeft w:val="0"/>
                          <w:marRight w:val="0"/>
                          <w:marTop w:val="0"/>
                          <w:marBottom w:val="0"/>
                          <w:divBdr>
                            <w:top w:val="none" w:sz="0" w:space="0" w:color="auto"/>
                            <w:left w:val="none" w:sz="0" w:space="0" w:color="auto"/>
                            <w:bottom w:val="none" w:sz="0" w:space="0" w:color="auto"/>
                            <w:right w:val="none" w:sz="0" w:space="0" w:color="auto"/>
                          </w:divBdr>
                          <w:divsChild>
                            <w:div w:id="659381262">
                              <w:marLeft w:val="0"/>
                              <w:marRight w:val="0"/>
                              <w:marTop w:val="0"/>
                              <w:marBottom w:val="0"/>
                              <w:divBdr>
                                <w:top w:val="none" w:sz="0" w:space="0" w:color="auto"/>
                                <w:left w:val="none" w:sz="0" w:space="0" w:color="auto"/>
                                <w:bottom w:val="none" w:sz="0" w:space="0" w:color="auto"/>
                                <w:right w:val="none" w:sz="0" w:space="0" w:color="auto"/>
                              </w:divBdr>
                              <w:divsChild>
                                <w:div w:id="789278222">
                                  <w:marLeft w:val="0"/>
                                  <w:marRight w:val="0"/>
                                  <w:marTop w:val="0"/>
                                  <w:marBottom w:val="0"/>
                                  <w:divBdr>
                                    <w:top w:val="none" w:sz="0" w:space="0" w:color="auto"/>
                                    <w:left w:val="none" w:sz="0" w:space="0" w:color="auto"/>
                                    <w:bottom w:val="none" w:sz="0" w:space="0" w:color="auto"/>
                                    <w:right w:val="none" w:sz="0" w:space="0" w:color="auto"/>
                                  </w:divBdr>
                                  <w:divsChild>
                                    <w:div w:id="1609043503">
                                      <w:marLeft w:val="0"/>
                                      <w:marRight w:val="0"/>
                                      <w:marTop w:val="0"/>
                                      <w:marBottom w:val="0"/>
                                      <w:divBdr>
                                        <w:top w:val="none" w:sz="0" w:space="0" w:color="auto"/>
                                        <w:left w:val="none" w:sz="0" w:space="0" w:color="auto"/>
                                        <w:bottom w:val="none" w:sz="0" w:space="0" w:color="auto"/>
                                        <w:right w:val="none" w:sz="0" w:space="0" w:color="auto"/>
                                      </w:divBdr>
                                      <w:divsChild>
                                        <w:div w:id="1160774562">
                                          <w:marLeft w:val="0"/>
                                          <w:marRight w:val="0"/>
                                          <w:marTop w:val="0"/>
                                          <w:marBottom w:val="0"/>
                                          <w:divBdr>
                                            <w:top w:val="none" w:sz="0" w:space="0" w:color="auto"/>
                                            <w:left w:val="none" w:sz="0" w:space="0" w:color="auto"/>
                                            <w:bottom w:val="none" w:sz="0" w:space="0" w:color="auto"/>
                                            <w:right w:val="none" w:sz="0" w:space="0" w:color="auto"/>
                                          </w:divBdr>
                                          <w:divsChild>
                                            <w:div w:id="1663388212">
                                              <w:marLeft w:val="0"/>
                                              <w:marRight w:val="0"/>
                                              <w:marTop w:val="0"/>
                                              <w:marBottom w:val="0"/>
                                              <w:divBdr>
                                                <w:top w:val="none" w:sz="0" w:space="0" w:color="auto"/>
                                                <w:left w:val="none" w:sz="0" w:space="0" w:color="auto"/>
                                                <w:bottom w:val="none" w:sz="0" w:space="0" w:color="auto"/>
                                                <w:right w:val="none" w:sz="0" w:space="0" w:color="auto"/>
                                              </w:divBdr>
                                              <w:divsChild>
                                                <w:div w:id="1529682391">
                                                  <w:marLeft w:val="0"/>
                                                  <w:marRight w:val="0"/>
                                                  <w:marTop w:val="0"/>
                                                  <w:marBottom w:val="0"/>
                                                  <w:divBdr>
                                                    <w:top w:val="none" w:sz="0" w:space="0" w:color="auto"/>
                                                    <w:left w:val="none" w:sz="0" w:space="0" w:color="auto"/>
                                                    <w:bottom w:val="none" w:sz="0" w:space="0" w:color="auto"/>
                                                    <w:right w:val="none" w:sz="0" w:space="0" w:color="auto"/>
                                                  </w:divBdr>
                                                  <w:divsChild>
                                                    <w:div w:id="1304192116">
                                                      <w:marLeft w:val="0"/>
                                                      <w:marRight w:val="0"/>
                                                      <w:marTop w:val="0"/>
                                                      <w:marBottom w:val="0"/>
                                                      <w:divBdr>
                                                        <w:top w:val="none" w:sz="0" w:space="0" w:color="auto"/>
                                                        <w:left w:val="none" w:sz="0" w:space="0" w:color="auto"/>
                                                        <w:bottom w:val="none" w:sz="0" w:space="0" w:color="auto"/>
                                                        <w:right w:val="none" w:sz="0" w:space="0" w:color="auto"/>
                                                      </w:divBdr>
                                                      <w:divsChild>
                                                        <w:div w:id="1000618704">
                                                          <w:marLeft w:val="0"/>
                                                          <w:marRight w:val="0"/>
                                                          <w:marTop w:val="0"/>
                                                          <w:marBottom w:val="0"/>
                                                          <w:divBdr>
                                                            <w:top w:val="none" w:sz="0" w:space="0" w:color="auto"/>
                                                            <w:left w:val="none" w:sz="0" w:space="0" w:color="auto"/>
                                                            <w:bottom w:val="none" w:sz="0" w:space="0" w:color="auto"/>
                                                            <w:right w:val="none" w:sz="0" w:space="0" w:color="auto"/>
                                                          </w:divBdr>
                                                          <w:divsChild>
                                                            <w:div w:id="139033166">
                                                              <w:marLeft w:val="0"/>
                                                              <w:marRight w:val="0"/>
                                                              <w:marTop w:val="0"/>
                                                              <w:marBottom w:val="0"/>
                                                              <w:divBdr>
                                                                <w:top w:val="none" w:sz="0" w:space="0" w:color="auto"/>
                                                                <w:left w:val="none" w:sz="0" w:space="0" w:color="auto"/>
                                                                <w:bottom w:val="none" w:sz="0" w:space="0" w:color="auto"/>
                                                                <w:right w:val="none" w:sz="0" w:space="0" w:color="auto"/>
                                                              </w:divBdr>
                                                              <w:divsChild>
                                                                <w:div w:id="85658002">
                                                                  <w:marLeft w:val="0"/>
                                                                  <w:marRight w:val="0"/>
                                                                  <w:marTop w:val="0"/>
                                                                  <w:marBottom w:val="0"/>
                                                                  <w:divBdr>
                                                                    <w:top w:val="none" w:sz="0" w:space="0" w:color="auto"/>
                                                                    <w:left w:val="none" w:sz="0" w:space="0" w:color="auto"/>
                                                                    <w:bottom w:val="none" w:sz="0" w:space="0" w:color="auto"/>
                                                                    <w:right w:val="none" w:sz="0" w:space="0" w:color="auto"/>
                                                                  </w:divBdr>
                                                                </w:div>
                                                                <w:div w:id="92013322">
                                                                  <w:marLeft w:val="0"/>
                                                                  <w:marRight w:val="0"/>
                                                                  <w:marTop w:val="0"/>
                                                                  <w:marBottom w:val="0"/>
                                                                  <w:divBdr>
                                                                    <w:top w:val="none" w:sz="0" w:space="0" w:color="auto"/>
                                                                    <w:left w:val="none" w:sz="0" w:space="0" w:color="auto"/>
                                                                    <w:bottom w:val="none" w:sz="0" w:space="0" w:color="auto"/>
                                                                    <w:right w:val="none" w:sz="0" w:space="0" w:color="auto"/>
                                                                  </w:divBdr>
                                                                </w:div>
                                                                <w:div w:id="132989572">
                                                                  <w:marLeft w:val="0"/>
                                                                  <w:marRight w:val="0"/>
                                                                  <w:marTop w:val="120"/>
                                                                  <w:marBottom w:val="120"/>
                                                                  <w:divBdr>
                                                                    <w:top w:val="none" w:sz="0" w:space="0" w:color="auto"/>
                                                                    <w:left w:val="none" w:sz="0" w:space="0" w:color="auto"/>
                                                                    <w:bottom w:val="none" w:sz="0" w:space="0" w:color="auto"/>
                                                                    <w:right w:val="none" w:sz="0" w:space="0" w:color="auto"/>
                                                                  </w:divBdr>
                                                                  <w:divsChild>
                                                                    <w:div w:id="1348412846">
                                                                      <w:marLeft w:val="0"/>
                                                                      <w:marRight w:val="0"/>
                                                                      <w:marTop w:val="0"/>
                                                                      <w:marBottom w:val="0"/>
                                                                      <w:divBdr>
                                                                        <w:top w:val="none" w:sz="0" w:space="0" w:color="auto"/>
                                                                        <w:left w:val="none" w:sz="0" w:space="0" w:color="auto"/>
                                                                        <w:bottom w:val="none" w:sz="0" w:space="0" w:color="auto"/>
                                                                        <w:right w:val="none" w:sz="0" w:space="0" w:color="auto"/>
                                                                      </w:divBdr>
                                                                    </w:div>
                                                                  </w:divsChild>
                                                                </w:div>
                                                                <w:div w:id="240334931">
                                                                  <w:marLeft w:val="0"/>
                                                                  <w:marRight w:val="0"/>
                                                                  <w:marTop w:val="0"/>
                                                                  <w:marBottom w:val="0"/>
                                                                  <w:divBdr>
                                                                    <w:top w:val="none" w:sz="0" w:space="0" w:color="auto"/>
                                                                    <w:left w:val="none" w:sz="0" w:space="0" w:color="auto"/>
                                                                    <w:bottom w:val="none" w:sz="0" w:space="0" w:color="auto"/>
                                                                    <w:right w:val="none" w:sz="0" w:space="0" w:color="auto"/>
                                                                  </w:divBdr>
                                                                </w:div>
                                                                <w:div w:id="312102340">
                                                                  <w:marLeft w:val="0"/>
                                                                  <w:marRight w:val="0"/>
                                                                  <w:marTop w:val="0"/>
                                                                  <w:marBottom w:val="0"/>
                                                                  <w:divBdr>
                                                                    <w:top w:val="none" w:sz="0" w:space="0" w:color="auto"/>
                                                                    <w:left w:val="none" w:sz="0" w:space="0" w:color="auto"/>
                                                                    <w:bottom w:val="none" w:sz="0" w:space="0" w:color="auto"/>
                                                                    <w:right w:val="none" w:sz="0" w:space="0" w:color="auto"/>
                                                                  </w:divBdr>
                                                                </w:div>
                                                                <w:div w:id="491725503">
                                                                  <w:marLeft w:val="0"/>
                                                                  <w:marRight w:val="0"/>
                                                                  <w:marTop w:val="0"/>
                                                                  <w:marBottom w:val="0"/>
                                                                  <w:divBdr>
                                                                    <w:top w:val="none" w:sz="0" w:space="0" w:color="auto"/>
                                                                    <w:left w:val="none" w:sz="0" w:space="0" w:color="auto"/>
                                                                    <w:bottom w:val="none" w:sz="0" w:space="0" w:color="auto"/>
                                                                    <w:right w:val="none" w:sz="0" w:space="0" w:color="auto"/>
                                                                  </w:divBdr>
                                                                </w:div>
                                                                <w:div w:id="511339319">
                                                                  <w:marLeft w:val="0"/>
                                                                  <w:marRight w:val="0"/>
                                                                  <w:marTop w:val="0"/>
                                                                  <w:marBottom w:val="0"/>
                                                                  <w:divBdr>
                                                                    <w:top w:val="none" w:sz="0" w:space="0" w:color="auto"/>
                                                                    <w:left w:val="none" w:sz="0" w:space="0" w:color="auto"/>
                                                                    <w:bottom w:val="none" w:sz="0" w:space="0" w:color="auto"/>
                                                                    <w:right w:val="none" w:sz="0" w:space="0" w:color="auto"/>
                                                                  </w:divBdr>
                                                                </w:div>
                                                                <w:div w:id="625625410">
                                                                  <w:marLeft w:val="0"/>
                                                                  <w:marRight w:val="0"/>
                                                                  <w:marTop w:val="0"/>
                                                                  <w:marBottom w:val="0"/>
                                                                  <w:divBdr>
                                                                    <w:top w:val="none" w:sz="0" w:space="0" w:color="auto"/>
                                                                    <w:left w:val="none" w:sz="0" w:space="0" w:color="auto"/>
                                                                    <w:bottom w:val="none" w:sz="0" w:space="0" w:color="auto"/>
                                                                    <w:right w:val="none" w:sz="0" w:space="0" w:color="auto"/>
                                                                  </w:divBdr>
                                                                </w:div>
                                                                <w:div w:id="641736778">
                                                                  <w:marLeft w:val="0"/>
                                                                  <w:marRight w:val="0"/>
                                                                  <w:marTop w:val="0"/>
                                                                  <w:marBottom w:val="0"/>
                                                                  <w:divBdr>
                                                                    <w:top w:val="none" w:sz="0" w:space="0" w:color="auto"/>
                                                                    <w:left w:val="none" w:sz="0" w:space="0" w:color="auto"/>
                                                                    <w:bottom w:val="none" w:sz="0" w:space="0" w:color="auto"/>
                                                                    <w:right w:val="none" w:sz="0" w:space="0" w:color="auto"/>
                                                                  </w:divBdr>
                                                                </w:div>
                                                                <w:div w:id="678043037">
                                                                  <w:marLeft w:val="0"/>
                                                                  <w:marRight w:val="0"/>
                                                                  <w:marTop w:val="0"/>
                                                                  <w:marBottom w:val="0"/>
                                                                  <w:divBdr>
                                                                    <w:top w:val="none" w:sz="0" w:space="0" w:color="auto"/>
                                                                    <w:left w:val="none" w:sz="0" w:space="0" w:color="auto"/>
                                                                    <w:bottom w:val="none" w:sz="0" w:space="0" w:color="auto"/>
                                                                    <w:right w:val="none" w:sz="0" w:space="0" w:color="auto"/>
                                                                  </w:divBdr>
                                                                </w:div>
                                                                <w:div w:id="708266788">
                                                                  <w:marLeft w:val="0"/>
                                                                  <w:marRight w:val="0"/>
                                                                  <w:marTop w:val="0"/>
                                                                  <w:marBottom w:val="0"/>
                                                                  <w:divBdr>
                                                                    <w:top w:val="none" w:sz="0" w:space="0" w:color="auto"/>
                                                                    <w:left w:val="none" w:sz="0" w:space="0" w:color="auto"/>
                                                                    <w:bottom w:val="none" w:sz="0" w:space="0" w:color="auto"/>
                                                                    <w:right w:val="none" w:sz="0" w:space="0" w:color="auto"/>
                                                                  </w:divBdr>
                                                                </w:div>
                                                                <w:div w:id="883760238">
                                                                  <w:marLeft w:val="0"/>
                                                                  <w:marRight w:val="0"/>
                                                                  <w:marTop w:val="0"/>
                                                                  <w:marBottom w:val="0"/>
                                                                  <w:divBdr>
                                                                    <w:top w:val="none" w:sz="0" w:space="0" w:color="auto"/>
                                                                    <w:left w:val="none" w:sz="0" w:space="0" w:color="auto"/>
                                                                    <w:bottom w:val="none" w:sz="0" w:space="0" w:color="auto"/>
                                                                    <w:right w:val="none" w:sz="0" w:space="0" w:color="auto"/>
                                                                  </w:divBdr>
                                                                </w:div>
                                                                <w:div w:id="931351860">
                                                                  <w:marLeft w:val="0"/>
                                                                  <w:marRight w:val="0"/>
                                                                  <w:marTop w:val="0"/>
                                                                  <w:marBottom w:val="0"/>
                                                                  <w:divBdr>
                                                                    <w:top w:val="none" w:sz="0" w:space="0" w:color="auto"/>
                                                                    <w:left w:val="none" w:sz="0" w:space="0" w:color="auto"/>
                                                                    <w:bottom w:val="none" w:sz="0" w:space="0" w:color="auto"/>
                                                                    <w:right w:val="none" w:sz="0" w:space="0" w:color="auto"/>
                                                                  </w:divBdr>
                                                                </w:div>
                                                                <w:div w:id="953362579">
                                                                  <w:marLeft w:val="0"/>
                                                                  <w:marRight w:val="0"/>
                                                                  <w:marTop w:val="0"/>
                                                                  <w:marBottom w:val="0"/>
                                                                  <w:divBdr>
                                                                    <w:top w:val="none" w:sz="0" w:space="0" w:color="auto"/>
                                                                    <w:left w:val="none" w:sz="0" w:space="0" w:color="auto"/>
                                                                    <w:bottom w:val="none" w:sz="0" w:space="0" w:color="auto"/>
                                                                    <w:right w:val="none" w:sz="0" w:space="0" w:color="auto"/>
                                                                  </w:divBdr>
                                                                </w:div>
                                                                <w:div w:id="994455722">
                                                                  <w:marLeft w:val="0"/>
                                                                  <w:marRight w:val="0"/>
                                                                  <w:marTop w:val="0"/>
                                                                  <w:marBottom w:val="0"/>
                                                                  <w:divBdr>
                                                                    <w:top w:val="none" w:sz="0" w:space="0" w:color="auto"/>
                                                                    <w:left w:val="none" w:sz="0" w:space="0" w:color="auto"/>
                                                                    <w:bottom w:val="none" w:sz="0" w:space="0" w:color="auto"/>
                                                                    <w:right w:val="none" w:sz="0" w:space="0" w:color="auto"/>
                                                                  </w:divBdr>
                                                                </w:div>
                                                                <w:div w:id="1022125362">
                                                                  <w:marLeft w:val="0"/>
                                                                  <w:marRight w:val="0"/>
                                                                  <w:marTop w:val="0"/>
                                                                  <w:marBottom w:val="0"/>
                                                                  <w:divBdr>
                                                                    <w:top w:val="none" w:sz="0" w:space="0" w:color="auto"/>
                                                                    <w:left w:val="none" w:sz="0" w:space="0" w:color="auto"/>
                                                                    <w:bottom w:val="none" w:sz="0" w:space="0" w:color="auto"/>
                                                                    <w:right w:val="none" w:sz="0" w:space="0" w:color="auto"/>
                                                                  </w:divBdr>
                                                                </w:div>
                                                                <w:div w:id="1079669678">
                                                                  <w:marLeft w:val="0"/>
                                                                  <w:marRight w:val="0"/>
                                                                  <w:marTop w:val="0"/>
                                                                  <w:marBottom w:val="0"/>
                                                                  <w:divBdr>
                                                                    <w:top w:val="none" w:sz="0" w:space="0" w:color="auto"/>
                                                                    <w:left w:val="none" w:sz="0" w:space="0" w:color="auto"/>
                                                                    <w:bottom w:val="none" w:sz="0" w:space="0" w:color="auto"/>
                                                                    <w:right w:val="none" w:sz="0" w:space="0" w:color="auto"/>
                                                                  </w:divBdr>
                                                                </w:div>
                                                                <w:div w:id="1167553161">
                                                                  <w:marLeft w:val="0"/>
                                                                  <w:marRight w:val="0"/>
                                                                  <w:marTop w:val="0"/>
                                                                  <w:marBottom w:val="0"/>
                                                                  <w:divBdr>
                                                                    <w:top w:val="none" w:sz="0" w:space="0" w:color="auto"/>
                                                                    <w:left w:val="none" w:sz="0" w:space="0" w:color="auto"/>
                                                                    <w:bottom w:val="none" w:sz="0" w:space="0" w:color="auto"/>
                                                                    <w:right w:val="none" w:sz="0" w:space="0" w:color="auto"/>
                                                                  </w:divBdr>
                                                                </w:div>
                                                                <w:div w:id="1182931414">
                                                                  <w:marLeft w:val="0"/>
                                                                  <w:marRight w:val="0"/>
                                                                  <w:marTop w:val="0"/>
                                                                  <w:marBottom w:val="0"/>
                                                                  <w:divBdr>
                                                                    <w:top w:val="none" w:sz="0" w:space="0" w:color="auto"/>
                                                                    <w:left w:val="none" w:sz="0" w:space="0" w:color="auto"/>
                                                                    <w:bottom w:val="none" w:sz="0" w:space="0" w:color="auto"/>
                                                                    <w:right w:val="none" w:sz="0" w:space="0" w:color="auto"/>
                                                                  </w:divBdr>
                                                                </w:div>
                                                                <w:div w:id="1262684693">
                                                                  <w:marLeft w:val="0"/>
                                                                  <w:marRight w:val="0"/>
                                                                  <w:marTop w:val="0"/>
                                                                  <w:marBottom w:val="0"/>
                                                                  <w:divBdr>
                                                                    <w:top w:val="none" w:sz="0" w:space="0" w:color="auto"/>
                                                                    <w:left w:val="none" w:sz="0" w:space="0" w:color="auto"/>
                                                                    <w:bottom w:val="none" w:sz="0" w:space="0" w:color="auto"/>
                                                                    <w:right w:val="none" w:sz="0" w:space="0" w:color="auto"/>
                                                                  </w:divBdr>
                                                                </w:div>
                                                                <w:div w:id="1284341183">
                                                                  <w:marLeft w:val="0"/>
                                                                  <w:marRight w:val="0"/>
                                                                  <w:marTop w:val="0"/>
                                                                  <w:marBottom w:val="0"/>
                                                                  <w:divBdr>
                                                                    <w:top w:val="none" w:sz="0" w:space="0" w:color="auto"/>
                                                                    <w:left w:val="none" w:sz="0" w:space="0" w:color="auto"/>
                                                                    <w:bottom w:val="none" w:sz="0" w:space="0" w:color="auto"/>
                                                                    <w:right w:val="none" w:sz="0" w:space="0" w:color="auto"/>
                                                                  </w:divBdr>
                                                                </w:div>
                                                                <w:div w:id="1391539351">
                                                                  <w:marLeft w:val="0"/>
                                                                  <w:marRight w:val="0"/>
                                                                  <w:marTop w:val="0"/>
                                                                  <w:marBottom w:val="0"/>
                                                                  <w:divBdr>
                                                                    <w:top w:val="none" w:sz="0" w:space="0" w:color="auto"/>
                                                                    <w:left w:val="none" w:sz="0" w:space="0" w:color="auto"/>
                                                                    <w:bottom w:val="none" w:sz="0" w:space="0" w:color="auto"/>
                                                                    <w:right w:val="none" w:sz="0" w:space="0" w:color="auto"/>
                                                                  </w:divBdr>
                                                                </w:div>
                                                                <w:div w:id="1527402812">
                                                                  <w:marLeft w:val="0"/>
                                                                  <w:marRight w:val="0"/>
                                                                  <w:marTop w:val="0"/>
                                                                  <w:marBottom w:val="0"/>
                                                                  <w:divBdr>
                                                                    <w:top w:val="none" w:sz="0" w:space="0" w:color="auto"/>
                                                                    <w:left w:val="none" w:sz="0" w:space="0" w:color="auto"/>
                                                                    <w:bottom w:val="none" w:sz="0" w:space="0" w:color="auto"/>
                                                                    <w:right w:val="none" w:sz="0" w:space="0" w:color="auto"/>
                                                                  </w:divBdr>
                                                                </w:div>
                                                                <w:div w:id="1552306304">
                                                                  <w:marLeft w:val="0"/>
                                                                  <w:marRight w:val="0"/>
                                                                  <w:marTop w:val="0"/>
                                                                  <w:marBottom w:val="0"/>
                                                                  <w:divBdr>
                                                                    <w:top w:val="none" w:sz="0" w:space="0" w:color="auto"/>
                                                                    <w:left w:val="none" w:sz="0" w:space="0" w:color="auto"/>
                                                                    <w:bottom w:val="none" w:sz="0" w:space="0" w:color="auto"/>
                                                                    <w:right w:val="none" w:sz="0" w:space="0" w:color="auto"/>
                                                                  </w:divBdr>
                                                                </w:div>
                                                                <w:div w:id="1566180560">
                                                                  <w:marLeft w:val="0"/>
                                                                  <w:marRight w:val="0"/>
                                                                  <w:marTop w:val="0"/>
                                                                  <w:marBottom w:val="0"/>
                                                                  <w:divBdr>
                                                                    <w:top w:val="none" w:sz="0" w:space="0" w:color="auto"/>
                                                                    <w:left w:val="none" w:sz="0" w:space="0" w:color="auto"/>
                                                                    <w:bottom w:val="none" w:sz="0" w:space="0" w:color="auto"/>
                                                                    <w:right w:val="none" w:sz="0" w:space="0" w:color="auto"/>
                                                                  </w:divBdr>
                                                                </w:div>
                                                                <w:div w:id="1639649014">
                                                                  <w:marLeft w:val="0"/>
                                                                  <w:marRight w:val="0"/>
                                                                  <w:marTop w:val="0"/>
                                                                  <w:marBottom w:val="0"/>
                                                                  <w:divBdr>
                                                                    <w:top w:val="none" w:sz="0" w:space="0" w:color="auto"/>
                                                                    <w:left w:val="none" w:sz="0" w:space="0" w:color="auto"/>
                                                                    <w:bottom w:val="none" w:sz="0" w:space="0" w:color="auto"/>
                                                                    <w:right w:val="none" w:sz="0" w:space="0" w:color="auto"/>
                                                                  </w:divBdr>
                                                                </w:div>
                                                                <w:div w:id="1875338559">
                                                                  <w:marLeft w:val="0"/>
                                                                  <w:marRight w:val="0"/>
                                                                  <w:marTop w:val="0"/>
                                                                  <w:marBottom w:val="0"/>
                                                                  <w:divBdr>
                                                                    <w:top w:val="none" w:sz="0" w:space="0" w:color="auto"/>
                                                                    <w:left w:val="none" w:sz="0" w:space="0" w:color="auto"/>
                                                                    <w:bottom w:val="none" w:sz="0" w:space="0" w:color="auto"/>
                                                                    <w:right w:val="none" w:sz="0" w:space="0" w:color="auto"/>
                                                                  </w:divBdr>
                                                                </w:div>
                                                                <w:div w:id="2082562032">
                                                                  <w:marLeft w:val="0"/>
                                                                  <w:marRight w:val="0"/>
                                                                  <w:marTop w:val="0"/>
                                                                  <w:marBottom w:val="0"/>
                                                                  <w:divBdr>
                                                                    <w:top w:val="none" w:sz="0" w:space="0" w:color="auto"/>
                                                                    <w:left w:val="none" w:sz="0" w:space="0" w:color="auto"/>
                                                                    <w:bottom w:val="none" w:sz="0" w:space="0" w:color="auto"/>
                                                                    <w:right w:val="none" w:sz="0" w:space="0" w:color="auto"/>
                                                                  </w:divBdr>
                                                                </w:div>
                                                                <w:div w:id="2086956585">
                                                                  <w:marLeft w:val="0"/>
                                                                  <w:marRight w:val="0"/>
                                                                  <w:marTop w:val="0"/>
                                                                  <w:marBottom w:val="0"/>
                                                                  <w:divBdr>
                                                                    <w:top w:val="none" w:sz="0" w:space="0" w:color="auto"/>
                                                                    <w:left w:val="none" w:sz="0" w:space="0" w:color="auto"/>
                                                                    <w:bottom w:val="none" w:sz="0" w:space="0" w:color="auto"/>
                                                                    <w:right w:val="none" w:sz="0" w:space="0" w:color="auto"/>
                                                                  </w:divBdr>
                                                                </w:div>
                                                                <w:div w:id="2101489984">
                                                                  <w:marLeft w:val="0"/>
                                                                  <w:marRight w:val="0"/>
                                                                  <w:marTop w:val="0"/>
                                                                  <w:marBottom w:val="0"/>
                                                                  <w:divBdr>
                                                                    <w:top w:val="none" w:sz="0" w:space="0" w:color="auto"/>
                                                                    <w:left w:val="none" w:sz="0" w:space="0" w:color="auto"/>
                                                                    <w:bottom w:val="none" w:sz="0" w:space="0" w:color="auto"/>
                                                                    <w:right w:val="none" w:sz="0" w:space="0" w:color="auto"/>
                                                                  </w:divBdr>
                                                                </w:div>
                                                                <w:div w:id="213706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37020687">
      <w:bodyDiv w:val="1"/>
      <w:marLeft w:val="0"/>
      <w:marRight w:val="0"/>
      <w:marTop w:val="0"/>
      <w:marBottom w:val="0"/>
      <w:divBdr>
        <w:top w:val="none" w:sz="0" w:space="0" w:color="auto"/>
        <w:left w:val="none" w:sz="0" w:space="0" w:color="auto"/>
        <w:bottom w:val="none" w:sz="0" w:space="0" w:color="auto"/>
        <w:right w:val="none" w:sz="0" w:space="0" w:color="auto"/>
      </w:divBdr>
      <w:divsChild>
        <w:div w:id="1506945197">
          <w:blockQuote w:val="1"/>
          <w:marLeft w:val="0"/>
          <w:marRight w:val="0"/>
          <w:marTop w:val="0"/>
          <w:marBottom w:val="255"/>
          <w:divBdr>
            <w:top w:val="none" w:sz="0" w:space="0" w:color="auto"/>
            <w:left w:val="single" w:sz="36" w:space="13" w:color="EEEEEE"/>
            <w:bottom w:val="none" w:sz="0" w:space="0" w:color="auto"/>
            <w:right w:val="none" w:sz="0" w:space="0" w:color="auto"/>
          </w:divBdr>
        </w:div>
      </w:divsChild>
    </w:div>
    <w:div w:id="2138597781">
      <w:bodyDiv w:val="1"/>
      <w:marLeft w:val="0"/>
      <w:marRight w:val="0"/>
      <w:marTop w:val="0"/>
      <w:marBottom w:val="0"/>
      <w:divBdr>
        <w:top w:val="none" w:sz="0" w:space="0" w:color="auto"/>
        <w:left w:val="none" w:sz="0" w:space="0" w:color="auto"/>
        <w:bottom w:val="none" w:sz="0" w:space="0" w:color="auto"/>
        <w:right w:val="none" w:sz="0" w:space="0" w:color="auto"/>
      </w:divBdr>
      <w:divsChild>
        <w:div w:id="1763793629">
          <w:marLeft w:val="0"/>
          <w:marRight w:val="0"/>
          <w:marTop w:val="0"/>
          <w:marBottom w:val="0"/>
          <w:divBdr>
            <w:top w:val="none" w:sz="0" w:space="0" w:color="auto"/>
            <w:left w:val="none" w:sz="0" w:space="0" w:color="auto"/>
            <w:bottom w:val="none" w:sz="0" w:space="0" w:color="auto"/>
            <w:right w:val="none" w:sz="0" w:space="0" w:color="auto"/>
          </w:divBdr>
          <w:divsChild>
            <w:div w:id="169233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997699">
      <w:bodyDiv w:val="1"/>
      <w:marLeft w:val="0"/>
      <w:marRight w:val="0"/>
      <w:marTop w:val="0"/>
      <w:marBottom w:val="0"/>
      <w:divBdr>
        <w:top w:val="none" w:sz="0" w:space="0" w:color="auto"/>
        <w:left w:val="none" w:sz="0" w:space="0" w:color="auto"/>
        <w:bottom w:val="none" w:sz="0" w:space="0" w:color="auto"/>
        <w:right w:val="none" w:sz="0" w:space="0" w:color="auto"/>
      </w:divBdr>
      <w:divsChild>
        <w:div w:id="194971135">
          <w:marLeft w:val="0"/>
          <w:marRight w:val="0"/>
          <w:marTop w:val="0"/>
          <w:marBottom w:val="0"/>
          <w:divBdr>
            <w:top w:val="none" w:sz="0" w:space="0" w:color="auto"/>
            <w:left w:val="none" w:sz="0" w:space="0" w:color="auto"/>
            <w:bottom w:val="none" w:sz="0" w:space="0" w:color="auto"/>
            <w:right w:val="none" w:sz="0" w:space="0" w:color="auto"/>
          </w:divBdr>
          <w:divsChild>
            <w:div w:id="1403025270">
              <w:marLeft w:val="0"/>
              <w:marRight w:val="75"/>
              <w:marTop w:val="0"/>
              <w:marBottom w:val="0"/>
              <w:divBdr>
                <w:top w:val="none" w:sz="0" w:space="0" w:color="auto"/>
                <w:left w:val="none" w:sz="0" w:space="0" w:color="auto"/>
                <w:bottom w:val="none" w:sz="0" w:space="0" w:color="auto"/>
                <w:right w:val="none" w:sz="0" w:space="0" w:color="auto"/>
              </w:divBdr>
              <w:divsChild>
                <w:div w:id="1043291071">
                  <w:marLeft w:val="0"/>
                  <w:marRight w:val="0"/>
                  <w:marTop w:val="0"/>
                  <w:marBottom w:val="0"/>
                  <w:divBdr>
                    <w:top w:val="none" w:sz="0" w:space="0" w:color="auto"/>
                    <w:left w:val="none" w:sz="0" w:space="0" w:color="auto"/>
                    <w:bottom w:val="none" w:sz="0" w:space="0" w:color="auto"/>
                    <w:right w:val="none" w:sz="0" w:space="0" w:color="auto"/>
                  </w:divBdr>
                  <w:divsChild>
                    <w:div w:id="1797485631">
                      <w:marLeft w:val="0"/>
                      <w:marRight w:val="0"/>
                      <w:marTop w:val="225"/>
                      <w:marBottom w:val="225"/>
                      <w:divBdr>
                        <w:top w:val="none" w:sz="0" w:space="0" w:color="auto"/>
                        <w:left w:val="none" w:sz="0" w:space="0" w:color="auto"/>
                        <w:bottom w:val="none" w:sz="0" w:space="0" w:color="auto"/>
                        <w:right w:val="none" w:sz="0" w:space="0" w:color="auto"/>
                      </w:divBdr>
                      <w:divsChild>
                        <w:div w:id="1133475944">
                          <w:marLeft w:val="0"/>
                          <w:marRight w:val="150"/>
                          <w:marTop w:val="0"/>
                          <w:marBottom w:val="0"/>
                          <w:divBdr>
                            <w:top w:val="none" w:sz="0" w:space="0" w:color="auto"/>
                            <w:left w:val="none" w:sz="0" w:space="0" w:color="auto"/>
                            <w:bottom w:val="none" w:sz="0" w:space="0" w:color="auto"/>
                            <w:right w:val="none" w:sz="0" w:space="0" w:color="auto"/>
                          </w:divBdr>
                          <w:divsChild>
                            <w:div w:id="152131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conseil-constitutionnel.fr/conseil-constitutionnel/english/homepage.14.htm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631E3D-3D72-4B0B-A8EF-DB70AF5D1578}">
  <ds:schemaRefs>
    <ds:schemaRef ds:uri="http://schemas.openxmlformats.org/officeDocument/2006/bibliography"/>
  </ds:schemaRefs>
</ds:datastoreItem>
</file>

<file path=customXml/itemProps2.xml><?xml version="1.0" encoding="utf-8"?>
<ds:datastoreItem xmlns:ds="http://schemas.openxmlformats.org/officeDocument/2006/customXml" ds:itemID="{076C9A8D-D0D8-4D9C-BC7B-BBA89562A147}"/>
</file>

<file path=customXml/itemProps3.xml><?xml version="1.0" encoding="utf-8"?>
<ds:datastoreItem xmlns:ds="http://schemas.openxmlformats.org/officeDocument/2006/customXml" ds:itemID="{7DB2C64C-83C3-4AA1-91E2-51A6B71AD8F8}"/>
</file>

<file path=customXml/itemProps4.xml><?xml version="1.0" encoding="utf-8"?>
<ds:datastoreItem xmlns:ds="http://schemas.openxmlformats.org/officeDocument/2006/customXml" ds:itemID="{D10DAD76-8436-498A-BED0-E416672E9F61}"/>
</file>

<file path=docProps/app.xml><?xml version="1.0" encoding="utf-8"?>
<Properties xmlns="http://schemas.openxmlformats.org/officeDocument/2006/extended-properties" xmlns:vt="http://schemas.openxmlformats.org/officeDocument/2006/docPropsVTypes">
  <Template>Normal</Template>
  <TotalTime>1</TotalTime>
  <Pages>1</Pages>
  <Words>6996</Words>
  <Characters>34985</Characters>
  <Application>Microsoft Office Word</Application>
  <DocSecurity>0</DocSecurity>
  <Lines>291</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41898</CharactersWithSpaces>
  <SharedDoc>false</SharedDoc>
  <HLinks>
    <vt:vector size="24" baseType="variant">
      <vt:variant>
        <vt:i4>917592</vt:i4>
      </vt:variant>
      <vt:variant>
        <vt:i4>9</vt:i4>
      </vt:variant>
      <vt:variant>
        <vt:i4>0</vt:i4>
      </vt:variant>
      <vt:variant>
        <vt:i4>5</vt:i4>
      </vt:variant>
      <vt:variant>
        <vt:lpwstr>http://www.electoralcommission.org.uk/find-information-by-subject/political-parties-campaigning-and-donations</vt:lpwstr>
      </vt:variant>
      <vt:variant>
        <vt:lpwstr/>
      </vt:variant>
      <vt:variant>
        <vt:i4>6619187</vt:i4>
      </vt:variant>
      <vt:variant>
        <vt:i4>6</vt:i4>
      </vt:variant>
      <vt:variant>
        <vt:i4>0</vt:i4>
      </vt:variant>
      <vt:variant>
        <vt:i4>5</vt:i4>
      </vt:variant>
      <vt:variant>
        <vt:lpwstr>http://www.electoralcommission.org.uk/</vt:lpwstr>
      </vt:variant>
      <vt:variant>
        <vt:lpwstr/>
      </vt:variant>
      <vt:variant>
        <vt:i4>7274605</vt:i4>
      </vt:variant>
      <vt:variant>
        <vt:i4>3</vt:i4>
      </vt:variant>
      <vt:variant>
        <vt:i4>0</vt:i4>
      </vt:variant>
      <vt:variant>
        <vt:i4>5</vt:i4>
      </vt:variant>
      <vt:variant>
        <vt:lpwstr>https://www.parliament.uk/</vt:lpwstr>
      </vt:variant>
      <vt:variant>
        <vt:lpwstr/>
      </vt:variant>
      <vt:variant>
        <vt:i4>6750269</vt:i4>
      </vt:variant>
      <vt:variant>
        <vt:i4>0</vt:i4>
      </vt:variant>
      <vt:variant>
        <vt:i4>0</vt:i4>
      </vt:variant>
      <vt:variant>
        <vt:i4>5</vt:i4>
      </vt:variant>
      <vt:variant>
        <vt:lpwstr>http://www.aec.gov.au/Voting/index.htm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giladn</dc:creator>
  <cp:keywords/>
  <dc:description/>
  <cp:lastModifiedBy>גלעד נוה</cp:lastModifiedBy>
  <cp:revision>3</cp:revision>
  <cp:lastPrinted>2017-09-25T10:08:00Z</cp:lastPrinted>
  <dcterms:created xsi:type="dcterms:W3CDTF">2017-09-25T10:24:00Z</dcterms:created>
  <dcterms:modified xsi:type="dcterms:W3CDTF">2017-09-25T10:25:00Z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2020842</vt:r8>
  </property>
</Properties>
</file>