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CA65885" w14:textId="77777777" w:rsidR="003A0254" w:rsidRPr="0000131B" w:rsidRDefault="003A0254" w:rsidP="003A0254">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578934</w:t>
      </w:r>
      <w:bookmarkEnd w:id="1"/>
    </w:p>
    <w:p w14:paraId="149EF402" w14:textId="77777777" w:rsidR="003A0254" w:rsidRPr="00DB7060" w:rsidRDefault="003A0254" w:rsidP="003A0254">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3103B6C9" w14:textId="77777777" w:rsidR="003A0254" w:rsidRPr="00F67051" w:rsidRDefault="003A0254" w:rsidP="003A0254">
      <w:pPr>
        <w:rPr>
          <w:rFonts w:cs="David"/>
          <w:b/>
          <w:bCs/>
          <w:sz w:val="26"/>
          <w:szCs w:val="26"/>
          <w:rtl/>
        </w:rPr>
      </w:pPr>
    </w:p>
    <w:p w14:paraId="5CED7296" w14:textId="7872630E" w:rsidR="003A0254" w:rsidRPr="00CF1AA2" w:rsidRDefault="003A0254" w:rsidP="00A14467">
      <w:pPr>
        <w:pStyle w:val="David"/>
        <w:spacing w:line="360" w:lineRule="auto"/>
        <w:ind w:left="3544"/>
        <w:rPr>
          <w:b/>
          <w:bCs/>
          <w:sz w:val="16"/>
          <w:szCs w:val="16"/>
          <w:rtl/>
        </w:rPr>
      </w:pPr>
      <w:bookmarkStart w:id="3" w:name="LGS_Initiators_List"/>
      <w:r>
        <w:rPr>
          <w:b/>
          <w:bCs/>
          <w:rtl/>
        </w:rPr>
        <w:t>יוזמת:</w:t>
      </w:r>
      <w:r>
        <w:tab/>
      </w:r>
      <w:r>
        <w:rPr>
          <w:b/>
          <w:bCs/>
          <w:rtl/>
        </w:rPr>
        <w:t xml:space="preserve">      חברת הכנסת</w:t>
      </w:r>
      <w:bookmarkEnd w:id="3"/>
      <w:r w:rsidRPr="00F67051">
        <w:rPr>
          <w:b/>
          <w:bCs/>
        </w:rPr>
        <w:tab/>
      </w:r>
      <w:bookmarkStart w:id="4" w:name="LGS_PM_Names"/>
      <w:r>
        <w:rPr>
          <w:rFonts w:hint="cs"/>
          <w:b/>
          <w:bCs/>
          <w:rtl/>
        </w:rPr>
        <w:t>ענת ברקו</w:t>
      </w:r>
      <w:bookmarkStart w:id="5" w:name="LGS_Join_List"/>
      <w:bookmarkEnd w:id="4"/>
      <w:r>
        <w:rPr>
          <w:rtl/>
        </w:rPr>
        <w:t xml:space="preserve"> </w:t>
      </w:r>
      <w:bookmarkEnd w:id="5"/>
      <w:r w:rsidRPr="00CF1AA2">
        <w:rPr>
          <w:rFonts w:hint="cs"/>
          <w:rtl/>
        </w:rPr>
        <w:tab/>
      </w:r>
      <w:bookmarkStart w:id="6" w:name="LGS_PM_NamesJoin"/>
      <w:r>
        <w:rPr>
          <w:rFonts w:hint="cs"/>
          <w:rtl/>
        </w:rPr>
        <w:t xml:space="preserve"> </w:t>
      </w:r>
      <w:bookmarkEnd w:id="6"/>
    </w:p>
    <w:p w14:paraId="1C51C2FB" w14:textId="77777777" w:rsidR="003A0254" w:rsidRPr="00904591" w:rsidRDefault="003A0254" w:rsidP="003A0254">
      <w:pPr>
        <w:pStyle w:val="David"/>
        <w:spacing w:before="0" w:line="360" w:lineRule="auto"/>
        <w:ind w:left="3544"/>
        <w:rPr>
          <w:sz w:val="4"/>
          <w:szCs w:val="4"/>
          <w:rtl/>
        </w:rPr>
      </w:pPr>
      <w:r>
        <w:t>______________________________________________</w:t>
      </w:r>
      <w:r w:rsidRPr="00E06736">
        <w:tab/>
      </w:r>
      <w:r w:rsidRPr="00E06736">
        <w:rPr>
          <w:rFonts w:hint="cs"/>
          <w:rtl/>
        </w:rPr>
        <w:tab/>
      </w:r>
      <w:r w:rsidRPr="00E06736">
        <w:rPr>
          <w:rFonts w:hint="cs"/>
          <w:rtl/>
        </w:rPr>
        <w:tab/>
      </w:r>
      <w:r w:rsidRPr="00E06736">
        <w:rPr>
          <w:rFonts w:hint="cs"/>
          <w:rtl/>
        </w:rPr>
        <w:tab/>
      </w:r>
      <w:r>
        <w:t xml:space="preserve">           </w:t>
      </w:r>
    </w:p>
    <w:p w14:paraId="07B1CC89" w14:textId="77777777" w:rsidR="003A0254" w:rsidRPr="00E06736" w:rsidRDefault="003A0254" w:rsidP="003A0254">
      <w:pPr>
        <w:pStyle w:val="David"/>
        <w:spacing w:before="0" w:line="240" w:lineRule="auto"/>
        <w:ind w:left="3544"/>
        <w:rPr>
          <w:rtl/>
        </w:rPr>
      </w:pPr>
      <w:r>
        <w:t xml:space="preserve">                                             </w:t>
      </w:r>
      <w:bookmarkStart w:id="7" w:name="Private_Number"/>
      <w:r>
        <w:rPr>
          <w:rFonts w:hint="cs"/>
          <w:rtl/>
        </w:rPr>
        <w:t>פ/3218/20</w:t>
      </w:r>
      <w:bookmarkEnd w:id="7"/>
    </w:p>
    <w:p w14:paraId="4B0063D5" w14:textId="77777777" w:rsidR="003A0254" w:rsidRDefault="003A0254" w:rsidP="003A0254">
      <w:pPr>
        <w:spacing w:before="0" w:line="360" w:lineRule="auto"/>
        <w:ind w:left="2880" w:firstLine="720"/>
        <w:rPr>
          <w:rFonts w:cs="David"/>
          <w:sz w:val="26"/>
          <w:szCs w:val="26"/>
          <w:rtl/>
        </w:rPr>
      </w:pPr>
    </w:p>
    <w:p w14:paraId="6902C7D4" w14:textId="77777777" w:rsidR="003A0254" w:rsidRPr="00F67051" w:rsidRDefault="003A0254" w:rsidP="003A0254">
      <w:pPr>
        <w:pStyle w:val="HeadHatzaotHok"/>
        <w:rPr>
          <w:rtl/>
        </w:rPr>
      </w:pPr>
      <w:bookmarkStart w:id="8" w:name="LGS_Subject"/>
      <w:r>
        <w:rPr>
          <w:rFonts w:hint="cs"/>
          <w:rtl/>
        </w:rPr>
        <w:t>הצעת חוק-יסוד: הכנסת (תיקון – מניעת בחירת מועמד שהורשע בעבירת טרור)</w:t>
      </w:r>
      <w:bookmarkEnd w:id="8"/>
    </w:p>
    <w:p w14:paraId="2AB90DF9" w14:textId="77777777" w:rsidR="003A0254" w:rsidRDefault="003A0254" w:rsidP="003A0254">
      <w:pPr>
        <w:pStyle w:val="HeadDivreiHesber"/>
        <w:spacing w:before="0" w:after="0"/>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3A0254" w14:paraId="1317D75A" w14:textId="77777777" w:rsidTr="00CD5504">
        <w:trPr>
          <w:cantSplit/>
        </w:trPr>
        <w:tc>
          <w:tcPr>
            <w:tcW w:w="1871" w:type="dxa"/>
            <w:vAlign w:val="center"/>
          </w:tcPr>
          <w:p w14:paraId="1859C9E6" w14:textId="77777777" w:rsidR="003A0254" w:rsidRDefault="003A0254" w:rsidP="00CD5504">
            <w:pPr>
              <w:pStyle w:val="TableSideHeading"/>
              <w:keepLines w:val="0"/>
            </w:pPr>
            <w:r>
              <w:rPr>
                <w:rFonts w:hint="cs"/>
                <w:rtl/>
              </w:rPr>
              <w:t>תיקון סעיף 6</w:t>
            </w:r>
          </w:p>
        </w:tc>
        <w:tc>
          <w:tcPr>
            <w:tcW w:w="624" w:type="dxa"/>
            <w:vAlign w:val="center"/>
          </w:tcPr>
          <w:p w14:paraId="47A3381F" w14:textId="77777777" w:rsidR="003A0254" w:rsidRDefault="003A0254" w:rsidP="00CD5504">
            <w:pPr>
              <w:pStyle w:val="TableText"/>
              <w:keepLines w:val="0"/>
            </w:pPr>
            <w:r>
              <w:rPr>
                <w:rFonts w:hint="cs"/>
                <w:rtl/>
              </w:rPr>
              <w:t xml:space="preserve">1. </w:t>
            </w:r>
          </w:p>
        </w:tc>
        <w:tc>
          <w:tcPr>
            <w:tcW w:w="7146" w:type="dxa"/>
          </w:tcPr>
          <w:p w14:paraId="5BACE69C" w14:textId="77777777" w:rsidR="003A0254" w:rsidRPr="001C3F49" w:rsidRDefault="003A0254" w:rsidP="00CD5504">
            <w:pPr>
              <w:pStyle w:val="TableBlock"/>
            </w:pPr>
            <w:r>
              <w:rPr>
                <w:rFonts w:hint="cs"/>
                <w:rtl/>
              </w:rPr>
              <w:t>בחוק-יסוד: הכנסת</w:t>
            </w:r>
            <w:r>
              <w:rPr>
                <w:rStyle w:val="a6"/>
                <w:rtl/>
              </w:rPr>
              <w:footnoteReference w:id="2"/>
            </w:r>
            <w:r>
              <w:rPr>
                <w:rFonts w:hint="cs"/>
                <w:rtl/>
              </w:rPr>
              <w:t xml:space="preserve">, בסעיף 6, בסופו </w:t>
            </w:r>
            <w:r w:rsidRPr="001C3F49">
              <w:rPr>
                <w:rFonts w:hint="cs"/>
                <w:rtl/>
              </w:rPr>
              <w:t>יבוא:</w:t>
            </w:r>
          </w:p>
        </w:tc>
      </w:tr>
      <w:tr w:rsidR="003A0254" w14:paraId="02B249B6" w14:textId="77777777" w:rsidTr="00CD5504">
        <w:trPr>
          <w:cantSplit/>
        </w:trPr>
        <w:tc>
          <w:tcPr>
            <w:tcW w:w="1871" w:type="dxa"/>
          </w:tcPr>
          <w:p w14:paraId="14AD41A8" w14:textId="77777777" w:rsidR="003A0254" w:rsidRDefault="003A0254" w:rsidP="00CD5504">
            <w:pPr>
              <w:pStyle w:val="TableSideHeading"/>
              <w:keepLines w:val="0"/>
            </w:pPr>
          </w:p>
        </w:tc>
        <w:tc>
          <w:tcPr>
            <w:tcW w:w="624" w:type="dxa"/>
          </w:tcPr>
          <w:p w14:paraId="55BC9914" w14:textId="77777777" w:rsidR="003A0254" w:rsidRDefault="003A0254" w:rsidP="00CD5504">
            <w:pPr>
              <w:pStyle w:val="TableText"/>
              <w:keepLines w:val="0"/>
            </w:pPr>
          </w:p>
        </w:tc>
        <w:tc>
          <w:tcPr>
            <w:tcW w:w="7146" w:type="dxa"/>
          </w:tcPr>
          <w:p w14:paraId="3F49864F" w14:textId="77777777" w:rsidR="003A0254" w:rsidRPr="001C3F49" w:rsidRDefault="003A0254" w:rsidP="00CD5504">
            <w:pPr>
              <w:pStyle w:val="TableBlock"/>
            </w:pPr>
            <w:r>
              <w:rPr>
                <w:rFonts w:hint="cs"/>
                <w:rtl/>
              </w:rPr>
              <w:t>"</w:t>
            </w:r>
            <w:r w:rsidRPr="001C3F49">
              <w:rPr>
                <w:rFonts w:hint="cs"/>
                <w:rtl/>
              </w:rPr>
              <w:t>(ו</w:t>
            </w:r>
            <w:r>
              <w:rPr>
                <w:rFonts w:hint="cs"/>
                <w:rtl/>
              </w:rPr>
              <w:t>)</w:t>
            </w:r>
            <w:r>
              <w:rPr>
                <w:rtl/>
              </w:rPr>
              <w:tab/>
            </w:r>
            <w:r>
              <w:rPr>
                <w:rFonts w:hint="cs"/>
                <w:rtl/>
              </w:rPr>
              <w:t xml:space="preserve">מועמד לכנסת שנידון לעונש מאסר בפועל כאמור בסעיף קטן (א) והעבירה בה הורשע הייתה </w:t>
            </w:r>
            <w:r w:rsidRPr="0031433E">
              <w:rPr>
                <w:rtl/>
              </w:rPr>
              <w:t>מעשה טרור</w:t>
            </w:r>
            <w:r>
              <w:rPr>
                <w:rFonts w:hint="cs"/>
                <w:rtl/>
              </w:rPr>
              <w:t xml:space="preserve"> כהגדרתו בחוק המאבק בטרור, התשע"ו</w:t>
            </w:r>
            <w:r>
              <w:rPr>
                <w:rtl/>
              </w:rPr>
              <w:t>–</w:t>
            </w:r>
            <w:r>
              <w:rPr>
                <w:rFonts w:hint="cs"/>
                <w:rtl/>
              </w:rPr>
              <w:t>2016</w:t>
            </w:r>
            <w:r>
              <w:rPr>
                <w:rStyle w:val="a6"/>
                <w:rtl/>
              </w:rPr>
              <w:footnoteReference w:id="3"/>
            </w:r>
            <w:r>
              <w:rPr>
                <w:rFonts w:hint="cs"/>
                <w:rtl/>
              </w:rPr>
              <w:t xml:space="preserve"> (להלן </w:t>
            </w:r>
            <w:r>
              <w:rPr>
                <w:rtl/>
              </w:rPr>
              <w:t>–</w:t>
            </w:r>
            <w:r>
              <w:rPr>
                <w:rFonts w:hint="cs"/>
                <w:rtl/>
              </w:rPr>
              <w:t xml:space="preserve"> חוק המאבק בטרור), או עבירה לפי חוק המאבק בטרור, </w:t>
            </w:r>
            <w:r w:rsidRPr="0031433E">
              <w:rPr>
                <w:rtl/>
              </w:rPr>
              <w:t>לא יוכל להיבחר לכנסת אלא</w:t>
            </w:r>
            <w:r>
              <w:rPr>
                <w:rFonts w:hint="cs"/>
                <w:rtl/>
              </w:rPr>
              <w:t xml:space="preserve"> אם </w:t>
            </w:r>
            <w:r w:rsidRPr="00134AAF">
              <w:rPr>
                <w:rFonts w:hint="cs"/>
                <w:rtl/>
              </w:rPr>
              <w:t xml:space="preserve">ביום הגשת רשימת המועמדים </w:t>
            </w:r>
            <w:r>
              <w:rPr>
                <w:rFonts w:hint="cs"/>
                <w:rtl/>
              </w:rPr>
              <w:t xml:space="preserve">קבע יושב ראש ועדת הבחירות כי </w:t>
            </w:r>
            <w:r w:rsidRPr="00134AAF">
              <w:rPr>
                <w:rFonts w:hint="cs"/>
                <w:rtl/>
              </w:rPr>
              <w:t>עברו</w:t>
            </w:r>
            <w:r w:rsidRPr="00134AAF">
              <w:rPr>
                <w:rtl/>
              </w:rPr>
              <w:t xml:space="preserve"> עשרים וחמש שנים מיום שגמר לרצות את עונש</w:t>
            </w:r>
            <w:r w:rsidRPr="00134AAF">
              <w:rPr>
                <w:rFonts w:hint="cs"/>
                <w:rtl/>
              </w:rPr>
              <w:t xml:space="preserve"> המאסר בפועל</w:t>
            </w:r>
            <w:r>
              <w:rPr>
                <w:rFonts w:hint="cs"/>
                <w:rtl/>
              </w:rPr>
              <w:t>, ובזמן זה הוא</w:t>
            </w:r>
            <w:r>
              <w:rPr>
                <w:rtl/>
              </w:rPr>
              <w:t xml:space="preserve"> </w:t>
            </w:r>
            <w:r w:rsidRPr="0090195F">
              <w:rPr>
                <w:rtl/>
              </w:rPr>
              <w:t>לא הורשע</w:t>
            </w:r>
            <w:r>
              <w:rPr>
                <w:rFonts w:hint="cs"/>
                <w:rtl/>
              </w:rPr>
              <w:t xml:space="preserve"> בעבירה כאמור, לא הורשע במעשה טרור</w:t>
            </w:r>
            <w:r w:rsidRPr="0090195F">
              <w:rPr>
                <w:rtl/>
              </w:rPr>
              <w:t xml:space="preserve"> </w:t>
            </w:r>
            <w:r>
              <w:rPr>
                <w:rFonts w:hint="cs"/>
                <w:rtl/>
              </w:rPr>
              <w:t xml:space="preserve">מחוץ לישראל, </w:t>
            </w:r>
            <w:r w:rsidRPr="0090195F">
              <w:rPr>
                <w:rtl/>
              </w:rPr>
              <w:t>ולא נעצר לפי חוק סמכויות שעת חירום (מעצרים), התשל"ט–1979</w:t>
            </w:r>
            <w:r>
              <w:rPr>
                <w:rStyle w:val="a6"/>
                <w:rtl/>
              </w:rPr>
              <w:footnoteReference w:id="4"/>
            </w:r>
            <w:r w:rsidRPr="0090195F">
              <w:rPr>
                <w:rtl/>
              </w:rPr>
              <w:t>, או לפי צו בדבר הוראות ביטחון [נוסח משולב] (יהודה והשומרון) (מס' 1651), התש"ע–2009</w:t>
            </w:r>
            <w:r>
              <w:rPr>
                <w:rStyle w:val="a6"/>
                <w:rtl/>
              </w:rPr>
              <w:footnoteReference w:id="5"/>
            </w:r>
            <w:r w:rsidRPr="0090195F">
              <w:rPr>
                <w:rtl/>
              </w:rPr>
              <w:t>.</w:t>
            </w:r>
          </w:p>
        </w:tc>
      </w:tr>
    </w:tbl>
    <w:p w14:paraId="0CC289C3" w14:textId="77777777" w:rsidR="003A0254" w:rsidRDefault="003A0254" w:rsidP="003A0254">
      <w:pPr>
        <w:pStyle w:val="HeadDivreiHesber"/>
        <w:rPr>
          <w:rtl/>
        </w:rPr>
      </w:pPr>
      <w:r w:rsidRPr="0027450A">
        <w:rPr>
          <w:rFonts w:hint="cs"/>
          <w:rtl/>
        </w:rPr>
        <w:t>דברי הסבר</w:t>
      </w:r>
    </w:p>
    <w:p w14:paraId="1E2BABA0" w14:textId="77777777" w:rsidR="003A0254" w:rsidRPr="00116B74" w:rsidRDefault="003A0254" w:rsidP="003A0254">
      <w:pPr>
        <w:pStyle w:val="Hesber"/>
      </w:pPr>
      <w:r w:rsidRPr="00116B74">
        <w:rPr>
          <w:rFonts w:hint="cs"/>
          <w:rtl/>
        </w:rPr>
        <w:t xml:space="preserve">הצעת החוק מבקשת לתקן את חוק-יסוד: הכנסת, בכל הקשור לכשירותו של אדם להיות </w:t>
      </w:r>
      <w:r w:rsidRPr="00116B74">
        <w:rPr>
          <w:rtl/>
        </w:rPr>
        <w:t>מועמד לכנסת. התיקון מפריד בין מי שהורשע בפלילים למי שהורשע בגין מעשה טרור</w:t>
      </w:r>
      <w:r w:rsidRPr="00116B74">
        <w:rPr>
          <w:rFonts w:hint="cs"/>
          <w:rtl/>
        </w:rPr>
        <w:t xml:space="preserve"> ומציע</w:t>
      </w:r>
      <w:r w:rsidRPr="00116B74">
        <w:rPr>
          <w:rtl/>
        </w:rPr>
        <w:t xml:space="preserve"> </w:t>
      </w:r>
      <w:r w:rsidRPr="00116B74">
        <w:rPr>
          <w:rFonts w:hint="cs"/>
          <w:rtl/>
        </w:rPr>
        <w:t>לקבוע, ש</w:t>
      </w:r>
      <w:r w:rsidRPr="00116B74">
        <w:rPr>
          <w:rtl/>
        </w:rPr>
        <w:t>אדם שהורשע בעביר</w:t>
      </w:r>
      <w:r w:rsidRPr="00116B74">
        <w:rPr>
          <w:rFonts w:hint="cs"/>
          <w:rtl/>
        </w:rPr>
        <w:t>ה שהיא מעשה</w:t>
      </w:r>
      <w:r w:rsidRPr="00116B74">
        <w:rPr>
          <w:rtl/>
        </w:rPr>
        <w:t xml:space="preserve"> טרור</w:t>
      </w:r>
      <w:r w:rsidRPr="00116B74">
        <w:rPr>
          <w:rFonts w:hint="cs"/>
          <w:rtl/>
        </w:rPr>
        <w:t xml:space="preserve"> או בעבירה לפי חוק המאבק בטרור התשע"ו</w:t>
      </w:r>
      <w:r w:rsidRPr="00116B74">
        <w:rPr>
          <w:rtl/>
        </w:rPr>
        <w:t>–</w:t>
      </w:r>
      <w:r w:rsidRPr="00116B74">
        <w:rPr>
          <w:rFonts w:hint="cs"/>
          <w:rtl/>
        </w:rPr>
        <w:t>2016,</w:t>
      </w:r>
      <w:r w:rsidRPr="00116B74">
        <w:rPr>
          <w:rtl/>
        </w:rPr>
        <w:t xml:space="preserve"> יוכל להתמודד לכנסת </w:t>
      </w:r>
      <w:r w:rsidRPr="00116B74">
        <w:rPr>
          <w:rFonts w:hint="cs"/>
          <w:rtl/>
        </w:rPr>
        <w:t xml:space="preserve">רק אם קבע יושב ראש ועדת הבחירות המרכזית כי עברו 25 שנים מהיום בו סיים לרצות את עונש המאסר ובמהלך בתקופה זו הוא לא הורשע בעבירה כאמור או במעשה טרור בבית דין מחוץ לישראל וכן לא נעצר </w:t>
      </w:r>
      <w:r w:rsidRPr="00116B74">
        <w:rPr>
          <w:rtl/>
        </w:rPr>
        <w:t>לפי חוק סמכויות שעת חירום (מעצרים), התשל"ט–1979, או לפי צו בדבר הוראות ביטחון [נוסח משולב] (יהודה והשומרון) (מס' 1651), התש"ע–2009.</w:t>
      </w:r>
      <w:r w:rsidRPr="00116B74">
        <w:rPr>
          <w:rFonts w:hint="cs"/>
          <w:rtl/>
        </w:rPr>
        <w:t xml:space="preserve"> </w:t>
      </w:r>
    </w:p>
    <w:p w14:paraId="0C63E2EC" w14:textId="77777777" w:rsidR="003A0254" w:rsidRPr="00116B74" w:rsidRDefault="003A0254" w:rsidP="003A0254">
      <w:pPr>
        <w:pStyle w:val="Hesber"/>
      </w:pPr>
      <w:r w:rsidRPr="00116B74">
        <w:rPr>
          <w:rFonts w:hint="cs"/>
          <w:rtl/>
        </w:rPr>
        <w:t xml:space="preserve">מדובר באמצעי </w:t>
      </w:r>
      <w:r w:rsidRPr="00116B74">
        <w:rPr>
          <w:rtl/>
        </w:rPr>
        <w:t xml:space="preserve">שנועד לסמל את הפסול שבמעשה הטרור ובכך להשפיע על התפיסות החברתיות של הציבור ועל חינוכו. במסגרת </w:t>
      </w:r>
      <w:r w:rsidRPr="00116B74">
        <w:rPr>
          <w:rFonts w:hint="cs"/>
          <w:rtl/>
        </w:rPr>
        <w:t xml:space="preserve">זו </w:t>
      </w:r>
      <w:r w:rsidRPr="00116B74">
        <w:rPr>
          <w:rtl/>
        </w:rPr>
        <w:t xml:space="preserve">שמור מקום מרכזי </w:t>
      </w:r>
      <w:r w:rsidRPr="00116B74">
        <w:rPr>
          <w:rFonts w:hint="cs"/>
          <w:rtl/>
        </w:rPr>
        <w:t>ל</w:t>
      </w:r>
      <w:r w:rsidRPr="00116B74">
        <w:rPr>
          <w:rtl/>
        </w:rPr>
        <w:t xml:space="preserve">הוקעה הציבורית של מי שפעל נגד מדינתו ואזרחיה. </w:t>
      </w:r>
      <w:r w:rsidRPr="00116B74">
        <w:rPr>
          <w:rtl/>
        </w:rPr>
        <w:lastRenderedPageBreak/>
        <w:t>הדגשת הפסול האזרחי שבמעשה מחייב למנוע התמודדות לכנסת של מי שהורשע בעבירות טרור. על מנת למנוע תופעה פסולה זו, של התמודדות לכנסת של מי שכבר הוכיח כי הוא פועל נגד קיומה של המדינה או נגד שלום אזרחיה על רקע אידאולוגי,</w:t>
      </w:r>
      <w:r w:rsidRPr="00116B74">
        <w:rPr>
          <w:rFonts w:hint="cs"/>
          <w:rtl/>
        </w:rPr>
        <w:t xml:space="preserve"> דתי וכל היוצא בזה. הצעת החוק אינה נועלת את הדלת בפני מי שהורשע בגין עבירה על רקע טרור ובלבד שסיים לרצות עונשו ובמשך שנים רבות חדל מלעסוק בטרור.</w:t>
      </w:r>
    </w:p>
    <w:p w14:paraId="6F053F1A" w14:textId="77777777" w:rsidR="003A0254" w:rsidRDefault="003A0254" w:rsidP="003A0254">
      <w:pPr>
        <w:pStyle w:val="Hesber"/>
        <w:rPr>
          <w:rtl/>
        </w:rPr>
      </w:pPr>
    </w:p>
    <w:p w14:paraId="25CD3FA0" w14:textId="77777777" w:rsidR="00A14467" w:rsidRPr="0031433E" w:rsidRDefault="00A14467" w:rsidP="003A0254">
      <w:pPr>
        <w:pStyle w:val="Hesber"/>
        <w:rPr>
          <w:rtl/>
        </w:rPr>
      </w:pPr>
    </w:p>
    <w:p w14:paraId="63097B4D" w14:textId="77777777" w:rsidR="00A14467" w:rsidRPr="00D73212" w:rsidRDefault="00A14467" w:rsidP="00A14467">
      <w:pPr>
        <w:pStyle w:val="Hesber"/>
        <w:rPr>
          <w:color w:val="auto"/>
          <w:rtl/>
          <w:lang w:eastAsia="en-US"/>
        </w:rPr>
      </w:pPr>
      <w:r w:rsidRPr="00D73212">
        <w:rPr>
          <w:color w:val="auto"/>
          <w:rtl/>
          <w:lang w:eastAsia="en-US"/>
        </w:rPr>
        <w:t>---------------------------------</w:t>
      </w:r>
    </w:p>
    <w:p w14:paraId="7DCC1CB3" w14:textId="77777777" w:rsidR="00A14467" w:rsidRPr="00D73212" w:rsidRDefault="00A14467" w:rsidP="00A14467">
      <w:pPr>
        <w:pStyle w:val="Hesber"/>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14:paraId="1A75F62A" w14:textId="77777777" w:rsidR="00A14467" w:rsidRPr="00D73212" w:rsidRDefault="00A14467" w:rsidP="00A14467">
      <w:pPr>
        <w:pStyle w:val="Hesber"/>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14:paraId="3A717BE8" w14:textId="77777777" w:rsidR="00A14467" w:rsidRPr="00317312" w:rsidRDefault="00A14467" w:rsidP="00A14467">
      <w:pPr>
        <w:pStyle w:val="Hesber"/>
      </w:pPr>
      <w:r>
        <w:rPr>
          <w:rFonts w:hint="cs"/>
          <w:color w:val="auto"/>
          <w:rtl/>
          <w:lang w:eastAsia="en-US"/>
        </w:rPr>
        <w:t>י"ט בתמוז</w:t>
      </w:r>
      <w:r w:rsidRPr="00D73212">
        <w:rPr>
          <w:color w:val="auto"/>
          <w:rtl/>
          <w:lang w:eastAsia="en-US"/>
        </w:rPr>
        <w:t xml:space="preserve"> </w:t>
      </w:r>
      <w:r w:rsidRPr="00D73212">
        <w:rPr>
          <w:rFonts w:hint="cs"/>
          <w:color w:val="auto"/>
          <w:rtl/>
          <w:lang w:eastAsia="en-US"/>
        </w:rPr>
        <w:t>התשע</w:t>
      </w:r>
      <w:r w:rsidRPr="00D73212">
        <w:rPr>
          <w:color w:val="auto"/>
          <w:rtl/>
          <w:lang w:eastAsia="en-US"/>
        </w:rPr>
        <w:t>"</w:t>
      </w:r>
      <w:r>
        <w:rPr>
          <w:rFonts w:hint="cs"/>
          <w:color w:val="auto"/>
          <w:rtl/>
          <w:lang w:eastAsia="en-US"/>
        </w:rPr>
        <w:t>ו</w:t>
      </w:r>
      <w:r w:rsidRPr="00D73212">
        <w:rPr>
          <w:color w:val="auto"/>
          <w:rtl/>
          <w:lang w:eastAsia="en-US"/>
        </w:rPr>
        <w:t xml:space="preserve"> – </w:t>
      </w:r>
      <w:r>
        <w:rPr>
          <w:rFonts w:hint="cs"/>
          <w:color w:val="auto"/>
          <w:rtl/>
          <w:lang w:eastAsia="en-US"/>
        </w:rPr>
        <w:t>25.7</w:t>
      </w:r>
      <w:r w:rsidRPr="00D73212">
        <w:rPr>
          <w:color w:val="auto"/>
          <w:rtl/>
          <w:lang w:eastAsia="en-US"/>
        </w:rPr>
        <w:t>.1</w:t>
      </w:r>
      <w:r>
        <w:rPr>
          <w:rFonts w:hint="cs"/>
          <w:color w:val="auto"/>
          <w:rtl/>
          <w:lang w:eastAsia="en-US"/>
        </w:rPr>
        <w:t>6</w:t>
      </w:r>
    </w:p>
    <w:p w14:paraId="7F6961CB" w14:textId="77777777" w:rsidR="00E13C27" w:rsidRPr="00A14467" w:rsidRDefault="00E13C27" w:rsidP="003A0254">
      <w:pPr>
        <w:rPr>
          <w:rtl/>
        </w:rPr>
      </w:pPr>
    </w:p>
    <w:sectPr w:rsidR="00E13C27" w:rsidRPr="00A14467"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488A69" w14:textId="77777777" w:rsidR="00A942C1" w:rsidRDefault="00A942C1">
      <w:r>
        <w:separator/>
      </w:r>
    </w:p>
  </w:endnote>
  <w:endnote w:type="continuationSeparator" w:id="0">
    <w:p w14:paraId="318F26FB" w14:textId="77777777" w:rsidR="00A942C1" w:rsidRDefault="00A942C1">
      <w:r>
        <w:continuationSeparator/>
      </w:r>
    </w:p>
  </w:endnote>
  <w:endnote w:type="continuationNotice" w:id="1">
    <w:p w14:paraId="6BE48FD5" w14:textId="77777777" w:rsidR="00A942C1" w:rsidRDefault="00A942C1">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5D5C85">
      <w:rPr>
        <w:rStyle w:val="ab"/>
        <w:noProof/>
        <w:rtl/>
      </w:rPr>
      <w:t>2</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67B9F2" w14:textId="77777777" w:rsidR="00A942C1" w:rsidRDefault="00A942C1">
      <w:r>
        <w:separator/>
      </w:r>
    </w:p>
  </w:footnote>
  <w:footnote w:type="continuationSeparator" w:id="0">
    <w:p w14:paraId="3DB92342" w14:textId="77777777" w:rsidR="00A942C1" w:rsidRDefault="00A942C1">
      <w:r>
        <w:continuationSeparator/>
      </w:r>
    </w:p>
  </w:footnote>
  <w:footnote w:type="continuationNotice" w:id="1">
    <w:p w14:paraId="16009878" w14:textId="77777777" w:rsidR="00A942C1" w:rsidRDefault="00A942C1"/>
  </w:footnote>
  <w:footnote w:id="2">
    <w:p w14:paraId="3752B5F4" w14:textId="77777777" w:rsidR="003A0254" w:rsidRDefault="003A0254" w:rsidP="003A0254">
      <w:pPr>
        <w:pStyle w:val="a4"/>
      </w:pPr>
      <w:r>
        <w:rPr>
          <w:rStyle w:val="a6"/>
        </w:rPr>
        <w:footnoteRef/>
      </w:r>
      <w:r>
        <w:rPr>
          <w:rtl/>
        </w:rPr>
        <w:t xml:space="preserve"> </w:t>
      </w:r>
      <w:r>
        <w:rPr>
          <w:rFonts w:hint="cs"/>
          <w:rtl/>
        </w:rPr>
        <w:t xml:space="preserve">ס"ח התשי"ח, עמ' 69. </w:t>
      </w:r>
    </w:p>
  </w:footnote>
  <w:footnote w:id="3">
    <w:p w14:paraId="7B1B2A47" w14:textId="77777777" w:rsidR="003A0254" w:rsidRDefault="003A0254" w:rsidP="003A0254">
      <w:pPr>
        <w:pStyle w:val="a4"/>
        <w:rPr>
          <w:rtl/>
        </w:rPr>
      </w:pPr>
      <w:r>
        <w:rPr>
          <w:rStyle w:val="a6"/>
        </w:rPr>
        <w:footnoteRef/>
      </w:r>
      <w:r>
        <w:rPr>
          <w:rtl/>
        </w:rPr>
        <w:t xml:space="preserve"> </w:t>
      </w:r>
      <w:r>
        <w:rPr>
          <w:rFonts w:hint="cs"/>
          <w:rtl/>
        </w:rPr>
        <w:t>ס"ח התשע"ו, עמ' 898.</w:t>
      </w:r>
    </w:p>
  </w:footnote>
  <w:footnote w:id="4">
    <w:p w14:paraId="5C31E16C" w14:textId="77777777" w:rsidR="003A0254" w:rsidRDefault="003A0254" w:rsidP="003A0254">
      <w:pPr>
        <w:pStyle w:val="a4"/>
      </w:pPr>
      <w:r>
        <w:rPr>
          <w:rStyle w:val="a6"/>
        </w:rPr>
        <w:footnoteRef/>
      </w:r>
      <w:r>
        <w:rPr>
          <w:rtl/>
        </w:rPr>
        <w:t xml:space="preserve"> </w:t>
      </w:r>
      <w:r>
        <w:rPr>
          <w:rFonts w:hint="cs"/>
          <w:rtl/>
        </w:rPr>
        <w:t>ס"ח התשל"ט, עמ' 76.</w:t>
      </w:r>
    </w:p>
  </w:footnote>
  <w:footnote w:id="5">
    <w:p w14:paraId="00A1E15A" w14:textId="32754747" w:rsidR="003A0254" w:rsidRDefault="003A0254" w:rsidP="00A02541">
      <w:pPr>
        <w:pStyle w:val="a4"/>
      </w:pPr>
      <w:r>
        <w:rPr>
          <w:rStyle w:val="a6"/>
        </w:rPr>
        <w:footnoteRef/>
      </w:r>
      <w:r>
        <w:rPr>
          <w:rtl/>
        </w:rPr>
        <w:t xml:space="preserve"> </w:t>
      </w:r>
      <w:r w:rsidR="00A02541">
        <w:rPr>
          <w:rFonts w:hint="cs"/>
          <w:rtl/>
        </w:rPr>
        <w:t>קובץ המנשרים התש"ע,</w:t>
      </w:r>
      <w:r>
        <w:rPr>
          <w:rFonts w:hint="cs"/>
          <w:rtl/>
        </w:rPr>
        <w:t xml:space="preserve"> עמ' 5902.</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413596C"/>
    <w:multiLevelType w:val="hybridMultilevel"/>
    <w:tmpl w:val="B510C1FC"/>
    <w:lvl w:ilvl="0" w:tplc="EA6E06C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3"/>
  </w:num>
  <w:num w:numId="13">
    <w:abstractNumId w:val="10"/>
  </w:num>
  <w:num w:numId="14">
    <w:abstractNumId w:val="14"/>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63A3E"/>
    <w:rsid w:val="00063C05"/>
    <w:rsid w:val="00072CAC"/>
    <w:rsid w:val="0007681A"/>
    <w:rsid w:val="000A542E"/>
    <w:rsid w:val="00102B6B"/>
    <w:rsid w:val="001052D4"/>
    <w:rsid w:val="0010644B"/>
    <w:rsid w:val="001207F8"/>
    <w:rsid w:val="00121924"/>
    <w:rsid w:val="001279A8"/>
    <w:rsid w:val="0014195F"/>
    <w:rsid w:val="00152609"/>
    <w:rsid w:val="00153E1B"/>
    <w:rsid w:val="001A0623"/>
    <w:rsid w:val="001C23B0"/>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C2E29"/>
    <w:rsid w:val="002C3041"/>
    <w:rsid w:val="002D1EE3"/>
    <w:rsid w:val="002F1D80"/>
    <w:rsid w:val="002F5D46"/>
    <w:rsid w:val="0031433E"/>
    <w:rsid w:val="003232A2"/>
    <w:rsid w:val="00325C14"/>
    <w:rsid w:val="0036422C"/>
    <w:rsid w:val="003710F6"/>
    <w:rsid w:val="00386E88"/>
    <w:rsid w:val="00396585"/>
    <w:rsid w:val="003A0254"/>
    <w:rsid w:val="003D6E38"/>
    <w:rsid w:val="003D74A0"/>
    <w:rsid w:val="004033D8"/>
    <w:rsid w:val="004073F0"/>
    <w:rsid w:val="00412A7D"/>
    <w:rsid w:val="00416B4D"/>
    <w:rsid w:val="00417CFC"/>
    <w:rsid w:val="004A06DC"/>
    <w:rsid w:val="004B24ED"/>
    <w:rsid w:val="004B6625"/>
    <w:rsid w:val="004D2D82"/>
    <w:rsid w:val="004D3876"/>
    <w:rsid w:val="004E4552"/>
    <w:rsid w:val="004E6CDF"/>
    <w:rsid w:val="00553C9D"/>
    <w:rsid w:val="00556FDA"/>
    <w:rsid w:val="00562A66"/>
    <w:rsid w:val="005B064E"/>
    <w:rsid w:val="005D51AE"/>
    <w:rsid w:val="005D5C85"/>
    <w:rsid w:val="0062674B"/>
    <w:rsid w:val="006363B2"/>
    <w:rsid w:val="00644940"/>
    <w:rsid w:val="006818A9"/>
    <w:rsid w:val="006837D1"/>
    <w:rsid w:val="006A2D81"/>
    <w:rsid w:val="006C1D0D"/>
    <w:rsid w:val="0070601E"/>
    <w:rsid w:val="00712C72"/>
    <w:rsid w:val="00735FE9"/>
    <w:rsid w:val="00763CAA"/>
    <w:rsid w:val="00765F66"/>
    <w:rsid w:val="0078664F"/>
    <w:rsid w:val="007A1603"/>
    <w:rsid w:val="007C3FA6"/>
    <w:rsid w:val="007D585A"/>
    <w:rsid w:val="007D5A12"/>
    <w:rsid w:val="007E59F9"/>
    <w:rsid w:val="00810BCD"/>
    <w:rsid w:val="00812C98"/>
    <w:rsid w:val="00814D92"/>
    <w:rsid w:val="0083181D"/>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02541"/>
    <w:rsid w:val="00A14467"/>
    <w:rsid w:val="00A14672"/>
    <w:rsid w:val="00A26BD6"/>
    <w:rsid w:val="00A443CF"/>
    <w:rsid w:val="00A6611D"/>
    <w:rsid w:val="00A82CB7"/>
    <w:rsid w:val="00A942C1"/>
    <w:rsid w:val="00AA2F03"/>
    <w:rsid w:val="00AC36F7"/>
    <w:rsid w:val="00AC63A4"/>
    <w:rsid w:val="00AD239E"/>
    <w:rsid w:val="00B10265"/>
    <w:rsid w:val="00B16A99"/>
    <w:rsid w:val="00B21211"/>
    <w:rsid w:val="00B35784"/>
    <w:rsid w:val="00B733A7"/>
    <w:rsid w:val="00B75C91"/>
    <w:rsid w:val="00B975AD"/>
    <w:rsid w:val="00BC45FB"/>
    <w:rsid w:val="00BF148D"/>
    <w:rsid w:val="00C23B1A"/>
    <w:rsid w:val="00C310EB"/>
    <w:rsid w:val="00C9176A"/>
    <w:rsid w:val="00CF1AA2"/>
    <w:rsid w:val="00D17774"/>
    <w:rsid w:val="00D63620"/>
    <w:rsid w:val="00D8410D"/>
    <w:rsid w:val="00D867D7"/>
    <w:rsid w:val="00DB7060"/>
    <w:rsid w:val="00DE3153"/>
    <w:rsid w:val="00E06736"/>
    <w:rsid w:val="00E13C27"/>
    <w:rsid w:val="00E33BBD"/>
    <w:rsid w:val="00E374F2"/>
    <w:rsid w:val="00E45103"/>
    <w:rsid w:val="00E55A60"/>
    <w:rsid w:val="00E62778"/>
    <w:rsid w:val="00E63D38"/>
    <w:rsid w:val="00E665B9"/>
    <w:rsid w:val="00EA01E6"/>
    <w:rsid w:val="00EA3DE8"/>
    <w:rsid w:val="00EA758F"/>
    <w:rsid w:val="00ED4A6F"/>
    <w:rsid w:val="00EF3A3A"/>
    <w:rsid w:val="00F628D6"/>
    <w:rsid w:val="00F67051"/>
    <w:rsid w:val="00F86A1E"/>
    <w:rsid w:val="00FA5E88"/>
    <w:rsid w:val="00FC0C3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F50DD333-085E-4CEB-B877-3BAC861AF4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semiHidden/>
    <w:rsid w:val="007A1603"/>
    <w:rPr>
      <w:rFonts w:ascii="Arial" w:eastAsia="Arial Unicode MS" w:hAnsi="Arial" w:cs="David"/>
      <w:snapToGrid w:val="0"/>
      <w:color w:val="000000"/>
      <w:sz w:val="14"/>
      <w:lang w:eastAsia="ja-JP"/>
    </w:rPr>
  </w:style>
  <w:style w:type="paragraph" w:styleId="ae">
    <w:name w:val="List Paragraph"/>
    <w:basedOn w:val="a"/>
    <w:uiPriority w:val="34"/>
    <w:qFormat/>
    <w:rsid w:val="0031433E"/>
    <w:pPr>
      <w:widowControl/>
      <w:autoSpaceDE/>
      <w:autoSpaceDN/>
      <w:adjustRightInd/>
      <w:spacing w:before="0" w:after="200" w:line="276" w:lineRule="auto"/>
      <w:ind w:left="720" w:firstLine="0"/>
      <w:contextualSpacing/>
      <w:jc w:val="left"/>
      <w:textAlignment w:val="auto"/>
    </w:pPr>
    <w:rPr>
      <w:rFonts w:ascii="Calibri" w:eastAsia="Calibri" w:hAnsi="Calibri" w:cs="Arial"/>
      <w:color w:val="auto"/>
      <w:spacing w:val="0"/>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2.xml><?xml version="1.0" encoding="utf-8"?>
<ds:datastoreItem xmlns:ds="http://schemas.openxmlformats.org/officeDocument/2006/customXml" ds:itemID="{88F4AFE3-9455-419C-8851-785A55F44517}">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www.w3.org/XML/1998/namespace"/>
    <ds:schemaRef ds:uri="http://purl.org/dc/dcmitype/"/>
  </ds:schemaRefs>
</ds:datastoreItem>
</file>

<file path=customXml/itemProps3.xml><?xml version="1.0" encoding="utf-8"?>
<ds:datastoreItem xmlns:ds="http://schemas.openxmlformats.org/officeDocument/2006/customXml" ds:itemID="{A6B6B7EC-E31A-4489-A681-1CD23A58CE54}"/>
</file>

<file path=customXml/itemProps4.xml><?xml version="1.0" encoding="utf-8"?>
<ds:datastoreItem xmlns:ds="http://schemas.openxmlformats.org/officeDocument/2006/customXml" ds:itemID="{51E03285-9E88-4788-AF17-EEBF8572F0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347</Words>
  <Characters>1737</Characters>
  <Application>Microsoft Office Word</Application>
  <DocSecurity>4</DocSecurity>
  <Lines>14</Lines>
  <Paragraphs>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2080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נטלי שלף</cp:lastModifiedBy>
  <cp:revision>2</cp:revision>
  <cp:lastPrinted>2016-07-21T10:16:00Z</cp:lastPrinted>
  <dcterms:created xsi:type="dcterms:W3CDTF">2017-10-03T07:09:00Z</dcterms:created>
  <dcterms:modified xsi:type="dcterms:W3CDTF">2017-10-03T07:09:00Z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2021378</vt:r8>
  </property>
</Properties>
</file>