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commentsExtended.xml" ContentType="application/vnd.openxmlformats-officedocument.wordprocessingml.commentsExtended+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3CF6E8" w14:textId="77777777" w:rsidR="00045356" w:rsidRDefault="00045356" w:rsidP="00045356">
      <w:pPr>
        <w:jc w:val="center"/>
        <w:rPr>
          <w:rStyle w:val="wshemhoktext1"/>
          <w:rFonts w:cs="David"/>
        </w:rPr>
      </w:pPr>
      <w:bookmarkStart w:id="0" w:name="_GoBack"/>
      <w:bookmarkEnd w:id="0"/>
    </w:p>
    <w:p w14:paraId="49D913CC" w14:textId="77777777" w:rsidR="00045356" w:rsidRDefault="00045356" w:rsidP="00045356">
      <w:pPr>
        <w:jc w:val="center"/>
        <w:rPr>
          <w:rFonts w:cs="David"/>
        </w:rPr>
      </w:pPr>
      <w:r w:rsidRPr="00DD5BFE">
        <w:rPr>
          <w:rStyle w:val="wshemhoktext1"/>
          <w:rFonts w:cs="David"/>
          <w:rtl/>
        </w:rPr>
        <w:t>תקנות ביטוח בריאות ממלכתי (מ</w:t>
      </w:r>
      <w:r>
        <w:rPr>
          <w:rStyle w:val="wshemhoktext1"/>
          <w:rFonts w:cs="David"/>
          <w:rtl/>
        </w:rPr>
        <w:t>סירת מידע</w:t>
      </w:r>
      <w:r>
        <w:rPr>
          <w:rStyle w:val="wshemhoktext1"/>
          <w:rFonts w:cs="David" w:hint="cs"/>
          <w:rtl/>
        </w:rPr>
        <w:t xml:space="preserve"> ממשרד הביטחון</w:t>
      </w:r>
      <w:r>
        <w:rPr>
          <w:rStyle w:val="wshemhoktext1"/>
          <w:rFonts w:cs="David"/>
          <w:rtl/>
        </w:rPr>
        <w:t>),התשע"</w:t>
      </w:r>
      <w:r>
        <w:rPr>
          <w:rStyle w:val="wshemhoktext1"/>
          <w:rFonts w:cs="David" w:hint="cs"/>
          <w:rtl/>
        </w:rPr>
        <w:t>ז</w:t>
      </w:r>
      <w:r w:rsidRPr="00DD5BFE">
        <w:rPr>
          <w:rStyle w:val="wshemhoktext1"/>
          <w:rFonts w:cs="David"/>
          <w:rtl/>
        </w:rPr>
        <w:t>-</w:t>
      </w:r>
      <w:r>
        <w:rPr>
          <w:rStyle w:val="wshemhoktext1"/>
          <w:rFonts w:cs="David" w:hint="cs"/>
          <w:rtl/>
        </w:rPr>
        <w:t>2017</w:t>
      </w:r>
      <w:r>
        <w:rPr>
          <w:rFonts w:cs="David" w:hint="cs"/>
          <w:rtl/>
        </w:rPr>
        <w:br/>
      </w:r>
    </w:p>
    <w:p w14:paraId="27D95A25" w14:textId="77777777" w:rsidR="00045356" w:rsidRDefault="00045356" w:rsidP="00045356">
      <w:pPr>
        <w:jc w:val="right"/>
        <w:rPr>
          <w:rFonts w:cs="David"/>
        </w:rPr>
      </w:pPr>
    </w:p>
    <w:p w14:paraId="5863F988" w14:textId="77777777" w:rsidR="00045356" w:rsidRDefault="00045356" w:rsidP="00045356">
      <w:pPr>
        <w:jc w:val="right"/>
        <w:rPr>
          <w:rFonts w:cs="David"/>
        </w:rPr>
      </w:pPr>
    </w:p>
    <w:p w14:paraId="0E68CA2C" w14:textId="77777777" w:rsidR="00045356" w:rsidRPr="000F0F12" w:rsidRDefault="00045356" w:rsidP="00045356">
      <w:pPr>
        <w:jc w:val="right"/>
        <w:rPr>
          <w:rFonts w:ascii="Calibri" w:eastAsia="Calibri" w:hAnsi="Calibri" w:cs="Arial"/>
          <w:sz w:val="22"/>
          <w:szCs w:val="22"/>
          <w:rtl/>
        </w:rPr>
      </w:pPr>
      <w:r>
        <w:rPr>
          <w:rFonts w:cs="David" w:hint="cs"/>
          <w:rtl/>
        </w:rPr>
        <w:br/>
      </w:r>
      <w:r>
        <w:rPr>
          <w:rFonts w:ascii="Calibri" w:eastAsia="Calibri" w:hAnsi="Calibri" w:cs="David" w:hint="cs"/>
          <w:rtl/>
        </w:rPr>
        <w:t>ב</w:t>
      </w:r>
      <w:r w:rsidRPr="00DD5BFE">
        <w:rPr>
          <w:rFonts w:ascii="Calibri" w:eastAsia="Calibri" w:hAnsi="Calibri" w:cs="David" w:hint="cs"/>
          <w:rtl/>
        </w:rPr>
        <w:t>תוקף סמכותי לפי סעיף 40ב לחוק ביטוח ב</w:t>
      </w:r>
      <w:r>
        <w:rPr>
          <w:rFonts w:ascii="Calibri" w:eastAsia="Calibri" w:hAnsi="Calibri" w:cs="David" w:hint="cs"/>
          <w:rtl/>
        </w:rPr>
        <w:t>ר</w:t>
      </w:r>
      <w:r w:rsidRPr="00DD5BFE">
        <w:rPr>
          <w:rFonts w:ascii="Calibri" w:eastAsia="Calibri" w:hAnsi="Calibri" w:cs="David" w:hint="cs"/>
          <w:rtl/>
        </w:rPr>
        <w:t>יאות ממלכתי,התשנ"ד-1994</w:t>
      </w:r>
      <w:r w:rsidRPr="00DD5BFE">
        <w:rPr>
          <w:rFonts w:ascii="Calibri" w:eastAsia="Calibri" w:hAnsi="Calibri" w:cs="David"/>
          <w:vertAlign w:val="superscript"/>
          <w:rtl/>
        </w:rPr>
        <w:footnoteReference w:id="1"/>
      </w:r>
      <w:r w:rsidRPr="00DD5BFE">
        <w:rPr>
          <w:rFonts w:ascii="Calibri" w:eastAsia="Calibri" w:hAnsi="Calibri" w:cs="David" w:hint="cs"/>
          <w:rtl/>
        </w:rPr>
        <w:t xml:space="preserve">, </w:t>
      </w:r>
      <w:r>
        <w:rPr>
          <w:rFonts w:ascii="Calibri" w:eastAsia="Calibri" w:hAnsi="Calibri" w:cs="David" w:hint="cs"/>
          <w:rtl/>
        </w:rPr>
        <w:t xml:space="preserve"> (להלן </w:t>
      </w:r>
      <w:r>
        <w:rPr>
          <w:rFonts w:ascii="Calibri" w:eastAsia="Calibri" w:hAnsi="Calibri" w:cs="David"/>
          <w:rtl/>
        </w:rPr>
        <w:t>–</w:t>
      </w:r>
      <w:r>
        <w:rPr>
          <w:rFonts w:ascii="Calibri" w:eastAsia="Calibri" w:hAnsi="Calibri" w:cs="David" w:hint="cs"/>
          <w:rtl/>
        </w:rPr>
        <w:t xml:space="preserve"> החוק) </w:t>
      </w:r>
      <w:r w:rsidRPr="00DD5BFE">
        <w:rPr>
          <w:rFonts w:ascii="Calibri" w:eastAsia="Calibri" w:hAnsi="Calibri" w:cs="David" w:hint="cs"/>
          <w:rtl/>
        </w:rPr>
        <w:t>בהסכ</w:t>
      </w:r>
      <w:r>
        <w:rPr>
          <w:rFonts w:ascii="Calibri" w:eastAsia="Calibri" w:hAnsi="Calibri" w:cs="David" w:hint="cs"/>
          <w:rtl/>
        </w:rPr>
        <w:t>מת שר המשפטים, בהתייעצות עם שר</w:t>
      </w:r>
      <w:r w:rsidRPr="00DD5BFE">
        <w:rPr>
          <w:rFonts w:ascii="Calibri" w:eastAsia="Calibri" w:hAnsi="Calibri" w:cs="David" w:hint="cs"/>
          <w:rtl/>
        </w:rPr>
        <w:t xml:space="preserve"> הב</w:t>
      </w:r>
      <w:r>
        <w:rPr>
          <w:rFonts w:ascii="Calibri" w:eastAsia="Calibri" w:hAnsi="Calibri" w:cs="David" w:hint="cs"/>
          <w:rtl/>
        </w:rPr>
        <w:t>י</w:t>
      </w:r>
      <w:r w:rsidRPr="00DD5BFE">
        <w:rPr>
          <w:rFonts w:ascii="Calibri" w:eastAsia="Calibri" w:hAnsi="Calibri" w:cs="David" w:hint="cs"/>
          <w:rtl/>
        </w:rPr>
        <w:t>טחון</w:t>
      </w:r>
      <w:r>
        <w:rPr>
          <w:rFonts w:ascii="Calibri" w:eastAsia="Calibri" w:hAnsi="Calibri" w:cs="David" w:hint="cs"/>
          <w:rtl/>
        </w:rPr>
        <w:t xml:space="preserve"> ובאישור ועדת העבודה, הרווחה והבריאות של הכנסת</w:t>
      </w:r>
      <w:r w:rsidRPr="00DD5BFE">
        <w:rPr>
          <w:rFonts w:ascii="Calibri" w:eastAsia="Calibri" w:hAnsi="Calibri" w:cs="David" w:hint="cs"/>
          <w:rtl/>
        </w:rPr>
        <w:t>,</w:t>
      </w:r>
      <w:r>
        <w:rPr>
          <w:rFonts w:ascii="Calibri" w:eastAsia="Calibri" w:hAnsi="Calibri" w:cs="David" w:hint="cs"/>
          <w:rtl/>
        </w:rPr>
        <w:t xml:space="preserve"> </w:t>
      </w:r>
      <w:r w:rsidRPr="00DD5BFE">
        <w:rPr>
          <w:rFonts w:ascii="Calibri" w:eastAsia="Calibri" w:hAnsi="Calibri" w:cs="David" w:hint="cs"/>
          <w:rtl/>
        </w:rPr>
        <w:t>אני קובע כלהלן</w:t>
      </w:r>
      <w:r w:rsidRPr="00DD5BFE">
        <w:rPr>
          <w:rFonts w:ascii="Calibri" w:eastAsia="Calibri" w:hAnsi="Calibri" w:cs="Arial" w:hint="cs"/>
          <w:sz w:val="22"/>
          <w:szCs w:val="22"/>
          <w:rtl/>
        </w:rPr>
        <w:t>:</w:t>
      </w:r>
    </w:p>
    <w:p w14:paraId="6520C5CF" w14:textId="77777777" w:rsidR="00045356" w:rsidRDefault="00045356" w:rsidP="00045356">
      <w:pPr>
        <w:bidi/>
        <w:rPr>
          <w:rFonts w:cs="David"/>
          <w:rtl/>
        </w:rPr>
      </w:pPr>
    </w:p>
    <w:p w14:paraId="35518F82" w14:textId="77777777" w:rsidR="00045356" w:rsidRDefault="00045356" w:rsidP="00045356">
      <w:pPr>
        <w:pStyle w:val="wkoteretseif"/>
        <w:numPr>
          <w:ilvl w:val="0"/>
          <w:numId w:val="4"/>
        </w:numPr>
        <w:rPr>
          <w:rFonts w:cs="David"/>
          <w:rtl/>
        </w:rPr>
      </w:pPr>
      <w:r>
        <w:rPr>
          <w:rFonts w:cs="David" w:hint="cs"/>
          <w:rtl/>
        </w:rPr>
        <w:t>הגדרות</w:t>
      </w:r>
    </w:p>
    <w:p w14:paraId="14FB4AFE" w14:textId="77777777" w:rsidR="00045356" w:rsidRDefault="00045356" w:rsidP="00045356">
      <w:pPr>
        <w:bidi/>
        <w:ind w:left="720"/>
        <w:jc w:val="both"/>
        <w:rPr>
          <w:rFonts w:cs="David"/>
          <w:rtl/>
        </w:rPr>
      </w:pPr>
      <w:r>
        <w:rPr>
          <w:rFonts w:cs="David" w:hint="cs"/>
          <w:rtl/>
        </w:rPr>
        <w:t xml:space="preserve">בתקנות אלה- </w:t>
      </w:r>
    </w:p>
    <w:p w14:paraId="0778A0CF" w14:textId="77777777" w:rsidR="00045356" w:rsidRPr="00E66489" w:rsidRDefault="00045356" w:rsidP="00045356">
      <w:pPr>
        <w:bidi/>
        <w:ind w:left="720"/>
        <w:jc w:val="both"/>
        <w:rPr>
          <w:rFonts w:cs="David"/>
        </w:rPr>
      </w:pPr>
    </w:p>
    <w:p w14:paraId="39BDD0F5" w14:textId="77777777" w:rsidR="00045356" w:rsidRPr="008950CA" w:rsidRDefault="00045356" w:rsidP="00045356">
      <w:pPr>
        <w:bidi/>
        <w:ind w:left="360"/>
        <w:jc w:val="both"/>
        <w:rPr>
          <w:rFonts w:cs="David"/>
          <w:rtl/>
        </w:rPr>
      </w:pPr>
      <w:r w:rsidRPr="00E66489">
        <w:rPr>
          <w:rFonts w:cs="David"/>
          <w:rtl/>
        </w:rPr>
        <w:t>"</w:t>
      </w:r>
      <w:r w:rsidRPr="00E66489">
        <w:rPr>
          <w:rFonts w:cs="David" w:hint="eastAsia"/>
          <w:rtl/>
        </w:rPr>
        <w:t>חוק</w:t>
      </w:r>
      <w:r w:rsidRPr="00E66489">
        <w:rPr>
          <w:rFonts w:cs="David"/>
          <w:rtl/>
        </w:rPr>
        <w:t xml:space="preserve"> </w:t>
      </w:r>
      <w:r w:rsidRPr="00E66489">
        <w:rPr>
          <w:rFonts w:cs="David" w:hint="eastAsia"/>
          <w:rtl/>
        </w:rPr>
        <w:t>הנכים</w:t>
      </w:r>
      <w:r w:rsidRPr="00E66489">
        <w:rPr>
          <w:rFonts w:cs="David"/>
          <w:rtl/>
        </w:rPr>
        <w:t xml:space="preserve">"- </w:t>
      </w:r>
      <w:r w:rsidRPr="00E66489">
        <w:rPr>
          <w:rFonts w:cs="David" w:hint="eastAsia"/>
          <w:rtl/>
        </w:rPr>
        <w:t>חוק</w:t>
      </w:r>
      <w:r w:rsidRPr="00E66489">
        <w:rPr>
          <w:rFonts w:cs="David"/>
          <w:rtl/>
        </w:rPr>
        <w:t xml:space="preserve"> </w:t>
      </w:r>
      <w:r w:rsidRPr="00E66489">
        <w:rPr>
          <w:rFonts w:cs="David" w:hint="eastAsia"/>
          <w:rtl/>
        </w:rPr>
        <w:t>הנכים</w:t>
      </w:r>
      <w:r w:rsidRPr="00E66489">
        <w:rPr>
          <w:rFonts w:cs="David"/>
          <w:rtl/>
        </w:rPr>
        <w:t xml:space="preserve"> (</w:t>
      </w:r>
      <w:r w:rsidRPr="00E66489">
        <w:rPr>
          <w:rFonts w:cs="David" w:hint="eastAsia"/>
          <w:rtl/>
        </w:rPr>
        <w:t>תגמולים</w:t>
      </w:r>
      <w:r w:rsidRPr="00E66489">
        <w:rPr>
          <w:rFonts w:cs="David"/>
          <w:rtl/>
        </w:rPr>
        <w:t xml:space="preserve"> </w:t>
      </w:r>
      <w:r w:rsidRPr="00E66489">
        <w:rPr>
          <w:rFonts w:cs="David" w:hint="eastAsia"/>
          <w:rtl/>
        </w:rPr>
        <w:t>ושיקום</w:t>
      </w:r>
      <w:r w:rsidRPr="00E66489">
        <w:rPr>
          <w:rFonts w:cs="David"/>
          <w:rtl/>
        </w:rPr>
        <w:t>),</w:t>
      </w:r>
      <w:r w:rsidRPr="00E66489">
        <w:rPr>
          <w:rFonts w:cs="David" w:hint="eastAsia"/>
          <w:rtl/>
        </w:rPr>
        <w:t>תשי</w:t>
      </w:r>
      <w:r w:rsidRPr="00E66489">
        <w:rPr>
          <w:rFonts w:cs="David"/>
          <w:rtl/>
        </w:rPr>
        <w:t>"</w:t>
      </w:r>
      <w:r w:rsidRPr="00E66489">
        <w:rPr>
          <w:rFonts w:cs="David" w:hint="eastAsia"/>
          <w:rtl/>
        </w:rPr>
        <w:t>ט</w:t>
      </w:r>
      <w:r w:rsidRPr="00E66489">
        <w:rPr>
          <w:rFonts w:cs="David"/>
          <w:rtl/>
        </w:rPr>
        <w:t>-</w:t>
      </w:r>
      <w:r>
        <w:rPr>
          <w:rStyle w:val="aa"/>
          <w:rFonts w:cs="David"/>
          <w:rtl/>
        </w:rPr>
        <w:footnoteReference w:id="2"/>
      </w:r>
      <w:r w:rsidRPr="00E66489">
        <w:rPr>
          <w:rFonts w:cs="David"/>
          <w:rtl/>
        </w:rPr>
        <w:t>1959</w:t>
      </w:r>
      <w:r>
        <w:rPr>
          <w:rFonts w:cs="David" w:hint="cs"/>
          <w:rtl/>
        </w:rPr>
        <w:t>;</w:t>
      </w:r>
    </w:p>
    <w:p w14:paraId="420623D7" w14:textId="77777777" w:rsidR="00045356" w:rsidRPr="00D04B71" w:rsidRDefault="00045356" w:rsidP="00045356">
      <w:pPr>
        <w:bidi/>
        <w:ind w:left="302"/>
        <w:jc w:val="both"/>
        <w:rPr>
          <w:rFonts w:cs="David"/>
        </w:rPr>
      </w:pPr>
      <w:r w:rsidRPr="00D04B71">
        <w:rPr>
          <w:rFonts w:cs="David"/>
          <w:rtl/>
        </w:rPr>
        <w:t xml:space="preserve"> </w:t>
      </w:r>
    </w:p>
    <w:p w14:paraId="0099CAF9" w14:textId="77777777" w:rsidR="00045356" w:rsidRDefault="00045356" w:rsidP="00045356">
      <w:pPr>
        <w:pStyle w:val="ab"/>
        <w:ind w:left="662"/>
        <w:jc w:val="both"/>
        <w:rPr>
          <w:rFonts w:cs="David"/>
          <w:sz w:val="24"/>
          <w:szCs w:val="24"/>
          <w:rtl/>
        </w:rPr>
      </w:pPr>
      <w:r>
        <w:rPr>
          <w:rFonts w:cs="David" w:hint="cs"/>
          <w:sz w:val="24"/>
          <w:szCs w:val="24"/>
          <w:rtl/>
        </w:rPr>
        <w:t>"מבחן", "מבחן החל על הנכה", "פגימה מוכרת" - כהגדרתם  בתקנות הנכים;</w:t>
      </w:r>
    </w:p>
    <w:p w14:paraId="270C5A19" w14:textId="77777777" w:rsidR="00045356" w:rsidRDefault="00045356" w:rsidP="00045356">
      <w:pPr>
        <w:pStyle w:val="ab"/>
        <w:ind w:left="662"/>
        <w:jc w:val="both"/>
        <w:rPr>
          <w:rFonts w:cs="David"/>
          <w:sz w:val="24"/>
          <w:szCs w:val="24"/>
          <w:rtl/>
        </w:rPr>
      </w:pPr>
      <w:r w:rsidRPr="00D04B71">
        <w:rPr>
          <w:rFonts w:cs="David"/>
          <w:rtl/>
        </w:rPr>
        <w:t>"</w:t>
      </w:r>
      <w:r w:rsidRPr="00D04B71">
        <w:rPr>
          <w:rFonts w:cs="David" w:hint="cs"/>
          <w:rtl/>
        </w:rPr>
        <w:t>נכה</w:t>
      </w:r>
      <w:r w:rsidRPr="00D04B71">
        <w:rPr>
          <w:rFonts w:cs="David"/>
          <w:rtl/>
        </w:rPr>
        <w:t>", "</w:t>
      </w:r>
      <w:r w:rsidRPr="00D04B71">
        <w:rPr>
          <w:rFonts w:cs="David" w:hint="cs"/>
          <w:rtl/>
        </w:rPr>
        <w:t>נכות</w:t>
      </w:r>
      <w:r w:rsidRPr="00D04B71">
        <w:rPr>
          <w:rFonts w:cs="David"/>
          <w:rtl/>
        </w:rPr>
        <w:t xml:space="preserve">"- </w:t>
      </w:r>
      <w:r w:rsidRPr="00D04B71">
        <w:rPr>
          <w:rFonts w:cs="David" w:hint="cs"/>
          <w:rtl/>
        </w:rPr>
        <w:t>כהגדרתם</w:t>
      </w:r>
      <w:r w:rsidRPr="00D04B71">
        <w:rPr>
          <w:rFonts w:cs="David"/>
          <w:rtl/>
        </w:rPr>
        <w:t xml:space="preserve"> </w:t>
      </w:r>
      <w:r w:rsidRPr="00D04B71">
        <w:rPr>
          <w:rFonts w:cs="David" w:hint="cs"/>
          <w:rtl/>
        </w:rPr>
        <w:t>בחוק</w:t>
      </w:r>
      <w:r w:rsidRPr="00D04B71">
        <w:rPr>
          <w:rFonts w:cs="David"/>
          <w:rtl/>
        </w:rPr>
        <w:t xml:space="preserve"> </w:t>
      </w:r>
      <w:r w:rsidRPr="00D04B71">
        <w:rPr>
          <w:rFonts w:cs="David" w:hint="cs"/>
          <w:rtl/>
        </w:rPr>
        <w:t>הנכים</w:t>
      </w:r>
      <w:r>
        <w:rPr>
          <w:rFonts w:cs="David" w:hint="cs"/>
          <w:rtl/>
        </w:rPr>
        <w:t>;</w:t>
      </w:r>
    </w:p>
    <w:p w14:paraId="1FE927EF" w14:textId="77777777" w:rsidR="00045356" w:rsidRPr="004B0C99" w:rsidRDefault="00045356" w:rsidP="00045356">
      <w:pPr>
        <w:pStyle w:val="ab"/>
        <w:ind w:left="662"/>
        <w:jc w:val="both"/>
        <w:rPr>
          <w:rFonts w:cs="David"/>
          <w:sz w:val="24"/>
          <w:szCs w:val="24"/>
          <w:rtl/>
        </w:rPr>
      </w:pPr>
      <w:r>
        <w:rPr>
          <w:rFonts w:cs="David" w:hint="cs"/>
          <w:sz w:val="24"/>
          <w:szCs w:val="24"/>
          <w:rtl/>
        </w:rPr>
        <w:t>"תקנות הנכים"- תקנות הנכים (מבחנים לקביעת דרגת נכות), התש"ל- 1969</w:t>
      </w:r>
      <w:r>
        <w:rPr>
          <w:rStyle w:val="aa"/>
          <w:rFonts w:cs="David"/>
          <w:sz w:val="24"/>
          <w:szCs w:val="24"/>
          <w:rtl/>
        </w:rPr>
        <w:footnoteReference w:id="3"/>
      </w:r>
    </w:p>
    <w:p w14:paraId="4EADB94D" w14:textId="77777777" w:rsidR="00045356" w:rsidRPr="00DD5BFE" w:rsidRDefault="00045356" w:rsidP="00045356">
      <w:pPr>
        <w:jc w:val="right"/>
        <w:rPr>
          <w:rFonts w:cs="David"/>
        </w:rPr>
      </w:pPr>
    </w:p>
    <w:p w14:paraId="79AAAD60" w14:textId="77777777" w:rsidR="00045356" w:rsidRDefault="00045356" w:rsidP="00045356">
      <w:pPr>
        <w:pStyle w:val="ab"/>
        <w:rPr>
          <w:rtl/>
        </w:rPr>
      </w:pPr>
    </w:p>
    <w:p w14:paraId="23CA41B3" w14:textId="77777777" w:rsidR="00045356" w:rsidRDefault="00045356" w:rsidP="00045356">
      <w:pPr>
        <w:pStyle w:val="ab"/>
        <w:rPr>
          <w:rtl/>
        </w:rPr>
      </w:pPr>
    </w:p>
    <w:p w14:paraId="21473364" w14:textId="77777777" w:rsidR="00045356" w:rsidRPr="00DD55B0" w:rsidRDefault="00045356" w:rsidP="00045356">
      <w:pPr>
        <w:pStyle w:val="ab"/>
        <w:ind w:hanging="636"/>
        <w:rPr>
          <w:rFonts w:cs="David"/>
          <w:b/>
          <w:bCs/>
          <w:sz w:val="27"/>
          <w:szCs w:val="27"/>
        </w:rPr>
      </w:pPr>
      <w:r>
        <w:rPr>
          <w:rFonts w:cs="David" w:hint="cs"/>
          <w:b/>
          <w:bCs/>
          <w:sz w:val="27"/>
          <w:szCs w:val="27"/>
          <w:rtl/>
        </w:rPr>
        <w:t>2. הפרטים שייכללו בהודעת</w:t>
      </w:r>
      <w:r w:rsidRPr="00DD55B0">
        <w:rPr>
          <w:rFonts w:cs="David" w:hint="cs"/>
          <w:b/>
          <w:bCs/>
          <w:sz w:val="27"/>
          <w:szCs w:val="27"/>
          <w:rtl/>
        </w:rPr>
        <w:t xml:space="preserve"> משרד הב</w:t>
      </w:r>
      <w:r>
        <w:rPr>
          <w:rFonts w:cs="David" w:hint="cs"/>
          <w:b/>
          <w:bCs/>
          <w:sz w:val="27"/>
          <w:szCs w:val="27"/>
          <w:rtl/>
        </w:rPr>
        <w:t>י</w:t>
      </w:r>
      <w:r w:rsidRPr="00DD55B0">
        <w:rPr>
          <w:rFonts w:cs="David" w:hint="cs"/>
          <w:b/>
          <w:bCs/>
          <w:sz w:val="27"/>
          <w:szCs w:val="27"/>
          <w:rtl/>
        </w:rPr>
        <w:t xml:space="preserve">טחון </w:t>
      </w:r>
    </w:p>
    <w:p w14:paraId="438B421E" w14:textId="77777777" w:rsidR="00045356" w:rsidRDefault="00045356" w:rsidP="00045356">
      <w:pPr>
        <w:bidi/>
        <w:ind w:left="360"/>
        <w:rPr>
          <w:rFonts w:cs="David"/>
          <w:sz w:val="22"/>
          <w:szCs w:val="22"/>
        </w:rPr>
      </w:pPr>
      <w:r w:rsidRPr="00DD55B0">
        <w:rPr>
          <w:rFonts w:cs="David" w:hint="cs"/>
          <w:sz w:val="22"/>
          <w:szCs w:val="22"/>
          <w:rtl/>
        </w:rPr>
        <w:t>משרד הב</w:t>
      </w:r>
      <w:r>
        <w:rPr>
          <w:rFonts w:cs="David" w:hint="cs"/>
          <w:sz w:val="22"/>
          <w:szCs w:val="22"/>
          <w:rtl/>
        </w:rPr>
        <w:t>י</w:t>
      </w:r>
      <w:r w:rsidRPr="00DD55B0">
        <w:rPr>
          <w:rFonts w:cs="David" w:hint="cs"/>
          <w:sz w:val="22"/>
          <w:szCs w:val="22"/>
          <w:rtl/>
        </w:rPr>
        <w:t xml:space="preserve">טחון ימסור </w:t>
      </w:r>
      <w:r>
        <w:rPr>
          <w:rFonts w:cs="David" w:hint="cs"/>
          <w:sz w:val="22"/>
          <w:szCs w:val="22"/>
          <w:rtl/>
        </w:rPr>
        <w:t xml:space="preserve">לאחראי על ההתחשבנות, כהגדרתו בסעיף 40ב(ג) לחוק, בקופת החולים </w:t>
      </w:r>
      <w:r w:rsidRPr="00DD55B0">
        <w:rPr>
          <w:rFonts w:cs="David" w:hint="cs"/>
          <w:sz w:val="22"/>
          <w:szCs w:val="22"/>
          <w:rtl/>
        </w:rPr>
        <w:t xml:space="preserve">שבה רשום נכה, שדרגת נכותו </w:t>
      </w:r>
      <w:r>
        <w:rPr>
          <w:rFonts w:cs="David" w:hint="cs"/>
          <w:sz w:val="22"/>
          <w:szCs w:val="22"/>
          <w:rtl/>
        </w:rPr>
        <w:t>אינה פחותה מ-20%</w:t>
      </w:r>
      <w:r w:rsidRPr="00DD55B0">
        <w:rPr>
          <w:rFonts w:cs="David" w:hint="cs"/>
          <w:sz w:val="22"/>
          <w:szCs w:val="22"/>
          <w:rtl/>
        </w:rPr>
        <w:t>,</w:t>
      </w:r>
      <w:r>
        <w:rPr>
          <w:rFonts w:cs="David" w:hint="cs"/>
          <w:sz w:val="22"/>
          <w:szCs w:val="22"/>
          <w:rtl/>
        </w:rPr>
        <w:t xml:space="preserve"> הודעה ובה </w:t>
      </w:r>
      <w:r w:rsidRPr="00DD55B0">
        <w:rPr>
          <w:rFonts w:cs="David" w:hint="cs"/>
          <w:sz w:val="22"/>
          <w:szCs w:val="22"/>
          <w:rtl/>
        </w:rPr>
        <w:t xml:space="preserve">פרטים אלה: </w:t>
      </w:r>
    </w:p>
    <w:p w14:paraId="50745AFB" w14:textId="77777777" w:rsidR="00045356" w:rsidRPr="00DD55B0" w:rsidRDefault="00045356" w:rsidP="00045356">
      <w:pPr>
        <w:bidi/>
        <w:rPr>
          <w:rFonts w:cs="David"/>
          <w:sz w:val="22"/>
          <w:szCs w:val="22"/>
          <w:rtl/>
        </w:rPr>
      </w:pPr>
    </w:p>
    <w:p w14:paraId="1AD3201C" w14:textId="77777777" w:rsidR="00045356" w:rsidRPr="00DD55B0" w:rsidRDefault="00045356" w:rsidP="00045356">
      <w:pPr>
        <w:numPr>
          <w:ilvl w:val="0"/>
          <w:numId w:val="1"/>
        </w:numPr>
        <w:bidi/>
        <w:ind w:left="1502"/>
        <w:rPr>
          <w:rFonts w:cs="David"/>
          <w:sz w:val="22"/>
          <w:szCs w:val="22"/>
          <w:rtl/>
        </w:rPr>
      </w:pPr>
      <w:r>
        <w:rPr>
          <w:rFonts w:cs="David" w:hint="cs"/>
          <w:sz w:val="22"/>
          <w:szCs w:val="22"/>
          <w:rtl/>
        </w:rPr>
        <w:t>פרטי  הנכה: שם פרטי, שם משפחה, ומס' תעודת זהות ;</w:t>
      </w:r>
    </w:p>
    <w:p w14:paraId="30838C3E" w14:textId="77777777" w:rsidR="00045356" w:rsidRDefault="00045356" w:rsidP="00045356">
      <w:pPr>
        <w:numPr>
          <w:ilvl w:val="0"/>
          <w:numId w:val="1"/>
        </w:numPr>
        <w:bidi/>
        <w:ind w:left="1502"/>
        <w:rPr>
          <w:rFonts w:cs="David"/>
          <w:sz w:val="22"/>
          <w:szCs w:val="22"/>
        </w:rPr>
      </w:pPr>
      <w:r>
        <w:rPr>
          <w:rFonts w:cs="David" w:hint="cs"/>
          <w:sz w:val="22"/>
          <w:szCs w:val="22"/>
          <w:rtl/>
        </w:rPr>
        <w:t xml:space="preserve">סימול של  הפגימה המוכרת שנפגם נכה וסימול של המבחנים החלים על  הנכה,  </w:t>
      </w:r>
      <w:r>
        <w:rPr>
          <w:rFonts w:cs="David"/>
          <w:sz w:val="22"/>
          <w:szCs w:val="22"/>
          <w:rtl/>
        </w:rPr>
        <w:t>–</w:t>
      </w:r>
      <w:r>
        <w:rPr>
          <w:rFonts w:cs="David" w:hint="cs"/>
          <w:sz w:val="22"/>
          <w:szCs w:val="22"/>
          <w:rtl/>
        </w:rPr>
        <w:t xml:space="preserve"> אם קיים סימול כאמור , </w:t>
      </w:r>
      <w:r w:rsidRPr="00045356">
        <w:rPr>
          <w:rFonts w:cs="David" w:hint="eastAsia"/>
          <w:sz w:val="22"/>
          <w:szCs w:val="22"/>
          <w:rtl/>
        </w:rPr>
        <w:t>הכול</w:t>
      </w:r>
      <w:r w:rsidRPr="00045356">
        <w:rPr>
          <w:rFonts w:cs="David"/>
          <w:sz w:val="22"/>
          <w:szCs w:val="22"/>
          <w:rtl/>
        </w:rPr>
        <w:t xml:space="preserve"> </w:t>
      </w:r>
      <w:r w:rsidRPr="00045356">
        <w:rPr>
          <w:rFonts w:cs="David" w:hint="eastAsia"/>
          <w:sz w:val="22"/>
          <w:szCs w:val="22"/>
          <w:rtl/>
        </w:rPr>
        <w:t>לפי</w:t>
      </w:r>
      <w:r w:rsidRPr="00045356">
        <w:rPr>
          <w:rFonts w:cs="David"/>
          <w:sz w:val="22"/>
          <w:szCs w:val="22"/>
          <w:rtl/>
        </w:rPr>
        <w:t xml:space="preserve"> </w:t>
      </w:r>
      <w:r w:rsidRPr="00045356">
        <w:rPr>
          <w:rFonts w:cs="David" w:hint="eastAsia"/>
          <w:sz w:val="22"/>
          <w:szCs w:val="22"/>
          <w:rtl/>
        </w:rPr>
        <w:t>תקנות</w:t>
      </w:r>
      <w:r w:rsidRPr="00045356">
        <w:rPr>
          <w:rFonts w:cs="David"/>
          <w:sz w:val="22"/>
          <w:szCs w:val="22"/>
          <w:rtl/>
        </w:rPr>
        <w:t xml:space="preserve"> </w:t>
      </w:r>
      <w:r w:rsidRPr="00045356">
        <w:rPr>
          <w:rFonts w:cs="David" w:hint="eastAsia"/>
          <w:sz w:val="22"/>
          <w:szCs w:val="22"/>
          <w:rtl/>
        </w:rPr>
        <w:t>הנכים</w:t>
      </w:r>
      <w:r w:rsidRPr="00E66489">
        <w:rPr>
          <w:rFonts w:cs="David"/>
          <w:sz w:val="22"/>
          <w:szCs w:val="22"/>
          <w:highlight w:val="yellow"/>
          <w:rtl/>
        </w:rPr>
        <w:t>,</w:t>
      </w:r>
      <w:r>
        <w:rPr>
          <w:rFonts w:cs="David" w:hint="cs"/>
          <w:sz w:val="22"/>
          <w:szCs w:val="22"/>
          <w:rtl/>
        </w:rPr>
        <w:t xml:space="preserve"> וכן תיאור מילולי של הפגימה; </w:t>
      </w:r>
    </w:p>
    <w:p w14:paraId="41A7F799" w14:textId="77777777" w:rsidR="00045356" w:rsidRDefault="00045356" w:rsidP="00045356">
      <w:pPr>
        <w:numPr>
          <w:ilvl w:val="0"/>
          <w:numId w:val="1"/>
        </w:numPr>
        <w:bidi/>
        <w:ind w:left="1502"/>
        <w:rPr>
          <w:rFonts w:cs="David"/>
          <w:sz w:val="22"/>
          <w:szCs w:val="22"/>
        </w:rPr>
      </w:pPr>
      <w:r>
        <w:rPr>
          <w:rFonts w:cs="David" w:hint="cs"/>
          <w:sz w:val="22"/>
          <w:szCs w:val="22"/>
          <w:rtl/>
        </w:rPr>
        <w:t xml:space="preserve">תאריך תחילת הזכאות לתגמולים, או לתגמולים מוגדלים, לפי העניין, לפי סעיף 18 לחוק הנכים, וכן התאריך שבו הוכרה הפגימה לראשונה ,ביחס לכל פגימה, גם אם ההכרה בפגימה קדמה לתאריך תחילת הזכאות לתגמולים; </w:t>
      </w:r>
    </w:p>
    <w:p w14:paraId="63D27096" w14:textId="77777777" w:rsidR="00045356" w:rsidRDefault="00045356" w:rsidP="00045356">
      <w:pPr>
        <w:numPr>
          <w:ilvl w:val="0"/>
          <w:numId w:val="1"/>
        </w:numPr>
        <w:bidi/>
        <w:ind w:left="1502"/>
        <w:rPr>
          <w:rFonts w:cs="David"/>
          <w:sz w:val="22"/>
          <w:szCs w:val="22"/>
          <w:rtl/>
        </w:rPr>
      </w:pPr>
      <w:r>
        <w:rPr>
          <w:rFonts w:cs="David" w:hint="cs"/>
          <w:sz w:val="22"/>
          <w:szCs w:val="22"/>
          <w:rtl/>
        </w:rPr>
        <w:t xml:space="preserve">פירוט </w:t>
      </w:r>
      <w:r w:rsidRPr="00045356">
        <w:rPr>
          <w:rFonts w:cs="David" w:hint="eastAsia"/>
          <w:sz w:val="22"/>
          <w:szCs w:val="22"/>
          <w:rtl/>
        </w:rPr>
        <w:t>דרגת</w:t>
      </w:r>
      <w:r w:rsidRPr="00045356">
        <w:rPr>
          <w:rFonts w:cs="David"/>
          <w:sz w:val="22"/>
          <w:szCs w:val="22"/>
          <w:rtl/>
        </w:rPr>
        <w:t xml:space="preserve"> הנכות שנקבעה לנכה</w:t>
      </w:r>
      <w:r>
        <w:rPr>
          <w:rFonts w:cs="David" w:hint="cs"/>
          <w:sz w:val="22"/>
          <w:szCs w:val="22"/>
          <w:rtl/>
        </w:rPr>
        <w:t xml:space="preserve"> לפי תקנות הנכים, ביחס לכל פגימה, ואם רק חלק מהפגימה הוכרה כנכות לפי חוק הנכים (להלן- נכות קשורה)  תפורט דרגת הנכות הקשורה ודרגת הנכות שאינה דרגת נכות קשורה. </w:t>
      </w:r>
    </w:p>
    <w:p w14:paraId="1B3619B0" w14:textId="77777777" w:rsidR="00045356" w:rsidRPr="00DD55B0" w:rsidRDefault="00045356" w:rsidP="00045356">
      <w:pPr>
        <w:bidi/>
        <w:rPr>
          <w:rFonts w:cs="David"/>
          <w:sz w:val="22"/>
          <w:szCs w:val="22"/>
          <w:rtl/>
        </w:rPr>
      </w:pPr>
    </w:p>
    <w:p w14:paraId="05843DB2" w14:textId="77777777" w:rsidR="00045356" w:rsidRDefault="00045356" w:rsidP="00045356">
      <w:pPr>
        <w:bidi/>
        <w:ind w:left="302"/>
        <w:rPr>
          <w:rFonts w:cs="David"/>
          <w:b/>
          <w:bCs/>
          <w:sz w:val="27"/>
          <w:szCs w:val="27"/>
        </w:rPr>
      </w:pPr>
      <w:r>
        <w:rPr>
          <w:rFonts w:cs="David" w:hint="cs"/>
          <w:b/>
          <w:bCs/>
          <w:sz w:val="27"/>
          <w:szCs w:val="27"/>
          <w:rtl/>
        </w:rPr>
        <w:t xml:space="preserve">3. </w:t>
      </w:r>
      <w:r w:rsidRPr="00833377">
        <w:rPr>
          <w:rFonts w:cs="David" w:hint="cs"/>
          <w:b/>
          <w:bCs/>
          <w:sz w:val="27"/>
          <w:szCs w:val="27"/>
          <w:rtl/>
        </w:rPr>
        <w:t xml:space="preserve">מועד מסירת </w:t>
      </w:r>
      <w:r>
        <w:rPr>
          <w:rFonts w:cs="David" w:hint="cs"/>
          <w:b/>
          <w:bCs/>
          <w:sz w:val="27"/>
          <w:szCs w:val="27"/>
          <w:rtl/>
        </w:rPr>
        <w:t>ההודעה</w:t>
      </w:r>
    </w:p>
    <w:p w14:paraId="3D3F9774" w14:textId="77777777" w:rsidR="00045356" w:rsidRPr="00833377" w:rsidRDefault="00045356" w:rsidP="00045356">
      <w:pPr>
        <w:bidi/>
        <w:ind w:left="662"/>
        <w:rPr>
          <w:rFonts w:cs="David"/>
          <w:b/>
          <w:bCs/>
          <w:sz w:val="27"/>
          <w:szCs w:val="27"/>
          <w:rtl/>
        </w:rPr>
      </w:pPr>
    </w:p>
    <w:p w14:paraId="4BA2030C" w14:textId="77777777" w:rsidR="00045356" w:rsidRDefault="00045356" w:rsidP="00045356">
      <w:pPr>
        <w:numPr>
          <w:ilvl w:val="0"/>
          <w:numId w:val="2"/>
        </w:numPr>
        <w:bidi/>
        <w:ind w:left="1772" w:right="750"/>
        <w:rPr>
          <w:rtl/>
        </w:rPr>
      </w:pPr>
      <w:r w:rsidRPr="00833377">
        <w:rPr>
          <w:rFonts w:cs="David" w:hint="cs"/>
          <w:sz w:val="22"/>
          <w:szCs w:val="22"/>
          <w:rtl/>
        </w:rPr>
        <w:t>מסירת ה</w:t>
      </w:r>
      <w:r>
        <w:rPr>
          <w:rFonts w:cs="David" w:hint="cs"/>
          <w:sz w:val="22"/>
          <w:szCs w:val="22"/>
          <w:rtl/>
        </w:rPr>
        <w:t>הודעה</w:t>
      </w:r>
      <w:r w:rsidRPr="00833377">
        <w:rPr>
          <w:rFonts w:cs="David" w:hint="cs"/>
          <w:sz w:val="22"/>
          <w:szCs w:val="22"/>
          <w:rtl/>
        </w:rPr>
        <w:t>, כאמור בתקנ</w:t>
      </w:r>
      <w:r>
        <w:rPr>
          <w:rFonts w:cs="David" w:hint="cs"/>
          <w:sz w:val="22"/>
          <w:szCs w:val="22"/>
          <w:rtl/>
        </w:rPr>
        <w:t>ה</w:t>
      </w:r>
      <w:r w:rsidRPr="00833377">
        <w:rPr>
          <w:rFonts w:cs="David" w:hint="cs"/>
          <w:sz w:val="22"/>
          <w:szCs w:val="22"/>
          <w:rtl/>
        </w:rPr>
        <w:t xml:space="preserve"> 2,</w:t>
      </w:r>
      <w:r>
        <w:rPr>
          <w:rFonts w:cs="David" w:hint="cs"/>
          <w:sz w:val="22"/>
          <w:szCs w:val="22"/>
          <w:rtl/>
        </w:rPr>
        <w:t xml:space="preserve"> </w:t>
      </w:r>
      <w:r w:rsidRPr="00833377">
        <w:rPr>
          <w:rFonts w:cs="David" w:hint="cs"/>
          <w:sz w:val="22"/>
          <w:szCs w:val="22"/>
          <w:rtl/>
        </w:rPr>
        <w:t xml:space="preserve">תהיה </w:t>
      </w:r>
      <w:r>
        <w:rPr>
          <w:rFonts w:cs="David" w:hint="cs"/>
          <w:sz w:val="22"/>
          <w:szCs w:val="22"/>
          <w:rtl/>
        </w:rPr>
        <w:t>ב- 1 בינואר, וב-  1 ביולי, בכל שנה.</w:t>
      </w:r>
    </w:p>
    <w:p w14:paraId="215BCF42" w14:textId="77777777" w:rsidR="00045356" w:rsidRPr="00833377" w:rsidRDefault="00045356" w:rsidP="00045356">
      <w:pPr>
        <w:pStyle w:val="wkoteretperek"/>
        <w:bidi/>
        <w:ind w:left="662"/>
        <w:jc w:val="left"/>
        <w:rPr>
          <w:rFonts w:cs="David"/>
          <w:sz w:val="27"/>
          <w:szCs w:val="27"/>
          <w:u w:val="none"/>
          <w:rtl/>
        </w:rPr>
      </w:pPr>
    </w:p>
    <w:p w14:paraId="5A2AE008" w14:textId="77777777" w:rsidR="00045356" w:rsidRDefault="00045356" w:rsidP="00045356">
      <w:pPr>
        <w:bidi/>
        <w:ind w:left="302"/>
        <w:rPr>
          <w:rFonts w:cs="David"/>
          <w:b/>
          <w:bCs/>
          <w:sz w:val="27"/>
          <w:szCs w:val="27"/>
          <w:rtl/>
        </w:rPr>
      </w:pPr>
      <w:r>
        <w:rPr>
          <w:rFonts w:cs="David" w:hint="cs"/>
          <w:b/>
          <w:bCs/>
          <w:sz w:val="27"/>
          <w:szCs w:val="27"/>
          <w:rtl/>
        </w:rPr>
        <w:t xml:space="preserve">4. </w:t>
      </w:r>
      <w:r w:rsidRPr="00833377">
        <w:rPr>
          <w:rFonts w:cs="David" w:hint="cs"/>
          <w:b/>
          <w:bCs/>
          <w:sz w:val="27"/>
          <w:szCs w:val="27"/>
          <w:rtl/>
        </w:rPr>
        <w:t xml:space="preserve">אופן מסירת </w:t>
      </w:r>
      <w:r w:rsidRPr="00045356">
        <w:rPr>
          <w:rFonts w:cs="David" w:hint="eastAsia"/>
          <w:b/>
          <w:bCs/>
          <w:sz w:val="27"/>
          <w:szCs w:val="27"/>
          <w:rtl/>
        </w:rPr>
        <w:t>ההודעה</w:t>
      </w:r>
    </w:p>
    <w:p w14:paraId="39E17091" w14:textId="77777777" w:rsidR="00045356" w:rsidRPr="00833377" w:rsidRDefault="00045356" w:rsidP="00045356">
      <w:pPr>
        <w:bidi/>
        <w:ind w:left="662"/>
        <w:rPr>
          <w:rFonts w:cs="David"/>
          <w:b/>
          <w:bCs/>
          <w:sz w:val="27"/>
          <w:szCs w:val="27"/>
          <w:rtl/>
        </w:rPr>
      </w:pPr>
    </w:p>
    <w:p w14:paraId="18A84677" w14:textId="77777777" w:rsidR="00045356" w:rsidRDefault="00045356" w:rsidP="00045356">
      <w:pPr>
        <w:bidi/>
        <w:ind w:left="302"/>
        <w:rPr>
          <w:rFonts w:cs="David"/>
          <w:b/>
          <w:bCs/>
        </w:rPr>
      </w:pPr>
      <w:r w:rsidRPr="00203C41">
        <w:rPr>
          <w:rFonts w:cs="David" w:hint="cs"/>
          <w:sz w:val="22"/>
          <w:szCs w:val="22"/>
          <w:rtl/>
        </w:rPr>
        <w:t>מסירת ה</w:t>
      </w:r>
      <w:r>
        <w:rPr>
          <w:rFonts w:cs="David" w:hint="cs"/>
          <w:sz w:val="22"/>
          <w:szCs w:val="22"/>
          <w:rtl/>
        </w:rPr>
        <w:t>הודעה</w:t>
      </w:r>
      <w:r w:rsidRPr="00203C41">
        <w:rPr>
          <w:rFonts w:cs="David" w:hint="cs"/>
          <w:sz w:val="22"/>
          <w:szCs w:val="22"/>
          <w:rtl/>
        </w:rPr>
        <w:t xml:space="preserve"> ממשרד הב</w:t>
      </w:r>
      <w:r>
        <w:rPr>
          <w:rFonts w:cs="David" w:hint="cs"/>
          <w:sz w:val="22"/>
          <w:szCs w:val="22"/>
          <w:rtl/>
        </w:rPr>
        <w:t>י</w:t>
      </w:r>
      <w:r w:rsidRPr="00203C41">
        <w:rPr>
          <w:rFonts w:cs="David" w:hint="cs"/>
          <w:sz w:val="22"/>
          <w:szCs w:val="22"/>
          <w:rtl/>
        </w:rPr>
        <w:t xml:space="preserve">טחון לקופות החולים, </w:t>
      </w:r>
      <w:r>
        <w:rPr>
          <w:rFonts w:cs="David" w:hint="cs"/>
          <w:sz w:val="22"/>
          <w:szCs w:val="22"/>
          <w:rtl/>
        </w:rPr>
        <w:t xml:space="preserve">תיעשה </w:t>
      </w:r>
      <w:r w:rsidRPr="00203C41">
        <w:rPr>
          <w:rFonts w:cs="David" w:hint="cs"/>
          <w:sz w:val="22"/>
          <w:szCs w:val="22"/>
          <w:rtl/>
        </w:rPr>
        <w:t>באמצעי של מדיה אלקטרונית,</w:t>
      </w:r>
      <w:r>
        <w:rPr>
          <w:rFonts w:cs="David" w:hint="cs"/>
          <w:sz w:val="22"/>
          <w:szCs w:val="22"/>
          <w:rtl/>
        </w:rPr>
        <w:t xml:space="preserve"> תוך הפעלת אמצעי אבטחת מידע </w:t>
      </w:r>
      <w:r w:rsidRPr="0086589E">
        <w:rPr>
          <w:rFonts w:cs="David"/>
          <w:sz w:val="22"/>
          <w:szCs w:val="22"/>
          <w:rtl/>
        </w:rPr>
        <w:t>כנדרש על מנת לצמצם את הסיכון לפגיעה בשלמות המידע, לחשיפתו, להעתקתו או לשימוש בו ללא רשות כדין</w:t>
      </w:r>
      <w:r>
        <w:rPr>
          <w:rFonts w:cs="David" w:hint="cs"/>
          <w:sz w:val="22"/>
          <w:szCs w:val="22"/>
          <w:rtl/>
        </w:rPr>
        <w:t xml:space="preserve">,   ותחול עליה תקנה 4 לתקנות הגנת הפרטיות (תנאי החזקת מידע ושמירתו וסדרי העברת מידע בין גופים ציבוריים),התשמ"ו-1986 </w:t>
      </w:r>
      <w:r>
        <w:rPr>
          <w:rStyle w:val="aa"/>
          <w:rFonts w:cs="David"/>
          <w:sz w:val="22"/>
          <w:szCs w:val="22"/>
          <w:rtl/>
        </w:rPr>
        <w:footnoteReference w:id="4"/>
      </w:r>
      <w:r>
        <w:rPr>
          <w:rFonts w:cs="David" w:hint="cs"/>
          <w:sz w:val="22"/>
          <w:szCs w:val="22"/>
          <w:rtl/>
        </w:rPr>
        <w:t>, בשינויים המחויבים.</w:t>
      </w:r>
      <w:r>
        <w:rPr>
          <w:rStyle w:val="ac"/>
          <w:rtl/>
        </w:rPr>
        <w:commentReference w:id="1"/>
      </w:r>
      <w:r>
        <w:rPr>
          <w:rFonts w:cs="David" w:hint="cs"/>
          <w:sz w:val="22"/>
          <w:szCs w:val="22"/>
          <w:rtl/>
        </w:rPr>
        <w:t xml:space="preserve">. </w:t>
      </w:r>
    </w:p>
    <w:p w14:paraId="0AA40A44" w14:textId="77777777" w:rsidR="00045356" w:rsidRDefault="00045356" w:rsidP="00045356">
      <w:pPr>
        <w:pStyle w:val="ab"/>
        <w:rPr>
          <w:rFonts w:cs="David"/>
          <w:b/>
          <w:bCs/>
          <w:rtl/>
        </w:rPr>
      </w:pPr>
    </w:p>
    <w:p w14:paraId="522A8DAC" w14:textId="77777777" w:rsidR="00045356" w:rsidRPr="00203C41" w:rsidRDefault="00045356" w:rsidP="00045356">
      <w:pPr>
        <w:bidi/>
        <w:ind w:left="302"/>
        <w:rPr>
          <w:rFonts w:cs="David"/>
          <w:b/>
          <w:bCs/>
        </w:rPr>
      </w:pPr>
      <w:r>
        <w:rPr>
          <w:rFonts w:cs="David" w:hint="cs"/>
          <w:b/>
          <w:bCs/>
          <w:rtl/>
        </w:rPr>
        <w:t xml:space="preserve">5. </w:t>
      </w:r>
      <w:r w:rsidRPr="00203C41">
        <w:rPr>
          <w:rFonts w:cs="David" w:hint="cs"/>
          <w:b/>
          <w:bCs/>
          <w:rtl/>
        </w:rPr>
        <w:t>הסכם בין קופת חולים למשרד הב</w:t>
      </w:r>
      <w:r>
        <w:rPr>
          <w:rFonts w:cs="David" w:hint="cs"/>
          <w:b/>
          <w:bCs/>
          <w:rtl/>
        </w:rPr>
        <w:t>י</w:t>
      </w:r>
      <w:r w:rsidRPr="00203C41">
        <w:rPr>
          <w:rFonts w:cs="David" w:hint="cs"/>
          <w:b/>
          <w:bCs/>
          <w:rtl/>
        </w:rPr>
        <w:t>טחון</w:t>
      </w:r>
    </w:p>
    <w:p w14:paraId="4589D773" w14:textId="77777777" w:rsidR="00045356" w:rsidRDefault="00045356" w:rsidP="00045356">
      <w:pPr>
        <w:pStyle w:val="wsubclausewrapper"/>
        <w:ind w:left="302"/>
        <w:rPr>
          <w:rFonts w:cs="David"/>
          <w:rtl/>
        </w:rPr>
      </w:pPr>
      <w:r>
        <w:rPr>
          <w:rFonts w:cs="David" w:hint="cs"/>
          <w:rtl/>
        </w:rPr>
        <w:t xml:space="preserve">על אף האמור בתקנה 2, רשאים משרד הביטחון וקופת חולים, בהסכם ביניהם לעניין הסדרת ההתחשבנות בין משרד הביטחון לבין אותה קופה כאמור בסעיף 40ב לחוק, לקבוע כי על משרד הביטחון למסור לקופת החולים רק חלק מפרטי המידע האמורים בתקנה 2, כפי שייקבע בהסכם, אם מצאו כי די בהיקף מידע זה כדי להסדיר את ההתחשבנות ביניהם; נקבע בהסכם כאמור, יעביר משרד הביטחון לאותה קופה את פרטי המידע כפי שנקבע בהסכם. </w:t>
      </w:r>
    </w:p>
    <w:p w14:paraId="541B3A0E" w14:textId="77777777" w:rsidR="00045356" w:rsidRPr="00E43C23" w:rsidRDefault="00045356" w:rsidP="00045356">
      <w:pPr>
        <w:pStyle w:val="wsubclausewrapper"/>
        <w:ind w:left="302"/>
        <w:rPr>
          <w:rFonts w:cs="David"/>
          <w:b/>
          <w:bCs/>
        </w:rPr>
      </w:pPr>
      <w:r>
        <w:rPr>
          <w:rFonts w:cs="David" w:hint="cs"/>
          <w:rtl/>
        </w:rPr>
        <w:t xml:space="preserve">  </w:t>
      </w:r>
      <w:r>
        <w:rPr>
          <w:rFonts w:cs="David" w:hint="cs"/>
          <w:b/>
          <w:bCs/>
          <w:rtl/>
        </w:rPr>
        <w:t xml:space="preserve">6. </w:t>
      </w:r>
      <w:r w:rsidRPr="00E43C23">
        <w:rPr>
          <w:rFonts w:cs="David" w:hint="cs"/>
          <w:b/>
          <w:bCs/>
          <w:rtl/>
        </w:rPr>
        <w:t xml:space="preserve">תחילה </w:t>
      </w:r>
    </w:p>
    <w:p w14:paraId="338F1EC7" w14:textId="77777777" w:rsidR="00045356" w:rsidRDefault="00045356" w:rsidP="00045356">
      <w:pPr>
        <w:pStyle w:val="wsubclausewrapper"/>
        <w:ind w:left="786"/>
        <w:rPr>
          <w:rFonts w:cs="David"/>
          <w:rtl/>
        </w:rPr>
      </w:pPr>
      <w:r>
        <w:rPr>
          <w:rFonts w:cs="David" w:hint="cs"/>
          <w:rtl/>
        </w:rPr>
        <w:t xml:space="preserve">תחילתן של תקנות אלה תוך 90 ימים ממועד פרסומן. </w:t>
      </w:r>
    </w:p>
    <w:p w14:paraId="149C7D28" w14:textId="77777777" w:rsidR="00045356" w:rsidRDefault="00045356" w:rsidP="00045356">
      <w:pPr>
        <w:pStyle w:val="wsubclausewrapper"/>
        <w:numPr>
          <w:ilvl w:val="0"/>
          <w:numId w:val="3"/>
        </w:numPr>
        <w:rPr>
          <w:rFonts w:cs="David"/>
        </w:rPr>
      </w:pPr>
      <w:r>
        <w:rPr>
          <w:rFonts w:cs="David" w:hint="cs"/>
          <w:rtl/>
        </w:rPr>
        <w:t>הוראת שעה</w:t>
      </w:r>
    </w:p>
    <w:p w14:paraId="527A183C" w14:textId="77777777" w:rsidR="00045356" w:rsidRDefault="00045356" w:rsidP="00045356">
      <w:pPr>
        <w:pStyle w:val="wsubclausewrapper"/>
        <w:ind w:left="662"/>
        <w:rPr>
          <w:rFonts w:cs="David"/>
          <w:rtl/>
        </w:rPr>
      </w:pPr>
      <w:r>
        <w:rPr>
          <w:rFonts w:cs="David" w:hint="cs"/>
          <w:rtl/>
        </w:rPr>
        <w:t xml:space="preserve">על אף האמור  בתקנה 3 , מסירת הודעה לראשונה , לפי תקנות אלה, תתבצע  במועד תחילתן של תקנות אלה. </w:t>
      </w:r>
    </w:p>
    <w:p w14:paraId="3100922F" w14:textId="77777777" w:rsidR="00045356" w:rsidRDefault="00045356" w:rsidP="00045356">
      <w:pPr>
        <w:pStyle w:val="wsubclausewrapper"/>
        <w:ind w:left="662"/>
        <w:rPr>
          <w:rFonts w:cs="David"/>
          <w:rtl/>
        </w:rPr>
      </w:pPr>
    </w:p>
    <w:p w14:paraId="7DF4ED7C" w14:textId="77777777" w:rsidR="00045356" w:rsidRDefault="00045356" w:rsidP="00045356">
      <w:pPr>
        <w:pStyle w:val="wsubclausewrapper"/>
        <w:ind w:left="662"/>
        <w:rPr>
          <w:rFonts w:cs="David"/>
          <w:rtl/>
        </w:rPr>
      </w:pPr>
      <w:r>
        <w:rPr>
          <w:rFonts w:cs="David" w:hint="cs"/>
          <w:rtl/>
        </w:rPr>
        <w:t>התשע"ז</w:t>
      </w:r>
    </w:p>
    <w:p w14:paraId="3847BB23" w14:textId="77777777" w:rsidR="00045356" w:rsidRDefault="00045356" w:rsidP="00045356">
      <w:pPr>
        <w:pStyle w:val="wsubclausewrapper"/>
        <w:ind w:left="662"/>
        <w:rPr>
          <w:rFonts w:cs="David"/>
          <w:rtl/>
        </w:rPr>
      </w:pPr>
      <w:r>
        <w:rPr>
          <w:rFonts w:cs="David" w:hint="cs"/>
          <w:rtl/>
        </w:rPr>
        <w:t>(   2017)</w:t>
      </w:r>
    </w:p>
    <w:p w14:paraId="32E308C1" w14:textId="77777777" w:rsidR="00045356" w:rsidRDefault="00045356" w:rsidP="00045356">
      <w:pPr>
        <w:pStyle w:val="wsubclausewrapper"/>
        <w:ind w:left="662"/>
        <w:rPr>
          <w:rFonts w:cs="David"/>
          <w:rtl/>
        </w:rPr>
      </w:pPr>
      <w:r>
        <w:rPr>
          <w:rFonts w:cs="David" w:hint="cs"/>
          <w:rtl/>
        </w:rPr>
        <w:t xml:space="preserve">(חמ 3- 5423)   </w:t>
      </w:r>
      <w:r>
        <w:rPr>
          <w:rFonts w:cs="David" w:hint="cs"/>
          <w:rtl/>
        </w:rPr>
        <w:tab/>
      </w:r>
      <w:r>
        <w:rPr>
          <w:rFonts w:cs="David" w:hint="cs"/>
          <w:rtl/>
        </w:rPr>
        <w:tab/>
      </w:r>
      <w:r>
        <w:rPr>
          <w:rFonts w:cs="David" w:hint="cs"/>
          <w:rtl/>
        </w:rPr>
        <w:tab/>
      </w:r>
      <w:r>
        <w:rPr>
          <w:rFonts w:cs="David" w:hint="cs"/>
          <w:rtl/>
        </w:rPr>
        <w:tab/>
      </w:r>
      <w:r>
        <w:rPr>
          <w:rFonts w:cs="David" w:hint="cs"/>
          <w:rtl/>
        </w:rPr>
        <w:tab/>
        <w:t>שר הבריאות</w:t>
      </w:r>
    </w:p>
    <w:p w14:paraId="4AD3A230" w14:textId="77777777" w:rsidR="00045356" w:rsidRDefault="00045356" w:rsidP="00045356"/>
    <w:p w14:paraId="3401EF9E" w14:textId="77777777" w:rsidR="00045356" w:rsidRDefault="00045356" w:rsidP="00045356"/>
    <w:p w14:paraId="4952549E" w14:textId="77777777" w:rsidR="00F55CD1" w:rsidRDefault="00F55CD1"/>
    <w:sectPr w:rsidR="00F55CD1">
      <w:headerReference w:type="even" r:id="rId9"/>
      <w:headerReference w:type="default" r:id="rId10"/>
      <w:footerReference w:type="default" r:id="rId11"/>
      <w:pgSz w:w="11906" w:h="16838"/>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Tzili Nae" w:date="2017-08-08T13:03:00Z" w:initials="TN">
    <w:p w14:paraId="76851187" w14:textId="77777777" w:rsidR="00045356" w:rsidRDefault="00045356" w:rsidP="00045356">
      <w:pPr>
        <w:pStyle w:val="ad"/>
      </w:pPr>
      <w:r>
        <w:rPr>
          <w:rStyle w:val="ac"/>
        </w:rPr>
        <w:annotationRef/>
      </w:r>
      <w:r>
        <w:rPr>
          <w:rFonts w:hint="cs"/>
          <w:rtl/>
        </w:rPr>
        <w:t>על פניו הסיפא מיותרת, הוראות חוק הגנת הפרטיות ממילא חלות על מאגר מידע כהגדרתו בחוק</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685118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B3B5AD" w14:textId="77777777" w:rsidR="00F5130A" w:rsidRDefault="00F5130A" w:rsidP="00045356">
      <w:r>
        <w:separator/>
      </w:r>
    </w:p>
  </w:endnote>
  <w:endnote w:type="continuationSeparator" w:id="0">
    <w:p w14:paraId="18F0335B" w14:textId="77777777" w:rsidR="00F5130A" w:rsidRDefault="00F5130A" w:rsidP="00045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48878" w14:textId="77777777" w:rsidR="00203C41" w:rsidRPr="00E37F95" w:rsidRDefault="00F5130A" w:rsidP="009A4019">
    <w:pPr>
      <w:pStyle w:val="a5"/>
      <w:pBdr>
        <w:top w:val="single" w:sz="4" w:space="1" w:color="auto"/>
        <w:bottom w:val="single" w:sz="4" w:space="1" w:color="auto"/>
      </w:pBdr>
      <w:bidi/>
      <w:rPr>
        <w:rFonts w:ascii="David" w:hAnsi="David"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C513C7" w14:textId="77777777" w:rsidR="00F5130A" w:rsidRDefault="00F5130A" w:rsidP="00045356">
      <w:r>
        <w:separator/>
      </w:r>
    </w:p>
  </w:footnote>
  <w:footnote w:type="continuationSeparator" w:id="0">
    <w:p w14:paraId="0C3D31D2" w14:textId="77777777" w:rsidR="00F5130A" w:rsidRDefault="00F5130A" w:rsidP="00045356">
      <w:r>
        <w:continuationSeparator/>
      </w:r>
    </w:p>
  </w:footnote>
  <w:footnote w:id="1">
    <w:p w14:paraId="404501D7" w14:textId="77777777" w:rsidR="00045356" w:rsidRDefault="00045356" w:rsidP="00045356">
      <w:pPr>
        <w:pStyle w:val="a8"/>
        <w:bidi/>
        <w:ind w:left="84"/>
        <w:rPr>
          <w:rtl/>
        </w:rPr>
      </w:pPr>
      <w:r>
        <w:rPr>
          <w:rStyle w:val="aa"/>
        </w:rPr>
        <w:footnoteRef/>
      </w:r>
      <w:r>
        <w:rPr>
          <w:rtl/>
        </w:rPr>
        <w:t xml:space="preserve"> </w:t>
      </w:r>
      <w:r>
        <w:rPr>
          <w:rFonts w:hint="cs"/>
          <w:rtl/>
        </w:rPr>
        <w:t>ס"ח התשנ"ד. עמ' 156; התשע"ו, עמ' 1078</w:t>
      </w:r>
      <w:r>
        <w:t xml:space="preserve"> </w:t>
      </w:r>
    </w:p>
  </w:footnote>
  <w:footnote w:id="2">
    <w:p w14:paraId="32646AD3" w14:textId="77777777" w:rsidR="00045356" w:rsidRDefault="00045356" w:rsidP="00045356">
      <w:pPr>
        <w:pStyle w:val="a8"/>
        <w:bidi/>
        <w:rPr>
          <w:rtl/>
        </w:rPr>
      </w:pPr>
      <w:r>
        <w:t xml:space="preserve"> </w:t>
      </w:r>
      <w:r>
        <w:rPr>
          <w:rStyle w:val="aa"/>
        </w:rPr>
        <w:footnoteRef/>
      </w:r>
      <w:r>
        <w:t xml:space="preserve"> </w:t>
      </w:r>
      <w:r>
        <w:rPr>
          <w:rFonts w:hint="cs"/>
          <w:rtl/>
        </w:rPr>
        <w:t>ס"ח  התשי"ט, עמ' 276.</w:t>
      </w:r>
    </w:p>
    <w:p w14:paraId="5162F2B3" w14:textId="77777777" w:rsidR="00045356" w:rsidRDefault="00834BA4" w:rsidP="00045356">
      <w:pPr>
        <w:pStyle w:val="a8"/>
        <w:bidi/>
        <w:rPr>
          <w:rtl/>
        </w:rPr>
      </w:pPr>
      <w:r>
        <w:rPr>
          <w:rFonts w:hint="cs"/>
          <w:rtl/>
        </w:rPr>
        <w:t>3.ק"ת התש"ל, עמ' 217</w:t>
      </w:r>
    </w:p>
  </w:footnote>
  <w:footnote w:id="3">
    <w:p w14:paraId="5C0592E5" w14:textId="77777777" w:rsidR="00045356" w:rsidRDefault="00045356" w:rsidP="00045356">
      <w:pPr>
        <w:pStyle w:val="a8"/>
        <w:rPr>
          <w:rtl/>
        </w:rPr>
      </w:pPr>
      <w:r>
        <w:rPr>
          <w:rFonts w:hint="cs"/>
          <w:rtl/>
        </w:rPr>
        <w:t>)</w:t>
      </w:r>
      <w:r>
        <w:rPr>
          <w:rStyle w:val="aa"/>
        </w:rPr>
        <w:footnoteRef/>
      </w:r>
      <w:r>
        <w:t xml:space="preserve"> </w:t>
      </w:r>
    </w:p>
  </w:footnote>
  <w:footnote w:id="4">
    <w:p w14:paraId="5CE13B2C" w14:textId="77777777" w:rsidR="00045356" w:rsidRDefault="00045356" w:rsidP="00045356">
      <w:pPr>
        <w:pStyle w:val="a8"/>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ACDF8" w14:textId="77777777" w:rsidR="00203C41" w:rsidRDefault="00045356" w:rsidP="009A4019">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0EAC71C6" w14:textId="77777777" w:rsidR="00203C41" w:rsidRDefault="00F5130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D475D1" w14:textId="77777777" w:rsidR="00203C41" w:rsidRDefault="00045356" w:rsidP="009A4019">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CC099F">
      <w:rPr>
        <w:rStyle w:val="a7"/>
        <w:noProof/>
      </w:rPr>
      <w:t>1</w:t>
    </w:r>
    <w:r>
      <w:rPr>
        <w:rStyle w:val="a7"/>
      </w:rPr>
      <w:fldChar w:fldCharType="end"/>
    </w:r>
  </w:p>
  <w:p w14:paraId="22B8B60F" w14:textId="77777777" w:rsidR="00203C41" w:rsidRDefault="00F5130A" w:rsidP="009A4019">
    <w:pPr>
      <w:pStyle w:val="a3"/>
      <w:pBdr>
        <w:bottom w:val="single" w:sz="4" w:space="1" w:color="auto"/>
      </w:pBdr>
      <w:bidi/>
      <w:jc w:val="center"/>
      <w:rPr>
        <w:rFonts w:ascii="David" w:hAnsi="David" w:cs="David"/>
        <w:sz w:val="22"/>
        <w:szCs w:val="22"/>
      </w:rPr>
    </w:pPr>
  </w:p>
  <w:p w14:paraId="232D1CD7" w14:textId="77777777" w:rsidR="00203C41" w:rsidRDefault="00F5130A" w:rsidP="009A4019">
    <w:pPr>
      <w:pStyle w:val="a3"/>
      <w:pBdr>
        <w:bottom w:val="single" w:sz="4" w:space="1" w:color="auto"/>
      </w:pBdr>
      <w:bidi/>
      <w:jc w:val="center"/>
      <w:rPr>
        <w:rFonts w:ascii="David" w:hAnsi="David" w:cs="David"/>
        <w:sz w:val="22"/>
        <w:szCs w:val="22"/>
      </w:rPr>
    </w:pPr>
  </w:p>
  <w:p w14:paraId="14B83136" w14:textId="77777777" w:rsidR="00203C41" w:rsidRPr="00E37F95" w:rsidRDefault="00F5130A" w:rsidP="009A4019">
    <w:pPr>
      <w:pStyle w:val="a3"/>
      <w:pBdr>
        <w:bottom w:val="single" w:sz="4" w:space="1" w:color="auto"/>
      </w:pBdr>
      <w:bidi/>
      <w:jc w:val="center"/>
      <w:rPr>
        <w:rFonts w:ascii="David" w:hAnsi="David" w:cs="David"/>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746"/>
    <w:multiLevelType w:val="hybridMultilevel"/>
    <w:tmpl w:val="3CA4ECF0"/>
    <w:lvl w:ilvl="0" w:tplc="15305474">
      <w:start w:val="1"/>
      <w:numFmt w:val="decimal"/>
      <w:lvlText w:val="(%1)"/>
      <w:lvlJc w:val="left"/>
      <w:pPr>
        <w:ind w:left="2475" w:hanging="615"/>
      </w:pPr>
      <w:rPr>
        <w:rFonts w:hint="default"/>
      </w:r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1" w15:restartNumberingAfterBreak="0">
    <w:nsid w:val="02145596"/>
    <w:multiLevelType w:val="hybridMultilevel"/>
    <w:tmpl w:val="62C48B92"/>
    <w:lvl w:ilvl="0" w:tplc="34C01712">
      <w:start w:val="7"/>
      <w:numFmt w:val="decimal"/>
      <w:lvlText w:val="%1."/>
      <w:lvlJc w:val="left"/>
      <w:pPr>
        <w:ind w:left="662" w:hanging="360"/>
      </w:pPr>
      <w:rPr>
        <w:rFonts w:hint="default"/>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2" w15:restartNumberingAfterBreak="0">
    <w:nsid w:val="02C73ABA"/>
    <w:multiLevelType w:val="hybridMultilevel"/>
    <w:tmpl w:val="9B9EA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5C34AA"/>
    <w:multiLevelType w:val="hybridMultilevel"/>
    <w:tmpl w:val="0E8EC5B8"/>
    <w:lvl w:ilvl="0" w:tplc="ACACE77A">
      <w:start w:val="1"/>
      <w:numFmt w:val="decimal"/>
      <w:lvlText w:val="%1."/>
      <w:lvlJc w:val="left"/>
      <w:pPr>
        <w:ind w:left="1022" w:hanging="360"/>
      </w:pPr>
      <w:rPr>
        <w:rFonts w:cs="David" w:hint="default"/>
        <w:sz w:val="22"/>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356"/>
    <w:rsid w:val="00045356"/>
    <w:rsid w:val="002C0639"/>
    <w:rsid w:val="005033A6"/>
    <w:rsid w:val="00707622"/>
    <w:rsid w:val="00834BA4"/>
    <w:rsid w:val="00A01F69"/>
    <w:rsid w:val="00BD79AE"/>
    <w:rsid w:val="00C17E6B"/>
    <w:rsid w:val="00C70D91"/>
    <w:rsid w:val="00CC099F"/>
    <w:rsid w:val="00DE7101"/>
    <w:rsid w:val="00F5130A"/>
    <w:rsid w:val="00F55C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B3562"/>
  <w15:docId w15:val="{C35FAF7D-8131-471F-9E5F-B9C6CC073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5356"/>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subclausewrapper">
    <w:name w:val="wsubclausewrapper"/>
    <w:basedOn w:val="a"/>
    <w:rsid w:val="00045356"/>
    <w:pPr>
      <w:bidi/>
      <w:spacing w:before="150" w:after="150" w:line="360" w:lineRule="auto"/>
      <w:jc w:val="both"/>
    </w:pPr>
  </w:style>
  <w:style w:type="paragraph" w:customStyle="1" w:styleId="wkoteretperek">
    <w:name w:val="wkoteretperek"/>
    <w:basedOn w:val="a"/>
    <w:rsid w:val="00045356"/>
    <w:pPr>
      <w:spacing w:before="100" w:beforeAutospacing="1" w:after="100" w:afterAutospacing="1"/>
      <w:jc w:val="center"/>
    </w:pPr>
    <w:rPr>
      <w:b/>
      <w:bCs/>
      <w:sz w:val="33"/>
      <w:szCs w:val="33"/>
      <w:u w:val="single"/>
    </w:rPr>
  </w:style>
  <w:style w:type="paragraph" w:customStyle="1" w:styleId="wkoteretseif">
    <w:name w:val="wkoteretseif"/>
    <w:basedOn w:val="a"/>
    <w:rsid w:val="00045356"/>
    <w:pPr>
      <w:bidi/>
      <w:spacing w:before="300" w:after="150"/>
    </w:pPr>
    <w:rPr>
      <w:b/>
      <w:bCs/>
      <w:sz w:val="27"/>
      <w:szCs w:val="27"/>
    </w:rPr>
  </w:style>
  <w:style w:type="character" w:customStyle="1" w:styleId="wshemhoktext1">
    <w:name w:val="wshemhoktext1"/>
    <w:rsid w:val="00045356"/>
    <w:rPr>
      <w:b/>
      <w:bCs/>
      <w:sz w:val="39"/>
      <w:szCs w:val="39"/>
      <w:u w:val="single"/>
    </w:rPr>
  </w:style>
  <w:style w:type="paragraph" w:styleId="a3">
    <w:name w:val="header"/>
    <w:basedOn w:val="a"/>
    <w:link w:val="a4"/>
    <w:rsid w:val="00045356"/>
    <w:pPr>
      <w:tabs>
        <w:tab w:val="center" w:pos="4153"/>
        <w:tab w:val="right" w:pos="8306"/>
      </w:tabs>
    </w:pPr>
  </w:style>
  <w:style w:type="character" w:customStyle="1" w:styleId="a4">
    <w:name w:val="כותרת עליונה תו"/>
    <w:basedOn w:val="a0"/>
    <w:link w:val="a3"/>
    <w:rsid w:val="00045356"/>
    <w:rPr>
      <w:rFonts w:ascii="Times New Roman" w:eastAsia="Times New Roman" w:hAnsi="Times New Roman" w:cs="Times New Roman"/>
      <w:sz w:val="24"/>
      <w:szCs w:val="24"/>
    </w:rPr>
  </w:style>
  <w:style w:type="paragraph" w:styleId="a5">
    <w:name w:val="footer"/>
    <w:basedOn w:val="a"/>
    <w:link w:val="a6"/>
    <w:rsid w:val="00045356"/>
    <w:pPr>
      <w:tabs>
        <w:tab w:val="center" w:pos="4153"/>
        <w:tab w:val="right" w:pos="8306"/>
      </w:tabs>
    </w:pPr>
  </w:style>
  <w:style w:type="character" w:customStyle="1" w:styleId="a6">
    <w:name w:val="כותרת תחתונה תו"/>
    <w:basedOn w:val="a0"/>
    <w:link w:val="a5"/>
    <w:rsid w:val="00045356"/>
    <w:rPr>
      <w:rFonts w:ascii="Times New Roman" w:eastAsia="Times New Roman" w:hAnsi="Times New Roman" w:cs="Times New Roman"/>
      <w:sz w:val="24"/>
      <w:szCs w:val="24"/>
    </w:rPr>
  </w:style>
  <w:style w:type="character" w:styleId="a7">
    <w:name w:val="page number"/>
    <w:basedOn w:val="a0"/>
    <w:rsid w:val="00045356"/>
  </w:style>
  <w:style w:type="paragraph" w:styleId="a8">
    <w:name w:val="footnote text"/>
    <w:basedOn w:val="a"/>
    <w:link w:val="a9"/>
    <w:rsid w:val="00045356"/>
    <w:rPr>
      <w:sz w:val="20"/>
      <w:szCs w:val="20"/>
    </w:rPr>
  </w:style>
  <w:style w:type="character" w:customStyle="1" w:styleId="a9">
    <w:name w:val="טקסט הערת שוליים תו"/>
    <w:basedOn w:val="a0"/>
    <w:link w:val="a8"/>
    <w:rsid w:val="00045356"/>
    <w:rPr>
      <w:rFonts w:ascii="Times New Roman" w:eastAsia="Times New Roman" w:hAnsi="Times New Roman" w:cs="Times New Roman"/>
      <w:sz w:val="20"/>
      <w:szCs w:val="20"/>
    </w:rPr>
  </w:style>
  <w:style w:type="character" w:styleId="aa">
    <w:name w:val="footnote reference"/>
    <w:uiPriority w:val="99"/>
    <w:rsid w:val="00045356"/>
    <w:rPr>
      <w:vertAlign w:val="superscript"/>
    </w:rPr>
  </w:style>
  <w:style w:type="paragraph" w:styleId="ab">
    <w:name w:val="List Paragraph"/>
    <w:basedOn w:val="a"/>
    <w:uiPriority w:val="34"/>
    <w:qFormat/>
    <w:rsid w:val="00045356"/>
    <w:pPr>
      <w:bidi/>
      <w:spacing w:after="200" w:line="276" w:lineRule="auto"/>
      <w:ind w:left="720"/>
      <w:contextualSpacing/>
    </w:pPr>
    <w:rPr>
      <w:rFonts w:ascii="Calibri" w:eastAsia="Calibri" w:hAnsi="Calibri" w:cs="Arial"/>
      <w:sz w:val="22"/>
      <w:szCs w:val="22"/>
    </w:rPr>
  </w:style>
  <w:style w:type="character" w:styleId="ac">
    <w:name w:val="annotation reference"/>
    <w:rsid w:val="00045356"/>
    <w:rPr>
      <w:sz w:val="16"/>
      <w:szCs w:val="16"/>
    </w:rPr>
  </w:style>
  <w:style w:type="paragraph" w:styleId="ad">
    <w:name w:val="annotation text"/>
    <w:basedOn w:val="a"/>
    <w:link w:val="ae"/>
    <w:rsid w:val="00045356"/>
    <w:rPr>
      <w:sz w:val="20"/>
      <w:szCs w:val="20"/>
    </w:rPr>
  </w:style>
  <w:style w:type="character" w:customStyle="1" w:styleId="ae">
    <w:name w:val="טקסט הערה תו"/>
    <w:basedOn w:val="a0"/>
    <w:link w:val="ad"/>
    <w:rsid w:val="00045356"/>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BD01E2-1D52-4F48-9DEC-60043CBFD8E4}"/>
</file>

<file path=customXml/itemProps2.xml><?xml version="1.0" encoding="utf-8"?>
<ds:datastoreItem xmlns:ds="http://schemas.openxmlformats.org/officeDocument/2006/customXml" ds:itemID="{54AE834C-D53D-415F-9246-F88AA5495E5D}"/>
</file>

<file path=customXml/itemProps3.xml><?xml version="1.0" encoding="utf-8"?>
<ds:datastoreItem xmlns:ds="http://schemas.openxmlformats.org/officeDocument/2006/customXml" ds:itemID="{AB64EBD0-8CC0-4C5A-880E-094511886A6E}"/>
</file>

<file path=docProps/app.xml><?xml version="1.0" encoding="utf-8"?>
<Properties xmlns="http://schemas.openxmlformats.org/officeDocument/2006/extended-properties" xmlns:vt="http://schemas.openxmlformats.org/officeDocument/2006/docPropsVTypes">
  <Template>Normal</Template>
  <TotalTime>0</TotalTime>
  <Pages>2</Pages>
  <Words>391</Words>
  <Characters>1960</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נתן סמוך</dc:creator>
  <cp:lastModifiedBy>נועה אומזגין</cp:lastModifiedBy>
  <cp:revision>2</cp:revision>
  <dcterms:created xsi:type="dcterms:W3CDTF">2017-10-18T10:39:00Z</dcterms:created>
  <dcterms:modified xsi:type="dcterms:W3CDTF">2017-10-18T10:39:00Z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2021602</vt:r8>
  </property>
</Properties>
</file>