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2475F" w:rsidRPr="00AC3909" w:rsidRDefault="00AC3909" w:rsidP="0082475F">
      <w:pPr>
        <w:pStyle w:val="HeadHatzaotHok"/>
        <w:jc w:val="right"/>
        <w:rPr>
          <w:rFonts w:hint="cs"/>
          <w:sz w:val="28"/>
          <w:szCs w:val="28"/>
          <w:u w:val="single"/>
          <w:rtl/>
        </w:rPr>
      </w:pPr>
      <w:bookmarkStart w:id="0" w:name="LGS_Subject"/>
      <w:r w:rsidRPr="00AC3909">
        <w:rPr>
          <w:rFonts w:hint="cs"/>
          <w:sz w:val="28"/>
          <w:szCs w:val="28"/>
          <w:u w:val="single"/>
          <w:rtl/>
        </w:rPr>
        <w:t>נוסח לדיון בוועדה ב-15.11.17</w:t>
      </w:r>
    </w:p>
    <w:p w:rsidR="00E13C27" w:rsidRDefault="00A443CF" w:rsidP="001D3234">
      <w:pPr>
        <w:pStyle w:val="HeadHatzaotHok"/>
        <w:rPr>
          <w:rtl/>
        </w:rPr>
      </w:pPr>
      <w:r>
        <w:rPr>
          <w:rtl/>
        </w:rPr>
        <w:t>ה</w:t>
      </w:r>
      <w:bookmarkStart w:id="1" w:name="_GoBack"/>
      <w:bookmarkEnd w:id="1"/>
      <w:r>
        <w:rPr>
          <w:rtl/>
        </w:rPr>
        <w:t xml:space="preserve">צעת חוק הגנת הצרכן (תיקון </w:t>
      </w:r>
      <w:r w:rsidR="00F91B70">
        <w:rPr>
          <w:rtl/>
        </w:rPr>
        <w:t>–</w:t>
      </w:r>
      <w:r>
        <w:rPr>
          <w:rtl/>
        </w:rPr>
        <w:t xml:space="preserve"> עוסק שאינו ספק), </w:t>
      </w:r>
      <w:proofErr w:type="spellStart"/>
      <w:r>
        <w:rPr>
          <w:rtl/>
        </w:rPr>
        <w:t>התשע"ז</w:t>
      </w:r>
      <w:proofErr w:type="spellEnd"/>
      <w:r w:rsidR="00F91B70">
        <w:rPr>
          <w:rtl/>
        </w:rPr>
        <w:t>–</w:t>
      </w:r>
      <w:r>
        <w:rPr>
          <w:rtl/>
        </w:rPr>
        <w:t>2016</w:t>
      </w:r>
      <w:bookmarkEnd w:id="0"/>
      <w:r w:rsidR="006B0CEA">
        <w:rPr>
          <w:rFonts w:hint="cs"/>
          <w:rtl/>
        </w:rPr>
        <w:t xml:space="preserve"> </w:t>
      </w:r>
      <w:r w:rsidR="001D3234">
        <w:rPr>
          <w:rFonts w:hint="cs"/>
          <w:rtl/>
        </w:rPr>
        <w:t xml:space="preserve"> [פ/3407/20</w:t>
      </w:r>
      <w:r w:rsidR="0082475F">
        <w:rPr>
          <w:rFonts w:hint="cs"/>
          <w:rtl/>
        </w:rPr>
        <w:t xml:space="preserve"> </w:t>
      </w:r>
      <w:r w:rsidR="001D3234">
        <w:rPr>
          <w:rFonts w:hint="cs"/>
          <w:rtl/>
        </w:rPr>
        <w:t>]</w:t>
      </w:r>
    </w:p>
    <w:p w:rsidR="00E13C27" w:rsidRDefault="00E13C27" w:rsidP="00040847">
      <w:pPr>
        <w:pStyle w:val="HeadDivreiHesber"/>
        <w:spacing w:before="0" w:after="0"/>
        <w:rPr>
          <w:rtl/>
        </w:rPr>
      </w:pPr>
    </w:p>
    <w:tbl>
      <w:tblPr>
        <w:bidiVisual/>
        <w:tblW w:w="9636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000" w:firstRow="0" w:lastRow="0" w:firstColumn="0" w:lastColumn="0" w:noHBand="0" w:noVBand="0"/>
      </w:tblPr>
      <w:tblGrid>
        <w:gridCol w:w="1869"/>
        <w:gridCol w:w="623"/>
        <w:gridCol w:w="624"/>
        <w:gridCol w:w="624"/>
        <w:gridCol w:w="624"/>
        <w:gridCol w:w="624"/>
        <w:gridCol w:w="624"/>
        <w:gridCol w:w="4024"/>
      </w:tblGrid>
      <w:tr w:rsidR="00837253" w:rsidRPr="00A5511B" w:rsidTr="007E67F1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837253" w:rsidRPr="00A5511B" w:rsidRDefault="00544022" w:rsidP="00544022">
            <w:pPr>
              <w:pStyle w:val="TableSideHeading"/>
              <w:ind w:right="0"/>
              <w:rPr>
                <w:rtl/>
              </w:rPr>
            </w:pPr>
            <w:r>
              <w:rPr>
                <w:rFonts w:hint="cs"/>
                <w:rtl/>
              </w:rPr>
              <w:t>הוספת</w:t>
            </w:r>
            <w:r>
              <w:rPr>
                <w:rtl/>
              </w:rPr>
              <w:t xml:space="preserve"> </w:t>
            </w:r>
            <w:r w:rsidR="00837253">
              <w:rPr>
                <w:rtl/>
              </w:rPr>
              <w:t xml:space="preserve">סעיף </w:t>
            </w:r>
            <w:r>
              <w:rPr>
                <w:rtl/>
              </w:rPr>
              <w:t>14</w:t>
            </w:r>
            <w:r>
              <w:rPr>
                <w:rFonts w:hint="cs"/>
                <w:rtl/>
              </w:rPr>
              <w:t>ג2</w:t>
            </w: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837253" w:rsidRPr="00A5511B" w:rsidRDefault="00837253" w:rsidP="00C81CFF">
            <w:pPr>
              <w:pStyle w:val="TableText"/>
              <w:ind w:right="0"/>
              <w:jc w:val="both"/>
              <w:rPr>
                <w:rtl/>
              </w:rPr>
            </w:pPr>
            <w:r w:rsidRPr="00A5511B">
              <w:rPr>
                <w:rtl/>
              </w:rPr>
              <w:t>1.</w:t>
            </w:r>
          </w:p>
        </w:tc>
        <w:tc>
          <w:tcPr>
            <w:tcW w:w="7144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837253" w:rsidRPr="00A5511B" w:rsidRDefault="00837253" w:rsidP="00544022">
            <w:pPr>
              <w:pStyle w:val="TableBlock"/>
              <w:rPr>
                <w:rtl/>
              </w:rPr>
            </w:pPr>
            <w:r w:rsidRPr="00A5511B">
              <w:rPr>
                <w:rtl/>
              </w:rPr>
              <w:t xml:space="preserve">בחוק הגנת הצרכן, </w:t>
            </w:r>
            <w:proofErr w:type="spellStart"/>
            <w:r w:rsidRPr="00A5511B">
              <w:rPr>
                <w:rtl/>
              </w:rPr>
              <w:t>התשמ"א</w:t>
            </w:r>
            <w:proofErr w:type="spellEnd"/>
            <w:r w:rsidRPr="00A5511B">
              <w:rPr>
                <w:rtl/>
              </w:rPr>
              <w:t>–1981‏</w:t>
            </w:r>
            <w:r w:rsidRPr="00A5511B">
              <w:rPr>
                <w:sz w:val="14"/>
                <w:szCs w:val="20"/>
                <w:rtl/>
              </w:rPr>
              <w:footnoteReference w:id="2"/>
            </w:r>
            <w:r w:rsidRPr="00A5511B">
              <w:rPr>
                <w:rtl/>
              </w:rPr>
              <w:t xml:space="preserve"> (להלן – החוק העיקרי), </w:t>
            </w:r>
            <w:r w:rsidR="00544022">
              <w:rPr>
                <w:rFonts w:hint="cs"/>
                <w:rtl/>
              </w:rPr>
              <w:t xml:space="preserve">אחרי </w:t>
            </w:r>
            <w:r w:rsidR="00544022">
              <w:rPr>
                <w:rtl/>
              </w:rPr>
              <w:t xml:space="preserve">סעיף </w:t>
            </w:r>
            <w:r>
              <w:rPr>
                <w:rtl/>
              </w:rPr>
              <w:t>14ג</w:t>
            </w:r>
            <w:r w:rsidR="00544022">
              <w:rPr>
                <w:rFonts w:hint="cs"/>
                <w:rtl/>
              </w:rPr>
              <w:t>1 יבוא</w:t>
            </w:r>
            <w:r w:rsidR="00F653D7">
              <w:rPr>
                <w:rFonts w:hint="cs"/>
                <w:rtl/>
              </w:rPr>
              <w:t>:</w:t>
            </w:r>
            <w:r>
              <w:rPr>
                <w:rtl/>
              </w:rPr>
              <w:t xml:space="preserve"> </w:t>
            </w:r>
          </w:p>
        </w:tc>
      </w:tr>
      <w:tr w:rsidR="00544022" w:rsidTr="007E67F1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69" w:type="dxa"/>
          </w:tcPr>
          <w:p w:rsidR="00544022" w:rsidRDefault="00544022">
            <w:pPr>
              <w:pStyle w:val="TableSideHeading"/>
              <w:keepLines w:val="0"/>
            </w:pPr>
          </w:p>
        </w:tc>
        <w:tc>
          <w:tcPr>
            <w:tcW w:w="623" w:type="dxa"/>
          </w:tcPr>
          <w:p w:rsidR="00544022" w:rsidRDefault="00544022">
            <w:pPr>
              <w:pStyle w:val="TableText"/>
              <w:keepLines w:val="0"/>
            </w:pPr>
          </w:p>
        </w:tc>
        <w:tc>
          <w:tcPr>
            <w:tcW w:w="1872" w:type="dxa"/>
            <w:gridSpan w:val="3"/>
          </w:tcPr>
          <w:p w:rsidR="00544022" w:rsidRDefault="00544022" w:rsidP="007E67F1">
            <w:pPr>
              <w:pStyle w:val="TableInnerSideHeading"/>
            </w:pPr>
            <w:r>
              <w:rPr>
                <w:rFonts w:hint="cs"/>
                <w:rtl/>
              </w:rPr>
              <w:t xml:space="preserve">"ביטול עסקת מכר מרחוק למתן שירותי </w:t>
            </w:r>
            <w:r w:rsidRPr="007E67F1">
              <w:rPr>
                <w:rFonts w:hint="cs"/>
                <w:rtl/>
              </w:rPr>
              <w:t>הארחה, נסיעה, חופש או בילוי</w:t>
            </w:r>
          </w:p>
        </w:tc>
        <w:tc>
          <w:tcPr>
            <w:tcW w:w="624" w:type="dxa"/>
          </w:tcPr>
          <w:p w:rsidR="00544022" w:rsidRDefault="00544022">
            <w:pPr>
              <w:pStyle w:val="TableText"/>
            </w:pPr>
            <w:r>
              <w:rPr>
                <w:rFonts w:hint="cs"/>
                <w:rtl/>
              </w:rPr>
              <w:t>14ג2.</w:t>
            </w:r>
          </w:p>
        </w:tc>
        <w:tc>
          <w:tcPr>
            <w:tcW w:w="4648" w:type="dxa"/>
            <w:gridSpan w:val="2"/>
          </w:tcPr>
          <w:p w:rsidR="00544022" w:rsidRDefault="00544022" w:rsidP="00917595">
            <w:pPr>
              <w:pStyle w:val="TableBlock"/>
            </w:pPr>
            <w:r>
              <w:rPr>
                <w:rFonts w:hint="cs"/>
                <w:rtl/>
              </w:rPr>
              <w:t>(א)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 xml:space="preserve">על אף האמור בסעיף </w:t>
            </w:r>
            <w:r w:rsidR="008C46D5">
              <w:rPr>
                <w:rFonts w:hint="cs"/>
                <w:rtl/>
              </w:rPr>
              <w:t>14ג</w:t>
            </w:r>
            <w:r>
              <w:rPr>
                <w:rFonts w:hint="cs"/>
                <w:rtl/>
              </w:rPr>
              <w:t xml:space="preserve">(ג), בעסקת מכר מרחוק למתן שירותי הארחה, נסיעה, חופש או בילוי </w:t>
            </w:r>
            <w:r w:rsidRPr="00332369">
              <w:rPr>
                <w:rtl/>
              </w:rPr>
              <w:t xml:space="preserve">המתבצעים במלואם </w:t>
            </w:r>
            <w:r w:rsidRPr="00A60F28">
              <w:rPr>
                <w:rtl/>
              </w:rPr>
              <w:t>מחוץ לישראל</w:t>
            </w:r>
            <w:r>
              <w:rPr>
                <w:rFonts w:hint="cs"/>
                <w:rtl/>
              </w:rPr>
              <w:t xml:space="preserve"> </w:t>
            </w:r>
            <w:r w:rsidRPr="00A60F28">
              <w:rPr>
                <w:rtl/>
              </w:rPr>
              <w:t xml:space="preserve">למעט האזור כהגדרתו בחוק מס ערך מוסף, </w:t>
            </w:r>
            <w:proofErr w:type="spellStart"/>
            <w:r w:rsidRPr="00A60F28">
              <w:rPr>
                <w:rtl/>
              </w:rPr>
              <w:t>התשל"ו</w:t>
            </w:r>
            <w:proofErr w:type="spellEnd"/>
            <w:r>
              <w:rPr>
                <w:rFonts w:hint="cs"/>
                <w:rtl/>
              </w:rPr>
              <w:t>–</w:t>
            </w:r>
            <w:r w:rsidRPr="00A60F28">
              <w:rPr>
                <w:rtl/>
              </w:rPr>
              <w:t>1975</w:t>
            </w:r>
            <w:r w:rsidR="00E11083">
              <w:rPr>
                <w:rStyle w:val="a7"/>
                <w:rtl/>
              </w:rPr>
              <w:footnoteReference w:id="3"/>
            </w:r>
            <w:r>
              <w:rPr>
                <w:rFonts w:hint="cs"/>
                <w:rtl/>
              </w:rPr>
              <w:t xml:space="preserve">, רשאי העוסק להציע לצרכן לבחור בין זכות הביטול בהתאם להוראות סעיף </w:t>
            </w:r>
            <w:r w:rsidR="00917595">
              <w:rPr>
                <w:rFonts w:hint="cs"/>
                <w:rtl/>
              </w:rPr>
              <w:t>14ג(ג)</w:t>
            </w:r>
            <w:r>
              <w:rPr>
                <w:rFonts w:hint="cs"/>
                <w:rtl/>
              </w:rPr>
              <w:t xml:space="preserve"> (בסעיף זה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חלופה ראשונה), לבין תנאי הביטול של נותן השירות מחוץ לישראל (בסעיף זה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חלופה שנייה), ובלבד שהתקיימו כל אלה:</w:t>
            </w:r>
          </w:p>
        </w:tc>
      </w:tr>
      <w:tr w:rsidR="00544022" w:rsidTr="00544022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69" w:type="dxa"/>
          </w:tcPr>
          <w:p w:rsidR="00544022" w:rsidRDefault="00544022">
            <w:pPr>
              <w:pStyle w:val="TableSideHeading"/>
            </w:pPr>
          </w:p>
        </w:tc>
        <w:tc>
          <w:tcPr>
            <w:tcW w:w="623" w:type="dxa"/>
          </w:tcPr>
          <w:p w:rsidR="00544022" w:rsidRDefault="00544022">
            <w:pPr>
              <w:pStyle w:val="TableText"/>
            </w:pPr>
          </w:p>
        </w:tc>
        <w:tc>
          <w:tcPr>
            <w:tcW w:w="624" w:type="dxa"/>
          </w:tcPr>
          <w:p w:rsidR="00544022" w:rsidRDefault="00544022">
            <w:pPr>
              <w:pStyle w:val="TableText"/>
            </w:pPr>
          </w:p>
        </w:tc>
        <w:tc>
          <w:tcPr>
            <w:tcW w:w="624" w:type="dxa"/>
          </w:tcPr>
          <w:p w:rsidR="00544022" w:rsidRDefault="00544022">
            <w:pPr>
              <w:pStyle w:val="TableText"/>
            </w:pPr>
          </w:p>
        </w:tc>
        <w:tc>
          <w:tcPr>
            <w:tcW w:w="624" w:type="dxa"/>
          </w:tcPr>
          <w:p w:rsidR="00544022" w:rsidRDefault="00544022">
            <w:pPr>
              <w:pStyle w:val="TableText"/>
            </w:pPr>
          </w:p>
        </w:tc>
        <w:tc>
          <w:tcPr>
            <w:tcW w:w="624" w:type="dxa"/>
          </w:tcPr>
          <w:p w:rsidR="00544022" w:rsidRDefault="00544022">
            <w:pPr>
              <w:pStyle w:val="TableText"/>
            </w:pPr>
          </w:p>
        </w:tc>
        <w:tc>
          <w:tcPr>
            <w:tcW w:w="624" w:type="dxa"/>
          </w:tcPr>
          <w:p w:rsidR="00544022" w:rsidRDefault="00544022">
            <w:pPr>
              <w:pStyle w:val="TableText"/>
            </w:pPr>
          </w:p>
        </w:tc>
        <w:tc>
          <w:tcPr>
            <w:tcW w:w="4024" w:type="dxa"/>
          </w:tcPr>
          <w:p w:rsidR="00544022" w:rsidRDefault="00544022">
            <w:pPr>
              <w:pStyle w:val="TableBlock"/>
            </w:pPr>
            <w:r>
              <w:rPr>
                <w:rFonts w:hint="cs"/>
                <w:rtl/>
              </w:rPr>
              <w:t>(1)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 xml:space="preserve">העוסק </w:t>
            </w:r>
            <w:r w:rsidRPr="002E02BF">
              <w:rPr>
                <w:rFonts w:hint="cs"/>
                <w:rtl/>
              </w:rPr>
              <w:t>גילה לצרכן,</w:t>
            </w:r>
            <w:r>
              <w:rPr>
                <w:rFonts w:hint="cs"/>
                <w:rtl/>
              </w:rPr>
              <w:t xml:space="preserve"> טרם ההתקשרות, את שתי החלופות כאמור העומדות לבחירתו, ולעניין החלופה השנייה –  את מדיניות נותן השירות מחוץ לישראל לעניין ביטול עסקאות ואת הזכות לבטל את העסקה ותנאי הביטול, ובכלל זה המועד האחרון לביטול, האפשרות לקבלת החזר כספי ודמי הביטול</w:t>
            </w:r>
            <w:r w:rsidR="00441B0D">
              <w:rPr>
                <w:rFonts w:hint="cs"/>
                <w:rtl/>
              </w:rPr>
              <w:t>, ככל שישנם</w:t>
            </w:r>
            <w:r>
              <w:rPr>
                <w:rFonts w:hint="cs"/>
                <w:rtl/>
              </w:rPr>
              <w:t>;</w:t>
            </w:r>
          </w:p>
        </w:tc>
      </w:tr>
      <w:tr w:rsidR="00544022" w:rsidTr="00544022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69" w:type="dxa"/>
          </w:tcPr>
          <w:p w:rsidR="00544022" w:rsidRDefault="00544022" w:rsidP="00544022">
            <w:pPr>
              <w:pStyle w:val="TableSideHeading"/>
            </w:pPr>
          </w:p>
        </w:tc>
        <w:tc>
          <w:tcPr>
            <w:tcW w:w="623" w:type="dxa"/>
          </w:tcPr>
          <w:p w:rsidR="00544022" w:rsidRDefault="00544022" w:rsidP="007E67F1">
            <w:pPr>
              <w:pStyle w:val="TableText"/>
            </w:pPr>
          </w:p>
        </w:tc>
        <w:tc>
          <w:tcPr>
            <w:tcW w:w="624" w:type="dxa"/>
          </w:tcPr>
          <w:p w:rsidR="00544022" w:rsidRDefault="00544022" w:rsidP="00544022">
            <w:pPr>
              <w:pStyle w:val="TableText"/>
            </w:pPr>
          </w:p>
        </w:tc>
        <w:tc>
          <w:tcPr>
            <w:tcW w:w="624" w:type="dxa"/>
          </w:tcPr>
          <w:p w:rsidR="00544022" w:rsidRDefault="00544022" w:rsidP="00544022">
            <w:pPr>
              <w:pStyle w:val="TableText"/>
            </w:pPr>
          </w:p>
        </w:tc>
        <w:tc>
          <w:tcPr>
            <w:tcW w:w="624" w:type="dxa"/>
          </w:tcPr>
          <w:p w:rsidR="00544022" w:rsidRDefault="00544022" w:rsidP="00544022">
            <w:pPr>
              <w:pStyle w:val="TableText"/>
            </w:pPr>
          </w:p>
        </w:tc>
        <w:tc>
          <w:tcPr>
            <w:tcW w:w="624" w:type="dxa"/>
          </w:tcPr>
          <w:p w:rsidR="00544022" w:rsidRDefault="00544022" w:rsidP="00544022">
            <w:pPr>
              <w:pStyle w:val="TableText"/>
            </w:pPr>
          </w:p>
        </w:tc>
        <w:tc>
          <w:tcPr>
            <w:tcW w:w="624" w:type="dxa"/>
          </w:tcPr>
          <w:p w:rsidR="00544022" w:rsidRDefault="00544022" w:rsidP="00544022">
            <w:pPr>
              <w:pStyle w:val="TableText"/>
            </w:pPr>
          </w:p>
        </w:tc>
        <w:tc>
          <w:tcPr>
            <w:tcW w:w="4024" w:type="dxa"/>
          </w:tcPr>
          <w:p w:rsidR="00544022" w:rsidRDefault="00544022" w:rsidP="007E67F1">
            <w:pPr>
              <w:pStyle w:val="TableBlock"/>
            </w:pPr>
            <w:r>
              <w:rPr>
                <w:rFonts w:hint="cs"/>
                <w:rtl/>
              </w:rPr>
              <w:t>(2)</w:t>
            </w:r>
            <w:r>
              <w:rPr>
                <w:rtl/>
              </w:rPr>
              <w:tab/>
            </w:r>
            <w:r w:rsidRPr="002E02BF">
              <w:rPr>
                <w:rFonts w:hint="cs"/>
                <w:rtl/>
              </w:rPr>
              <w:t>גילוי</w:t>
            </w:r>
            <w:r>
              <w:rPr>
                <w:rFonts w:hint="cs"/>
                <w:rtl/>
              </w:rPr>
              <w:t xml:space="preserve"> החלופות כאמור בפסקה (1) ייעשה בעת השיווק מרחוק וכן במסמך כאמור בסעיף 14ג(ב);</w:t>
            </w:r>
          </w:p>
        </w:tc>
      </w:tr>
      <w:tr w:rsidR="00544022" w:rsidTr="00544022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69" w:type="dxa"/>
          </w:tcPr>
          <w:p w:rsidR="00544022" w:rsidRDefault="00544022" w:rsidP="00544022">
            <w:pPr>
              <w:pStyle w:val="TableSideHeading"/>
            </w:pPr>
          </w:p>
        </w:tc>
        <w:tc>
          <w:tcPr>
            <w:tcW w:w="623" w:type="dxa"/>
          </w:tcPr>
          <w:p w:rsidR="00544022" w:rsidRDefault="00544022" w:rsidP="007E67F1">
            <w:pPr>
              <w:pStyle w:val="TableText"/>
            </w:pPr>
          </w:p>
        </w:tc>
        <w:tc>
          <w:tcPr>
            <w:tcW w:w="624" w:type="dxa"/>
          </w:tcPr>
          <w:p w:rsidR="00544022" w:rsidRDefault="00544022" w:rsidP="00544022">
            <w:pPr>
              <w:pStyle w:val="TableText"/>
            </w:pPr>
          </w:p>
        </w:tc>
        <w:tc>
          <w:tcPr>
            <w:tcW w:w="624" w:type="dxa"/>
          </w:tcPr>
          <w:p w:rsidR="00544022" w:rsidRDefault="00544022" w:rsidP="00544022">
            <w:pPr>
              <w:pStyle w:val="TableText"/>
            </w:pPr>
          </w:p>
        </w:tc>
        <w:tc>
          <w:tcPr>
            <w:tcW w:w="624" w:type="dxa"/>
          </w:tcPr>
          <w:p w:rsidR="00544022" w:rsidRDefault="00544022" w:rsidP="00544022">
            <w:pPr>
              <w:pStyle w:val="TableText"/>
            </w:pPr>
          </w:p>
        </w:tc>
        <w:tc>
          <w:tcPr>
            <w:tcW w:w="624" w:type="dxa"/>
          </w:tcPr>
          <w:p w:rsidR="00544022" w:rsidRDefault="00544022" w:rsidP="00544022">
            <w:pPr>
              <w:pStyle w:val="TableText"/>
            </w:pPr>
          </w:p>
        </w:tc>
        <w:tc>
          <w:tcPr>
            <w:tcW w:w="624" w:type="dxa"/>
          </w:tcPr>
          <w:p w:rsidR="00544022" w:rsidRDefault="00544022" w:rsidP="00544022">
            <w:pPr>
              <w:pStyle w:val="TableText"/>
            </w:pPr>
          </w:p>
        </w:tc>
        <w:tc>
          <w:tcPr>
            <w:tcW w:w="4024" w:type="dxa"/>
          </w:tcPr>
          <w:p w:rsidR="00544022" w:rsidRDefault="00544022" w:rsidP="007E67F1">
            <w:pPr>
              <w:pStyle w:val="TableBlock"/>
            </w:pPr>
            <w:r>
              <w:rPr>
                <w:rFonts w:hint="cs"/>
                <w:rtl/>
              </w:rPr>
              <w:t>(3)</w:t>
            </w:r>
            <w:r>
              <w:rPr>
                <w:rtl/>
              </w:rPr>
              <w:tab/>
            </w:r>
            <w:r w:rsidRPr="00214428">
              <w:rPr>
                <w:rFonts w:hint="cs"/>
                <w:rtl/>
              </w:rPr>
              <w:t xml:space="preserve">פרסם העוסק באתר האינטרנט שלו עסקאות שיש לגביהן חלופות כאמור </w:t>
            </w:r>
            <w:r w:rsidRPr="00214428">
              <w:rPr>
                <w:rtl/>
              </w:rPr>
              <w:t>–</w:t>
            </w:r>
            <w:r w:rsidRPr="00214428">
              <w:rPr>
                <w:rFonts w:hint="cs"/>
                <w:rtl/>
              </w:rPr>
              <w:t xml:space="preserve"> יפרסם גם את מדיניות הביטול של נותן השירות מחוץ לישראל</w:t>
            </w:r>
            <w:r>
              <w:rPr>
                <w:rFonts w:hint="cs"/>
                <w:rtl/>
              </w:rPr>
              <w:t>.</w:t>
            </w:r>
          </w:p>
        </w:tc>
      </w:tr>
      <w:tr w:rsidR="00544022" w:rsidTr="00C10DF3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69" w:type="dxa"/>
          </w:tcPr>
          <w:p w:rsidR="00544022" w:rsidRDefault="00544022" w:rsidP="00544022">
            <w:pPr>
              <w:pStyle w:val="TableSideHeading"/>
            </w:pPr>
          </w:p>
        </w:tc>
        <w:tc>
          <w:tcPr>
            <w:tcW w:w="623" w:type="dxa"/>
          </w:tcPr>
          <w:p w:rsidR="00544022" w:rsidRDefault="00544022" w:rsidP="007E67F1">
            <w:pPr>
              <w:pStyle w:val="TableText"/>
            </w:pPr>
          </w:p>
        </w:tc>
        <w:tc>
          <w:tcPr>
            <w:tcW w:w="624" w:type="dxa"/>
          </w:tcPr>
          <w:p w:rsidR="00544022" w:rsidRDefault="00544022" w:rsidP="00544022">
            <w:pPr>
              <w:pStyle w:val="TableText"/>
            </w:pPr>
          </w:p>
        </w:tc>
        <w:tc>
          <w:tcPr>
            <w:tcW w:w="624" w:type="dxa"/>
          </w:tcPr>
          <w:p w:rsidR="00544022" w:rsidRDefault="00544022" w:rsidP="00544022">
            <w:pPr>
              <w:pStyle w:val="TableText"/>
            </w:pPr>
          </w:p>
        </w:tc>
        <w:tc>
          <w:tcPr>
            <w:tcW w:w="624" w:type="dxa"/>
          </w:tcPr>
          <w:p w:rsidR="00544022" w:rsidRDefault="00544022" w:rsidP="00544022">
            <w:pPr>
              <w:pStyle w:val="TableText"/>
            </w:pPr>
          </w:p>
        </w:tc>
        <w:tc>
          <w:tcPr>
            <w:tcW w:w="624" w:type="dxa"/>
          </w:tcPr>
          <w:p w:rsidR="00544022" w:rsidRDefault="00544022" w:rsidP="00544022">
            <w:pPr>
              <w:pStyle w:val="TableText"/>
            </w:pPr>
          </w:p>
        </w:tc>
        <w:tc>
          <w:tcPr>
            <w:tcW w:w="4648" w:type="dxa"/>
            <w:gridSpan w:val="2"/>
          </w:tcPr>
          <w:p w:rsidR="00544022" w:rsidRDefault="00544022" w:rsidP="00D3301E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(ב)</w:t>
            </w:r>
            <w:r>
              <w:rPr>
                <w:rtl/>
              </w:rPr>
              <w:tab/>
            </w:r>
            <w:r w:rsidR="003B6FFF">
              <w:rPr>
                <w:rFonts w:hint="cs"/>
                <w:rtl/>
              </w:rPr>
              <w:t>בחר צרכן בחלופה השנייה, ותנאי הביטול לפיה כוללים זכות ביטול, יחולו על ביטול העסקה הוראות סעיף 14ה(א)</w:t>
            </w:r>
            <w:r w:rsidR="003A3864">
              <w:rPr>
                <w:rFonts w:hint="cs"/>
                <w:rtl/>
              </w:rPr>
              <w:t>, בשינויים המחויבים.</w:t>
            </w:r>
          </w:p>
        </w:tc>
      </w:tr>
      <w:tr w:rsidR="00544022" w:rsidTr="00472C95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69" w:type="dxa"/>
          </w:tcPr>
          <w:p w:rsidR="00544022" w:rsidRDefault="00544022" w:rsidP="00544022">
            <w:pPr>
              <w:pStyle w:val="TableSideHeading"/>
            </w:pPr>
          </w:p>
        </w:tc>
        <w:tc>
          <w:tcPr>
            <w:tcW w:w="623" w:type="dxa"/>
          </w:tcPr>
          <w:p w:rsidR="00544022" w:rsidRDefault="00544022" w:rsidP="007E67F1">
            <w:pPr>
              <w:pStyle w:val="TableText"/>
            </w:pPr>
          </w:p>
        </w:tc>
        <w:tc>
          <w:tcPr>
            <w:tcW w:w="624" w:type="dxa"/>
          </w:tcPr>
          <w:p w:rsidR="00544022" w:rsidRDefault="00544022" w:rsidP="00544022">
            <w:pPr>
              <w:pStyle w:val="TableText"/>
            </w:pPr>
          </w:p>
        </w:tc>
        <w:tc>
          <w:tcPr>
            <w:tcW w:w="624" w:type="dxa"/>
          </w:tcPr>
          <w:p w:rsidR="00544022" w:rsidRDefault="00544022" w:rsidP="00544022">
            <w:pPr>
              <w:pStyle w:val="TableText"/>
            </w:pPr>
          </w:p>
        </w:tc>
        <w:tc>
          <w:tcPr>
            <w:tcW w:w="624" w:type="dxa"/>
          </w:tcPr>
          <w:p w:rsidR="00544022" w:rsidRDefault="00544022" w:rsidP="00544022">
            <w:pPr>
              <w:pStyle w:val="TableText"/>
            </w:pPr>
          </w:p>
        </w:tc>
        <w:tc>
          <w:tcPr>
            <w:tcW w:w="624" w:type="dxa"/>
          </w:tcPr>
          <w:p w:rsidR="00544022" w:rsidRDefault="00544022" w:rsidP="00544022">
            <w:pPr>
              <w:pStyle w:val="TableText"/>
            </w:pPr>
          </w:p>
        </w:tc>
        <w:tc>
          <w:tcPr>
            <w:tcW w:w="4648" w:type="dxa"/>
            <w:gridSpan w:val="2"/>
          </w:tcPr>
          <w:p w:rsidR="00544022" w:rsidRDefault="00544022" w:rsidP="00D3301E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(</w:t>
            </w:r>
            <w:r w:rsidR="003A3864">
              <w:rPr>
                <w:rFonts w:hint="cs"/>
                <w:rtl/>
              </w:rPr>
              <w:t>ג</w:t>
            </w:r>
            <w:r>
              <w:rPr>
                <w:rFonts w:hint="cs"/>
                <w:rtl/>
              </w:rPr>
              <w:t>)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 xml:space="preserve">נטל ההוכחה לעניין גילוי תנאי הביטול של נותן השירות מחוץ לישראל </w:t>
            </w:r>
            <w:r w:rsidR="0017063B">
              <w:rPr>
                <w:rFonts w:hint="cs"/>
                <w:rtl/>
              </w:rPr>
              <w:t xml:space="preserve">כאמור בסעיף זה </w:t>
            </w:r>
            <w:r>
              <w:rPr>
                <w:rFonts w:hint="cs"/>
                <w:rtl/>
              </w:rPr>
              <w:t>מוטל על העוסק."</w:t>
            </w:r>
            <w:r w:rsidR="009E7420">
              <w:rPr>
                <w:rFonts w:hint="cs"/>
                <w:rtl/>
              </w:rPr>
              <w:t>.</w:t>
            </w:r>
          </w:p>
        </w:tc>
      </w:tr>
      <w:tr w:rsidR="00912124" w:rsidTr="007E67F1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69" w:type="dxa"/>
          </w:tcPr>
          <w:p w:rsidR="00912124" w:rsidRDefault="00912124" w:rsidP="00912124">
            <w:pPr>
              <w:pStyle w:val="TableSideHeading"/>
            </w:pPr>
            <w:r>
              <w:rPr>
                <w:rFonts w:hint="cs"/>
                <w:rtl/>
              </w:rPr>
              <w:t>תיקון סעיף 22ג</w:t>
            </w:r>
          </w:p>
        </w:tc>
        <w:tc>
          <w:tcPr>
            <w:tcW w:w="623" w:type="dxa"/>
          </w:tcPr>
          <w:p w:rsidR="00912124" w:rsidRDefault="00912124" w:rsidP="00912124">
            <w:pPr>
              <w:pStyle w:val="TableText"/>
            </w:pPr>
            <w:r>
              <w:rPr>
                <w:rFonts w:hint="cs"/>
                <w:rtl/>
              </w:rPr>
              <w:t>2.</w:t>
            </w:r>
          </w:p>
        </w:tc>
        <w:tc>
          <w:tcPr>
            <w:tcW w:w="7144" w:type="dxa"/>
            <w:gridSpan w:val="6"/>
          </w:tcPr>
          <w:p w:rsidR="00912124" w:rsidRDefault="00F55AAB" w:rsidP="00581B5F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בסעיף 22ג</w:t>
            </w:r>
            <w:r w:rsidR="0027293F">
              <w:rPr>
                <w:rFonts w:hint="cs"/>
                <w:rtl/>
              </w:rPr>
              <w:t xml:space="preserve"> לחוק העיקרי</w:t>
            </w:r>
            <w:r w:rsidR="00591F4F">
              <w:rPr>
                <w:rFonts w:hint="cs"/>
                <w:rtl/>
              </w:rPr>
              <w:t>,</w:t>
            </w:r>
            <w:r w:rsidR="0017063B">
              <w:rPr>
                <w:rFonts w:hint="cs"/>
                <w:rtl/>
              </w:rPr>
              <w:t xml:space="preserve"> </w:t>
            </w:r>
            <w:r w:rsidR="00591F4F">
              <w:rPr>
                <w:rFonts w:hint="cs"/>
                <w:rtl/>
              </w:rPr>
              <w:t>בסעיף קטן (ב), אחרי פסקה (25) יבוא:</w:t>
            </w:r>
            <w:r w:rsidR="009E7420">
              <w:rPr>
                <w:rFonts w:hint="cs"/>
                <w:rtl/>
              </w:rPr>
              <w:t xml:space="preserve"> </w:t>
            </w:r>
          </w:p>
        </w:tc>
      </w:tr>
      <w:tr w:rsidR="00591F4F" w:rsidTr="00447F61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69" w:type="dxa"/>
          </w:tcPr>
          <w:p w:rsidR="00591F4F" w:rsidRPr="00EF79EA" w:rsidRDefault="00591F4F" w:rsidP="00591F4F">
            <w:pPr>
              <w:pStyle w:val="TableBlock"/>
              <w:rPr>
                <w:rFonts w:cs="Guttman Yad-Brush"/>
                <w:sz w:val="18"/>
                <w:szCs w:val="18"/>
                <w:highlight w:val="yellow"/>
                <w:rtl/>
              </w:rPr>
            </w:pPr>
          </w:p>
        </w:tc>
        <w:tc>
          <w:tcPr>
            <w:tcW w:w="623" w:type="dxa"/>
          </w:tcPr>
          <w:p w:rsidR="00591F4F" w:rsidRDefault="00591F4F" w:rsidP="00EF79EA">
            <w:pPr>
              <w:pStyle w:val="TableText"/>
            </w:pPr>
          </w:p>
        </w:tc>
        <w:tc>
          <w:tcPr>
            <w:tcW w:w="7144" w:type="dxa"/>
            <w:gridSpan w:val="6"/>
          </w:tcPr>
          <w:p w:rsidR="00591F4F" w:rsidRDefault="00581B5F" w:rsidP="00581B5F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"</w:t>
            </w:r>
            <w:r w:rsidR="00591F4F" w:rsidRPr="00DA0899">
              <w:rPr>
                <w:rFonts w:hint="cs"/>
                <w:rtl/>
              </w:rPr>
              <w:t>(</w:t>
            </w:r>
            <w:r w:rsidR="00591F4F">
              <w:rPr>
                <w:rFonts w:hint="cs"/>
                <w:rtl/>
              </w:rPr>
              <w:t>2</w:t>
            </w:r>
            <w:r w:rsidR="00591F4F" w:rsidRPr="00DA0899">
              <w:rPr>
                <w:rFonts w:hint="cs"/>
                <w:rtl/>
              </w:rPr>
              <w:t>5א)</w:t>
            </w:r>
            <w:r>
              <w:rPr>
                <w:rtl/>
              </w:rPr>
              <w:tab/>
            </w:r>
            <w:r w:rsidR="00591F4F">
              <w:rPr>
                <w:rFonts w:hint="cs"/>
                <w:rtl/>
              </w:rPr>
              <w:t xml:space="preserve">בעסקת מכר מרחוק למתן שירותי הארחה, נסיעה, חופש או בילוי כאמור בסעיף 14ג2 – </w:t>
            </w:r>
          </w:p>
        </w:tc>
      </w:tr>
      <w:tr w:rsidR="00591F4F" w:rsidTr="00454A57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69" w:type="dxa"/>
          </w:tcPr>
          <w:p w:rsidR="00591F4F" w:rsidRDefault="00591F4F">
            <w:pPr>
              <w:pStyle w:val="TableSideHeading"/>
            </w:pPr>
          </w:p>
        </w:tc>
        <w:tc>
          <w:tcPr>
            <w:tcW w:w="623" w:type="dxa"/>
          </w:tcPr>
          <w:p w:rsidR="00591F4F" w:rsidRDefault="00591F4F">
            <w:pPr>
              <w:pStyle w:val="TableText"/>
            </w:pPr>
          </w:p>
        </w:tc>
        <w:tc>
          <w:tcPr>
            <w:tcW w:w="624" w:type="dxa"/>
          </w:tcPr>
          <w:p w:rsidR="00591F4F" w:rsidRDefault="00591F4F">
            <w:pPr>
              <w:pStyle w:val="TableText"/>
            </w:pPr>
          </w:p>
        </w:tc>
        <w:tc>
          <w:tcPr>
            <w:tcW w:w="6520" w:type="dxa"/>
            <w:gridSpan w:val="5"/>
          </w:tcPr>
          <w:p w:rsidR="00591F4F" w:rsidRDefault="00591F4F" w:rsidP="00591F4F">
            <w:pPr>
              <w:pStyle w:val="TableBlock"/>
            </w:pPr>
            <w:r>
              <w:rPr>
                <w:rFonts w:hint="cs"/>
                <w:rtl/>
              </w:rPr>
              <w:t>(א)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>הציע לצרכן חלופות כאמור באותו סעיף ולא גילה לו, טרם ההתקשרות, פרט אחד או יותר שהיה עליו לגלותם בהתאם להוראות סעיף 14ג2(א)(1);</w:t>
            </w:r>
          </w:p>
        </w:tc>
      </w:tr>
      <w:tr w:rsidR="00591F4F" w:rsidTr="009811B2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69" w:type="dxa"/>
          </w:tcPr>
          <w:p w:rsidR="00591F4F" w:rsidRDefault="00591F4F">
            <w:pPr>
              <w:pStyle w:val="TableSideHeading"/>
            </w:pPr>
          </w:p>
        </w:tc>
        <w:tc>
          <w:tcPr>
            <w:tcW w:w="623" w:type="dxa"/>
          </w:tcPr>
          <w:p w:rsidR="00591F4F" w:rsidRDefault="00591F4F" w:rsidP="00591F4F">
            <w:pPr>
              <w:pStyle w:val="TableText"/>
            </w:pPr>
          </w:p>
        </w:tc>
        <w:tc>
          <w:tcPr>
            <w:tcW w:w="624" w:type="dxa"/>
          </w:tcPr>
          <w:p w:rsidR="00591F4F" w:rsidRDefault="00591F4F">
            <w:pPr>
              <w:pStyle w:val="TableText"/>
            </w:pPr>
          </w:p>
        </w:tc>
        <w:tc>
          <w:tcPr>
            <w:tcW w:w="6520" w:type="dxa"/>
            <w:gridSpan w:val="5"/>
          </w:tcPr>
          <w:p w:rsidR="00591F4F" w:rsidRDefault="00591F4F" w:rsidP="00591F4F">
            <w:pPr>
              <w:pStyle w:val="TableBlock"/>
            </w:pPr>
            <w:r>
              <w:rPr>
                <w:rFonts w:hint="cs"/>
                <w:rtl/>
              </w:rPr>
              <w:t>(ב)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>גבה מהצרכן דמי ביטול או לא ביטל את חיובו של הצרכן בניגוד לתנאי הביטול של נותן השירות מחוץ לישראל כאמור בסעיף 14ג2(א);</w:t>
            </w:r>
          </w:p>
        </w:tc>
      </w:tr>
      <w:tr w:rsidR="00591F4F" w:rsidTr="00AB0F8C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69" w:type="dxa"/>
          </w:tcPr>
          <w:p w:rsidR="00591F4F" w:rsidRDefault="00591F4F">
            <w:pPr>
              <w:pStyle w:val="TableSideHeading"/>
            </w:pPr>
          </w:p>
        </w:tc>
        <w:tc>
          <w:tcPr>
            <w:tcW w:w="623" w:type="dxa"/>
          </w:tcPr>
          <w:p w:rsidR="00591F4F" w:rsidRDefault="00591F4F" w:rsidP="00591F4F">
            <w:pPr>
              <w:pStyle w:val="TableText"/>
            </w:pPr>
          </w:p>
        </w:tc>
        <w:tc>
          <w:tcPr>
            <w:tcW w:w="624" w:type="dxa"/>
          </w:tcPr>
          <w:p w:rsidR="00591F4F" w:rsidRDefault="00591F4F">
            <w:pPr>
              <w:pStyle w:val="TableText"/>
            </w:pPr>
          </w:p>
        </w:tc>
        <w:tc>
          <w:tcPr>
            <w:tcW w:w="6520" w:type="dxa"/>
            <w:gridSpan w:val="5"/>
          </w:tcPr>
          <w:p w:rsidR="00591F4F" w:rsidRDefault="00591F4F" w:rsidP="00581B5F">
            <w:pPr>
              <w:pStyle w:val="TableBlock"/>
            </w:pPr>
            <w:r>
              <w:rPr>
                <w:rFonts w:hint="cs"/>
                <w:rtl/>
              </w:rPr>
              <w:t>(ג)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>החיל לגבי עסקה כאמור את תנאי הביטול של נותן השירות מחוץ לישראל, מבלי לתת לצרכן אפשרות לבחון בינם לבין זכות הביטול לפי סעיף 14ג(ג), בניגוד להוראות סעיף 14ג</w:t>
            </w:r>
            <w:r w:rsidR="00581B5F">
              <w:rPr>
                <w:rFonts w:hint="cs"/>
                <w:rtl/>
              </w:rPr>
              <w:t>2(א)</w:t>
            </w:r>
            <w:r>
              <w:rPr>
                <w:rFonts w:hint="cs"/>
                <w:rtl/>
              </w:rPr>
              <w:t>;".</w:t>
            </w:r>
          </w:p>
        </w:tc>
      </w:tr>
      <w:tr w:rsidR="00A660AC" w:rsidTr="007E67F1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69" w:type="dxa"/>
          </w:tcPr>
          <w:p w:rsidR="00A660AC" w:rsidRDefault="00A660AC" w:rsidP="00A660AC">
            <w:pPr>
              <w:pStyle w:val="TableSideHeading"/>
              <w:rPr>
                <w:rtl/>
              </w:rPr>
            </w:pPr>
            <w:r w:rsidRPr="00A660AC">
              <w:rPr>
                <w:rFonts w:hint="cs"/>
                <w:rtl/>
              </w:rPr>
              <w:t>תיקון סעיף 31א</w:t>
            </w:r>
          </w:p>
          <w:p w:rsidR="00374CE9" w:rsidRPr="00A660AC" w:rsidRDefault="00374CE9" w:rsidP="0081774E">
            <w:pPr>
              <w:pStyle w:val="TableBlock"/>
              <w:rPr>
                <w:rtl/>
              </w:rPr>
            </w:pPr>
          </w:p>
        </w:tc>
        <w:tc>
          <w:tcPr>
            <w:tcW w:w="623" w:type="dxa"/>
          </w:tcPr>
          <w:p w:rsidR="00A660AC" w:rsidRDefault="00A660AC" w:rsidP="00C0496D">
            <w:pPr>
              <w:pStyle w:val="TableText"/>
            </w:pPr>
            <w:r>
              <w:rPr>
                <w:rFonts w:hint="cs"/>
                <w:rtl/>
              </w:rPr>
              <w:t>3.</w:t>
            </w:r>
          </w:p>
        </w:tc>
        <w:tc>
          <w:tcPr>
            <w:tcW w:w="7144" w:type="dxa"/>
            <w:gridSpan w:val="6"/>
          </w:tcPr>
          <w:p w:rsidR="00A660AC" w:rsidRPr="00DA0899" w:rsidRDefault="00A660AC" w:rsidP="0081774E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בסעיף 31</w:t>
            </w:r>
            <w:r w:rsidR="00394113">
              <w:rPr>
                <w:rFonts w:hint="cs"/>
                <w:rtl/>
              </w:rPr>
              <w:t>א(א)</w:t>
            </w:r>
            <w:r>
              <w:rPr>
                <w:rFonts w:hint="cs"/>
                <w:rtl/>
              </w:rPr>
              <w:t xml:space="preserve"> לחוק העיקרי, </w:t>
            </w:r>
            <w:r w:rsidR="0081774E">
              <w:rPr>
                <w:rFonts w:hint="cs"/>
                <w:rtl/>
              </w:rPr>
              <w:t xml:space="preserve">אחרי פסקה </w:t>
            </w:r>
            <w:r w:rsidR="00394113">
              <w:rPr>
                <w:rFonts w:hint="cs"/>
                <w:rtl/>
              </w:rPr>
              <w:t>(</w:t>
            </w:r>
            <w:r w:rsidR="0081774E">
              <w:rPr>
                <w:rFonts w:hint="cs"/>
                <w:rtl/>
              </w:rPr>
              <w:t>4א</w:t>
            </w:r>
            <w:r w:rsidR="00394113">
              <w:rPr>
                <w:rFonts w:hint="cs"/>
                <w:rtl/>
              </w:rPr>
              <w:t>)</w:t>
            </w:r>
            <w:r w:rsidR="0081774E">
              <w:rPr>
                <w:rFonts w:hint="cs"/>
                <w:rtl/>
              </w:rPr>
              <w:t xml:space="preserve"> יבוא:</w:t>
            </w:r>
            <w:r w:rsidR="00394113">
              <w:rPr>
                <w:rFonts w:hint="cs"/>
                <w:rtl/>
              </w:rPr>
              <w:t xml:space="preserve"> </w:t>
            </w:r>
          </w:p>
        </w:tc>
      </w:tr>
      <w:tr w:rsidR="0081774E" w:rsidTr="007E67F1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69" w:type="dxa"/>
          </w:tcPr>
          <w:p w:rsidR="0081774E" w:rsidRPr="00A660AC" w:rsidRDefault="0081774E" w:rsidP="00A660AC">
            <w:pPr>
              <w:pStyle w:val="TableSideHeading"/>
              <w:rPr>
                <w:rtl/>
              </w:rPr>
            </w:pPr>
          </w:p>
        </w:tc>
        <w:tc>
          <w:tcPr>
            <w:tcW w:w="623" w:type="dxa"/>
          </w:tcPr>
          <w:p w:rsidR="0081774E" w:rsidRDefault="0081774E" w:rsidP="00C0496D">
            <w:pPr>
              <w:pStyle w:val="TableText"/>
              <w:rPr>
                <w:rtl/>
              </w:rPr>
            </w:pPr>
          </w:p>
        </w:tc>
        <w:tc>
          <w:tcPr>
            <w:tcW w:w="7144" w:type="dxa"/>
            <w:gridSpan w:val="6"/>
          </w:tcPr>
          <w:p w:rsidR="0081774E" w:rsidRDefault="0081774E" w:rsidP="0081774E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"(4ב)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 xml:space="preserve">בעסקת מכר מרחוק למתן שירותי </w:t>
            </w:r>
            <w:r w:rsidRPr="007E67F1">
              <w:rPr>
                <w:rFonts w:hint="cs"/>
                <w:rtl/>
              </w:rPr>
              <w:t>הארחה, נסיעה, חופש או בילוי</w:t>
            </w:r>
            <w:r>
              <w:rPr>
                <w:rFonts w:hint="cs"/>
                <w:rtl/>
              </w:rPr>
              <w:t xml:space="preserve"> כאמור בסעיף 14ג2 – </w:t>
            </w:r>
            <w:r w:rsidRPr="0081774E">
              <w:rPr>
                <w:rtl/>
              </w:rPr>
              <w:t>ביקש צרכן כי עוסק ישיב</w:t>
            </w:r>
            <w:r w:rsidRPr="0081774E">
              <w:rPr>
                <w:rFonts w:hint="cs"/>
                <w:rtl/>
              </w:rPr>
              <w:t xml:space="preserve"> </w:t>
            </w:r>
            <w:r w:rsidRPr="0081774E">
              <w:rPr>
                <w:rtl/>
              </w:rPr>
              <w:t>לו את החלק ממחיר העסקה ששילם או ביקש צרכן לבטל</w:t>
            </w:r>
            <w:r w:rsidRPr="0081774E">
              <w:rPr>
                <w:rFonts w:hint="cs"/>
                <w:rtl/>
              </w:rPr>
              <w:t xml:space="preserve"> </w:t>
            </w:r>
            <w:r w:rsidRPr="0081774E">
              <w:rPr>
                <w:rtl/>
              </w:rPr>
              <w:t>את חיובו</w:t>
            </w:r>
            <w:r>
              <w:rPr>
                <w:rFonts w:hint="cs"/>
                <w:rtl/>
              </w:rPr>
              <w:t>, בעקבות ביטול</w:t>
            </w:r>
            <w:r w:rsidRPr="0081774E">
              <w:rPr>
                <w:rFonts w:hint="cs"/>
                <w:rtl/>
              </w:rPr>
              <w:t xml:space="preserve"> עסק</w:t>
            </w:r>
            <w:r>
              <w:rPr>
                <w:rFonts w:hint="cs"/>
                <w:rtl/>
              </w:rPr>
              <w:t>ה כאמור</w:t>
            </w:r>
            <w:r w:rsidRPr="0081774E">
              <w:rPr>
                <w:rFonts w:hint="cs"/>
                <w:rtl/>
              </w:rPr>
              <w:t xml:space="preserve"> שלפי תנאי הביטול של נותן השירות מחוץ לישראל יש לצרכן זכות </w:t>
            </w:r>
            <w:r>
              <w:rPr>
                <w:rFonts w:hint="cs"/>
                <w:rtl/>
              </w:rPr>
              <w:t xml:space="preserve">לבטלה –  </w:t>
            </w:r>
            <w:r w:rsidRPr="0081774E">
              <w:rPr>
                <w:rtl/>
              </w:rPr>
              <w:t>והעוסק</w:t>
            </w:r>
            <w:r w:rsidRPr="0081774E">
              <w:rPr>
                <w:rFonts w:hint="cs"/>
                <w:rtl/>
              </w:rPr>
              <w:t xml:space="preserve"> </w:t>
            </w:r>
            <w:r w:rsidRPr="0081774E">
              <w:rPr>
                <w:rtl/>
              </w:rPr>
              <w:t>לא השיב לצרכן את החלק ממחיר העסקה או לא ביטל את החיוב כאמור</w:t>
            </w:r>
            <w:r>
              <w:rPr>
                <w:rFonts w:hint="cs"/>
                <w:rtl/>
              </w:rPr>
              <w:t>;".</w:t>
            </w:r>
          </w:p>
        </w:tc>
      </w:tr>
    </w:tbl>
    <w:p w:rsidR="0081774E" w:rsidRDefault="0081774E" w:rsidP="0081774E">
      <w:pPr>
        <w:widowControl/>
        <w:autoSpaceDE/>
        <w:autoSpaceDN/>
        <w:bidi w:val="0"/>
        <w:adjustRightInd/>
        <w:spacing w:before="0" w:line="240" w:lineRule="auto"/>
        <w:ind w:firstLine="0"/>
        <w:jc w:val="right"/>
        <w:textAlignment w:val="auto"/>
        <w:rPr>
          <w:rStyle w:val="default"/>
          <w:rFonts w:cs="FrankRuehl"/>
          <w:rtl/>
        </w:rPr>
      </w:pPr>
    </w:p>
    <w:p w:rsidR="00557638" w:rsidRDefault="00557638" w:rsidP="007F7D21">
      <w:pPr>
        <w:widowControl/>
        <w:autoSpaceDE/>
        <w:autoSpaceDN/>
        <w:bidi w:val="0"/>
        <w:adjustRightInd/>
        <w:spacing w:before="0" w:line="240" w:lineRule="auto"/>
        <w:ind w:firstLine="0"/>
        <w:jc w:val="right"/>
        <w:textAlignment w:val="auto"/>
        <w:rPr>
          <w:rFonts w:ascii="Arial" w:hAnsi="Arial" w:cs="David"/>
          <w:spacing w:val="0"/>
          <w:sz w:val="20"/>
          <w:szCs w:val="26"/>
        </w:rPr>
      </w:pPr>
    </w:p>
    <w:sectPr w:rsidR="00557638" w:rsidSect="001207F8">
      <w:footerReference w:type="even" r:id="rId11"/>
      <w:footerReference w:type="default" r:id="rId12"/>
      <w:pgSz w:w="11907" w:h="16840" w:code="9"/>
      <w:pgMar w:top="1134" w:right="1134" w:bottom="1134" w:left="1134" w:header="680" w:footer="680" w:gutter="0"/>
      <w:cols w:space="720"/>
      <w:noEndnote/>
      <w:titlePg/>
      <w:bidi/>
      <w:rtlGutter/>
      <w:docGrid w:linePitch="23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B466F" w:rsidRDefault="002B466F">
      <w:r>
        <w:separator/>
      </w:r>
    </w:p>
  </w:endnote>
  <w:endnote w:type="continuationSeparator" w:id="0">
    <w:p w:rsidR="002B466F" w:rsidRDefault="002B466F">
      <w:r>
        <w:continuationSeparator/>
      </w:r>
    </w:p>
  </w:endnote>
  <w:endnote w:type="continuationNotice" w:id="1">
    <w:p w:rsidR="002B466F" w:rsidRDefault="002B466F">
      <w:pPr>
        <w:spacing w:before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Hadasa Roso SL">
    <w:altName w:val="Times New Roman"/>
    <w:charset w:val="00"/>
    <w:family w:val="roman"/>
    <w:pitch w:val="variable"/>
    <w:sig w:usb0="80001827" w:usb1="5000004A" w:usb2="00000020" w:usb3="00000000" w:csb0="0000002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Ruehl">
    <w:panose1 w:val="020E0503060101010101"/>
    <w:charset w:val="00"/>
    <w:family w:val="swiss"/>
    <w:pitch w:val="variable"/>
    <w:sig w:usb0="00000803" w:usb1="00000000" w:usb2="00000000" w:usb3="00000000" w:csb0="00000021" w:csb1="00000000"/>
  </w:font>
  <w:font w:name="Guttman Yad-Brush"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C3041" w:rsidRDefault="002C3041" w:rsidP="001207F8">
    <w:pPr>
      <w:pStyle w:val="ab"/>
      <w:framePr w:wrap="around" w:vAnchor="text" w:hAnchor="text" w:xAlign="center" w:y="1"/>
      <w:rPr>
        <w:rStyle w:val="af"/>
        <w:rFonts w:cs="Hadasa Roso SL"/>
      </w:rPr>
    </w:pPr>
    <w:r>
      <w:rPr>
        <w:rStyle w:val="af"/>
        <w:rFonts w:cs="Hadasa Roso SL"/>
      </w:rPr>
      <w:fldChar w:fldCharType="begin"/>
    </w:r>
    <w:r>
      <w:rPr>
        <w:rStyle w:val="af"/>
        <w:rFonts w:cs="Hadasa Roso SL"/>
      </w:rPr>
      <w:instrText xml:space="preserve">PAGE  </w:instrText>
    </w:r>
    <w:r>
      <w:rPr>
        <w:rStyle w:val="af"/>
        <w:rFonts w:cs="Hadasa Roso SL"/>
      </w:rPr>
      <w:fldChar w:fldCharType="end"/>
    </w:r>
  </w:p>
  <w:p w:rsidR="002C3041" w:rsidRDefault="002C3041">
    <w:pPr>
      <w:pStyle w:val="ab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C3041" w:rsidRDefault="002C3041" w:rsidP="001207F8">
    <w:pPr>
      <w:pStyle w:val="ab"/>
      <w:framePr w:wrap="around" w:vAnchor="text" w:hAnchor="text" w:xAlign="center" w:y="1"/>
      <w:rPr>
        <w:rStyle w:val="af"/>
        <w:rFonts w:cs="Hadasa Roso SL"/>
      </w:rPr>
    </w:pPr>
    <w:r>
      <w:rPr>
        <w:rStyle w:val="af"/>
        <w:rFonts w:cs="Hadasa Roso SL"/>
      </w:rPr>
      <w:fldChar w:fldCharType="begin"/>
    </w:r>
    <w:r>
      <w:rPr>
        <w:rStyle w:val="af"/>
        <w:rFonts w:cs="Hadasa Roso SL"/>
      </w:rPr>
      <w:instrText xml:space="preserve">PAGE  </w:instrText>
    </w:r>
    <w:r>
      <w:rPr>
        <w:rStyle w:val="af"/>
        <w:rFonts w:cs="Hadasa Roso SL"/>
      </w:rPr>
      <w:fldChar w:fldCharType="separate"/>
    </w:r>
    <w:r w:rsidR="00AC3909">
      <w:rPr>
        <w:rStyle w:val="af"/>
        <w:rFonts w:cs="Hadasa Roso SL"/>
        <w:noProof/>
        <w:rtl/>
      </w:rPr>
      <w:t>2</w:t>
    </w:r>
    <w:r>
      <w:rPr>
        <w:rStyle w:val="af"/>
        <w:rFonts w:cs="Hadasa Roso SL"/>
      </w:rPr>
      <w:fldChar w:fldCharType="end"/>
    </w:r>
  </w:p>
  <w:p w:rsidR="002C3041" w:rsidRDefault="002C3041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B466F" w:rsidRDefault="002B466F">
      <w:r>
        <w:separator/>
      </w:r>
    </w:p>
  </w:footnote>
  <w:footnote w:type="continuationSeparator" w:id="0">
    <w:p w:rsidR="002B466F" w:rsidRDefault="002B466F">
      <w:r>
        <w:continuationSeparator/>
      </w:r>
    </w:p>
  </w:footnote>
  <w:footnote w:type="continuationNotice" w:id="1">
    <w:p w:rsidR="002B466F" w:rsidRDefault="002B466F"/>
  </w:footnote>
  <w:footnote w:id="2">
    <w:p w:rsidR="00837253" w:rsidRPr="003C25C2" w:rsidRDefault="00837253" w:rsidP="00F30128">
      <w:pPr>
        <w:pStyle w:val="a5"/>
        <w:rPr>
          <w:rtl/>
        </w:rPr>
      </w:pPr>
      <w:r w:rsidRPr="003C25C2">
        <w:rPr>
          <w:rStyle w:val="a7"/>
        </w:rPr>
        <w:footnoteRef/>
      </w:r>
      <w:r w:rsidRPr="003C25C2">
        <w:rPr>
          <w:rtl/>
        </w:rPr>
        <w:t xml:space="preserve"> </w:t>
      </w:r>
      <w:r w:rsidRPr="003C25C2">
        <w:rPr>
          <w:rFonts w:hint="eastAsia"/>
          <w:rtl/>
        </w:rPr>
        <w:t>ס</w:t>
      </w:r>
      <w:r w:rsidRPr="003C25C2">
        <w:rPr>
          <w:rtl/>
        </w:rPr>
        <w:t xml:space="preserve">"ח </w:t>
      </w:r>
      <w:proofErr w:type="spellStart"/>
      <w:r w:rsidRPr="003C25C2">
        <w:rPr>
          <w:rtl/>
        </w:rPr>
        <w:t>התשמ"א</w:t>
      </w:r>
      <w:proofErr w:type="spellEnd"/>
      <w:r w:rsidRPr="003C25C2">
        <w:rPr>
          <w:rtl/>
        </w:rPr>
        <w:t>, עמ' 248</w:t>
      </w:r>
      <w:r w:rsidR="00F30128">
        <w:rPr>
          <w:rFonts w:hint="cs"/>
          <w:rtl/>
        </w:rPr>
        <w:t>.</w:t>
      </w:r>
    </w:p>
  </w:footnote>
  <w:footnote w:id="3">
    <w:p w:rsidR="00E11083" w:rsidRDefault="00E11083">
      <w:pPr>
        <w:pStyle w:val="a5"/>
        <w:rPr>
          <w:rtl/>
        </w:rPr>
      </w:pPr>
      <w:r>
        <w:rPr>
          <w:rStyle w:val="a7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 xml:space="preserve">ס"ח </w:t>
      </w:r>
      <w:proofErr w:type="spellStart"/>
      <w:r>
        <w:rPr>
          <w:rFonts w:hint="cs"/>
          <w:rtl/>
        </w:rPr>
        <w:t>התשל"ו</w:t>
      </w:r>
      <w:proofErr w:type="spellEnd"/>
      <w:r>
        <w:rPr>
          <w:rFonts w:hint="cs"/>
          <w:rtl/>
        </w:rPr>
        <w:t>, עמ' 52.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7F6AAD9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 w15:restartNumberingAfterBreak="0">
    <w:nsid w:val="FFFFFF7D"/>
    <w:multiLevelType w:val="singleLevel"/>
    <w:tmpl w:val="7D5CAEA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 w15:restartNumberingAfterBreak="0">
    <w:nsid w:val="FFFFFF7E"/>
    <w:multiLevelType w:val="singleLevel"/>
    <w:tmpl w:val="67E88A7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 w15:restartNumberingAfterBreak="0">
    <w:nsid w:val="FFFFFF7F"/>
    <w:multiLevelType w:val="singleLevel"/>
    <w:tmpl w:val="45DA1EB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 w15:restartNumberingAfterBreak="0">
    <w:nsid w:val="FFFFFF80"/>
    <w:multiLevelType w:val="singleLevel"/>
    <w:tmpl w:val="0A3056D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8222F1D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B406C9A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5BFE925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942460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 w15:restartNumberingAfterBreak="0">
    <w:nsid w:val="FFFFFF89"/>
    <w:multiLevelType w:val="singleLevel"/>
    <w:tmpl w:val="84D088A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CDD78F3"/>
    <w:multiLevelType w:val="hybridMultilevel"/>
    <w:tmpl w:val="9E4C4E42"/>
    <w:lvl w:ilvl="0" w:tplc="861C87C0">
      <w:start w:val="1"/>
      <w:numFmt w:val="decimal"/>
      <w:lvlText w:val="(%1)"/>
      <w:lvlJc w:val="left"/>
      <w:pPr>
        <w:tabs>
          <w:tab w:val="num" w:pos="624"/>
        </w:tabs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1FB0598A"/>
    <w:multiLevelType w:val="hybridMultilevel"/>
    <w:tmpl w:val="746CCEE6"/>
    <w:lvl w:ilvl="0" w:tplc="040D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0B51DFC"/>
    <w:multiLevelType w:val="hybridMultilevel"/>
    <w:tmpl w:val="1D34C6EA"/>
    <w:lvl w:ilvl="0" w:tplc="08260832">
      <w:start w:val="1"/>
      <w:numFmt w:val="decimal"/>
      <w:lvlText w:val="(%1)"/>
      <w:lvlJc w:val="left"/>
      <w:pPr>
        <w:ind w:left="968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82" w:hanging="360"/>
      </w:pPr>
    </w:lvl>
    <w:lvl w:ilvl="2" w:tplc="0409001B" w:tentative="1">
      <w:start w:val="1"/>
      <w:numFmt w:val="lowerRoman"/>
      <w:lvlText w:val="%3."/>
      <w:lvlJc w:val="right"/>
      <w:pPr>
        <w:ind w:left="2102" w:hanging="180"/>
      </w:pPr>
    </w:lvl>
    <w:lvl w:ilvl="3" w:tplc="0409000F" w:tentative="1">
      <w:start w:val="1"/>
      <w:numFmt w:val="decimal"/>
      <w:lvlText w:val="%4."/>
      <w:lvlJc w:val="left"/>
      <w:pPr>
        <w:ind w:left="2822" w:hanging="360"/>
      </w:pPr>
    </w:lvl>
    <w:lvl w:ilvl="4" w:tplc="04090019" w:tentative="1">
      <w:start w:val="1"/>
      <w:numFmt w:val="lowerLetter"/>
      <w:lvlText w:val="%5."/>
      <w:lvlJc w:val="left"/>
      <w:pPr>
        <w:ind w:left="3542" w:hanging="360"/>
      </w:pPr>
    </w:lvl>
    <w:lvl w:ilvl="5" w:tplc="0409001B" w:tentative="1">
      <w:start w:val="1"/>
      <w:numFmt w:val="lowerRoman"/>
      <w:lvlText w:val="%6."/>
      <w:lvlJc w:val="right"/>
      <w:pPr>
        <w:ind w:left="4262" w:hanging="180"/>
      </w:pPr>
    </w:lvl>
    <w:lvl w:ilvl="6" w:tplc="0409000F" w:tentative="1">
      <w:start w:val="1"/>
      <w:numFmt w:val="decimal"/>
      <w:lvlText w:val="%7."/>
      <w:lvlJc w:val="left"/>
      <w:pPr>
        <w:ind w:left="4982" w:hanging="360"/>
      </w:pPr>
    </w:lvl>
    <w:lvl w:ilvl="7" w:tplc="04090019" w:tentative="1">
      <w:start w:val="1"/>
      <w:numFmt w:val="lowerLetter"/>
      <w:lvlText w:val="%8."/>
      <w:lvlJc w:val="left"/>
      <w:pPr>
        <w:ind w:left="5702" w:hanging="360"/>
      </w:pPr>
    </w:lvl>
    <w:lvl w:ilvl="8" w:tplc="0409001B" w:tentative="1">
      <w:start w:val="1"/>
      <w:numFmt w:val="lowerRoman"/>
      <w:lvlText w:val="%9."/>
      <w:lvlJc w:val="right"/>
      <w:pPr>
        <w:ind w:left="6422" w:hanging="180"/>
      </w:pPr>
    </w:lvl>
  </w:abstractNum>
  <w:abstractNum w:abstractNumId="13" w15:restartNumberingAfterBreak="0">
    <w:nsid w:val="48C32157"/>
    <w:multiLevelType w:val="hybridMultilevel"/>
    <w:tmpl w:val="A0EE5800"/>
    <w:lvl w:ilvl="0" w:tplc="08260832">
      <w:start w:val="1"/>
      <w:numFmt w:val="decimal"/>
      <w:lvlText w:val="(%1)"/>
      <w:lvlJc w:val="left"/>
      <w:pPr>
        <w:ind w:left="1041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4" w15:restartNumberingAfterBreak="0">
    <w:nsid w:val="4F6103DA"/>
    <w:multiLevelType w:val="hybridMultilevel"/>
    <w:tmpl w:val="104C9FE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C295D01"/>
    <w:multiLevelType w:val="hybridMultilevel"/>
    <w:tmpl w:val="312609CE"/>
    <w:lvl w:ilvl="0" w:tplc="2B4EABAA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753C544D"/>
    <w:multiLevelType w:val="hybridMultilevel"/>
    <w:tmpl w:val="B170A16C"/>
    <w:lvl w:ilvl="0" w:tplc="746489A4">
      <w:start w:val="1"/>
      <w:numFmt w:val="decimal"/>
      <w:lvlText w:val="%1."/>
      <w:lvlJc w:val="left"/>
      <w:pPr>
        <w:tabs>
          <w:tab w:val="num" w:pos="0"/>
        </w:tabs>
      </w:pPr>
      <w:rPr>
        <w:rFonts w:cs="Times New Roman" w:hint="default"/>
      </w:rPr>
    </w:lvl>
    <w:lvl w:ilvl="1" w:tplc="D3D4E8B2">
      <w:start w:val="1"/>
      <w:numFmt w:val="decimal"/>
      <w:lvlText w:val="(%2)"/>
      <w:lvlJc w:val="left"/>
      <w:pPr>
        <w:tabs>
          <w:tab w:val="num" w:pos="624"/>
        </w:tabs>
      </w:pPr>
      <w:rPr>
        <w:rFonts w:cs="Times New Roman" w:hint="default"/>
      </w:rPr>
    </w:lvl>
    <w:lvl w:ilvl="2" w:tplc="5D2AB1E4">
      <w:start w:val="1"/>
      <w:numFmt w:val="hebrew1"/>
      <w:lvlText w:val="(%3)"/>
      <w:lvlJc w:val="left"/>
      <w:pPr>
        <w:tabs>
          <w:tab w:val="num" w:pos="624"/>
        </w:tabs>
      </w:pPr>
      <w:rPr>
        <w:rFonts w:cs="Times New Roman" w:hint="default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</w:pPr>
      <w:rPr>
        <w:rFonts w:cs="Times New Roman" w:hint="default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/>
      </w:pPr>
      <w:rPr>
        <w:rFonts w:cs="Times New Roman"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 w15:restartNumberingAfterBreak="0">
    <w:nsid w:val="75C858E4"/>
    <w:multiLevelType w:val="hybridMultilevel"/>
    <w:tmpl w:val="882C6ED4"/>
    <w:lvl w:ilvl="0" w:tplc="4112A21E">
      <w:start w:val="1"/>
      <w:numFmt w:val="hebrew1"/>
      <w:lvlRestart w:val="0"/>
      <w:lvlText w:val="(%1)"/>
      <w:lvlJc w:val="left"/>
      <w:pPr>
        <w:tabs>
          <w:tab w:val="num" w:pos="624"/>
        </w:tabs>
      </w:pPr>
      <w:rPr>
        <w:rFonts w:cs="Times New Roman" w:hint="default"/>
      </w:rPr>
    </w:lvl>
    <w:lvl w:ilvl="1" w:tplc="49082BE6">
      <w:start w:val="1"/>
      <w:numFmt w:val="decimal"/>
      <w:lvlRestart w:val="0"/>
      <w:lvlText w:val="(%2)"/>
      <w:lvlJc w:val="left"/>
      <w:pPr>
        <w:tabs>
          <w:tab w:val="num" w:pos="1704"/>
        </w:tabs>
        <w:ind w:left="1080"/>
      </w:pPr>
      <w:rPr>
        <w:rFonts w:cs="Times New Roman" w:hint="default"/>
      </w:rPr>
    </w:lvl>
    <w:lvl w:ilvl="2" w:tplc="48C06176">
      <w:start w:val="1"/>
      <w:numFmt w:val="decimal"/>
      <w:lvlRestart w:val="0"/>
      <w:lvlText w:val="(%3)"/>
      <w:lvlJc w:val="left"/>
      <w:pPr>
        <w:tabs>
          <w:tab w:val="num" w:pos="2604"/>
        </w:tabs>
        <w:ind w:left="1980"/>
      </w:pPr>
      <w:rPr>
        <w:rFonts w:cs="Times New Roman"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 w15:restartNumberingAfterBreak="0">
    <w:nsid w:val="7B8C7284"/>
    <w:multiLevelType w:val="hybridMultilevel"/>
    <w:tmpl w:val="104C9FE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1"/>
  </w:num>
  <w:num w:numId="12">
    <w:abstractNumId w:val="16"/>
  </w:num>
  <w:num w:numId="13">
    <w:abstractNumId w:val="10"/>
  </w:num>
  <w:num w:numId="14">
    <w:abstractNumId w:val="17"/>
  </w:num>
  <w:num w:numId="15">
    <w:abstractNumId w:val="15"/>
  </w:num>
  <w:num w:numId="16">
    <w:abstractNumId w:val="12"/>
  </w:num>
  <w:num w:numId="17">
    <w:abstractNumId w:val="13"/>
  </w:num>
  <w:num w:numId="18">
    <w:abstractNumId w:val="18"/>
  </w:num>
  <w:num w:numId="19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stylePaneFormatFilter w:val="0002" w:allStyles="0" w:customStyles="1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OriginalName" w:val="tmp482240lsCopyOriginal.docx"/>
    <w:docVar w:name="StartMode" w:val="2"/>
  </w:docVars>
  <w:rsids>
    <w:rsidRoot w:val="00DB7060"/>
    <w:rsid w:val="0000131B"/>
    <w:rsid w:val="00015B27"/>
    <w:rsid w:val="00021A69"/>
    <w:rsid w:val="00040847"/>
    <w:rsid w:val="0004610A"/>
    <w:rsid w:val="00063A3E"/>
    <w:rsid w:val="00072CAC"/>
    <w:rsid w:val="0007681A"/>
    <w:rsid w:val="000A542E"/>
    <w:rsid w:val="000B1073"/>
    <w:rsid w:val="000C125C"/>
    <w:rsid w:val="000C3B64"/>
    <w:rsid w:val="000F5FF9"/>
    <w:rsid w:val="00102B6B"/>
    <w:rsid w:val="001052D4"/>
    <w:rsid w:val="0010644B"/>
    <w:rsid w:val="001108F8"/>
    <w:rsid w:val="0011356E"/>
    <w:rsid w:val="001207F8"/>
    <w:rsid w:val="00121924"/>
    <w:rsid w:val="001279A8"/>
    <w:rsid w:val="001418D1"/>
    <w:rsid w:val="0014195F"/>
    <w:rsid w:val="00152609"/>
    <w:rsid w:val="00153E1B"/>
    <w:rsid w:val="0017063B"/>
    <w:rsid w:val="00170C89"/>
    <w:rsid w:val="00172E9B"/>
    <w:rsid w:val="001843C0"/>
    <w:rsid w:val="001A0623"/>
    <w:rsid w:val="001A6B57"/>
    <w:rsid w:val="001C23B0"/>
    <w:rsid w:val="001D3234"/>
    <w:rsid w:val="001D7AAF"/>
    <w:rsid w:val="001E15BA"/>
    <w:rsid w:val="001F644C"/>
    <w:rsid w:val="00203A7F"/>
    <w:rsid w:val="00211E0D"/>
    <w:rsid w:val="00214428"/>
    <w:rsid w:val="0021633A"/>
    <w:rsid w:val="002200A1"/>
    <w:rsid w:val="002362BF"/>
    <w:rsid w:val="00241B97"/>
    <w:rsid w:val="002425D1"/>
    <w:rsid w:val="00246756"/>
    <w:rsid w:val="00251E58"/>
    <w:rsid w:val="00254605"/>
    <w:rsid w:val="00266D86"/>
    <w:rsid w:val="002728B4"/>
    <w:rsid w:val="0027293F"/>
    <w:rsid w:val="0027450A"/>
    <w:rsid w:val="00275626"/>
    <w:rsid w:val="0027600C"/>
    <w:rsid w:val="00281E3A"/>
    <w:rsid w:val="00292712"/>
    <w:rsid w:val="002957A0"/>
    <w:rsid w:val="002A487D"/>
    <w:rsid w:val="002B466F"/>
    <w:rsid w:val="002B61F4"/>
    <w:rsid w:val="002C2E29"/>
    <w:rsid w:val="002C3041"/>
    <w:rsid w:val="002D1EE3"/>
    <w:rsid w:val="002D437E"/>
    <w:rsid w:val="002D69AE"/>
    <w:rsid w:val="002E02BF"/>
    <w:rsid w:val="002F0F9F"/>
    <w:rsid w:val="002F1D80"/>
    <w:rsid w:val="00313C9E"/>
    <w:rsid w:val="00315938"/>
    <w:rsid w:val="00317312"/>
    <w:rsid w:val="003232A2"/>
    <w:rsid w:val="00325C14"/>
    <w:rsid w:val="00332369"/>
    <w:rsid w:val="00336A18"/>
    <w:rsid w:val="00361C38"/>
    <w:rsid w:val="00363CF6"/>
    <w:rsid w:val="0036422C"/>
    <w:rsid w:val="00365A3A"/>
    <w:rsid w:val="0036759D"/>
    <w:rsid w:val="003710F6"/>
    <w:rsid w:val="00374CE9"/>
    <w:rsid w:val="00386E88"/>
    <w:rsid w:val="00394113"/>
    <w:rsid w:val="00396585"/>
    <w:rsid w:val="003A22A5"/>
    <w:rsid w:val="003A3864"/>
    <w:rsid w:val="003B40A8"/>
    <w:rsid w:val="003B6FFF"/>
    <w:rsid w:val="003D33BC"/>
    <w:rsid w:val="003D6E38"/>
    <w:rsid w:val="003D74A0"/>
    <w:rsid w:val="003F1790"/>
    <w:rsid w:val="004033D8"/>
    <w:rsid w:val="004073F0"/>
    <w:rsid w:val="00412A7D"/>
    <w:rsid w:val="00416B4D"/>
    <w:rsid w:val="00417CFC"/>
    <w:rsid w:val="00422BEE"/>
    <w:rsid w:val="004314F1"/>
    <w:rsid w:val="00435B56"/>
    <w:rsid w:val="00441B0D"/>
    <w:rsid w:val="004436AC"/>
    <w:rsid w:val="004635D5"/>
    <w:rsid w:val="004A0244"/>
    <w:rsid w:val="004A06DC"/>
    <w:rsid w:val="004B24ED"/>
    <w:rsid w:val="004B6625"/>
    <w:rsid w:val="004C1578"/>
    <w:rsid w:val="004D0A4A"/>
    <w:rsid w:val="004D0A51"/>
    <w:rsid w:val="004D2D82"/>
    <w:rsid w:val="004D3876"/>
    <w:rsid w:val="004E4552"/>
    <w:rsid w:val="004E6468"/>
    <w:rsid w:val="004E6CDF"/>
    <w:rsid w:val="005072FD"/>
    <w:rsid w:val="0052564D"/>
    <w:rsid w:val="00532E69"/>
    <w:rsid w:val="005423EF"/>
    <w:rsid w:val="00544022"/>
    <w:rsid w:val="00553C9D"/>
    <w:rsid w:val="0055457D"/>
    <w:rsid w:val="00557638"/>
    <w:rsid w:val="00562A66"/>
    <w:rsid w:val="00581B5F"/>
    <w:rsid w:val="005874F9"/>
    <w:rsid w:val="005878D2"/>
    <w:rsid w:val="00591F4F"/>
    <w:rsid w:val="005A5334"/>
    <w:rsid w:val="005B064E"/>
    <w:rsid w:val="005D51AE"/>
    <w:rsid w:val="0062674B"/>
    <w:rsid w:val="006363B2"/>
    <w:rsid w:val="00644940"/>
    <w:rsid w:val="00661595"/>
    <w:rsid w:val="00680DCD"/>
    <w:rsid w:val="006818A9"/>
    <w:rsid w:val="006A2D81"/>
    <w:rsid w:val="006B0CEA"/>
    <w:rsid w:val="006B3ECD"/>
    <w:rsid w:val="006C1D0D"/>
    <w:rsid w:val="006C363C"/>
    <w:rsid w:val="006E6E7F"/>
    <w:rsid w:val="0070601E"/>
    <w:rsid w:val="00712C72"/>
    <w:rsid w:val="007179D6"/>
    <w:rsid w:val="00735FE9"/>
    <w:rsid w:val="00763CAA"/>
    <w:rsid w:val="00765F66"/>
    <w:rsid w:val="00770363"/>
    <w:rsid w:val="007740AF"/>
    <w:rsid w:val="0078664F"/>
    <w:rsid w:val="007B46EE"/>
    <w:rsid w:val="007B6A10"/>
    <w:rsid w:val="007C3FA6"/>
    <w:rsid w:val="007D585A"/>
    <w:rsid w:val="007D5A12"/>
    <w:rsid w:val="007E59F9"/>
    <w:rsid w:val="007E67F1"/>
    <w:rsid w:val="007E71AB"/>
    <w:rsid w:val="007F7D21"/>
    <w:rsid w:val="008021D1"/>
    <w:rsid w:val="00810BCD"/>
    <w:rsid w:val="00812C98"/>
    <w:rsid w:val="00814D92"/>
    <w:rsid w:val="0081774E"/>
    <w:rsid w:val="0082475F"/>
    <w:rsid w:val="0083181D"/>
    <w:rsid w:val="00837253"/>
    <w:rsid w:val="00843EB2"/>
    <w:rsid w:val="00853EEF"/>
    <w:rsid w:val="00865572"/>
    <w:rsid w:val="00874BBC"/>
    <w:rsid w:val="00876607"/>
    <w:rsid w:val="00884F83"/>
    <w:rsid w:val="00892135"/>
    <w:rsid w:val="00895449"/>
    <w:rsid w:val="00897879"/>
    <w:rsid w:val="008A6870"/>
    <w:rsid w:val="008B000F"/>
    <w:rsid w:val="008B08BA"/>
    <w:rsid w:val="008C2DDC"/>
    <w:rsid w:val="008C46D5"/>
    <w:rsid w:val="008C7516"/>
    <w:rsid w:val="008E6EC7"/>
    <w:rsid w:val="008F0D63"/>
    <w:rsid w:val="008F1308"/>
    <w:rsid w:val="008F2C35"/>
    <w:rsid w:val="008F6665"/>
    <w:rsid w:val="00904591"/>
    <w:rsid w:val="00905E5F"/>
    <w:rsid w:val="0091204F"/>
    <w:rsid w:val="00912124"/>
    <w:rsid w:val="00917595"/>
    <w:rsid w:val="009203DB"/>
    <w:rsid w:val="00923CD4"/>
    <w:rsid w:val="00930EFE"/>
    <w:rsid w:val="00933F30"/>
    <w:rsid w:val="00943386"/>
    <w:rsid w:val="009456B6"/>
    <w:rsid w:val="00957589"/>
    <w:rsid w:val="00966D06"/>
    <w:rsid w:val="009808DA"/>
    <w:rsid w:val="00982412"/>
    <w:rsid w:val="00983A8D"/>
    <w:rsid w:val="009A07DB"/>
    <w:rsid w:val="009A0DB8"/>
    <w:rsid w:val="009A37DA"/>
    <w:rsid w:val="009A5BEA"/>
    <w:rsid w:val="009A7257"/>
    <w:rsid w:val="009A7481"/>
    <w:rsid w:val="009D6E0A"/>
    <w:rsid w:val="009E1E33"/>
    <w:rsid w:val="009E386D"/>
    <w:rsid w:val="009E7420"/>
    <w:rsid w:val="009F154F"/>
    <w:rsid w:val="00A1215C"/>
    <w:rsid w:val="00A14672"/>
    <w:rsid w:val="00A26BD6"/>
    <w:rsid w:val="00A443CF"/>
    <w:rsid w:val="00A445F8"/>
    <w:rsid w:val="00A52A64"/>
    <w:rsid w:val="00A56F43"/>
    <w:rsid w:val="00A60F28"/>
    <w:rsid w:val="00A660AC"/>
    <w:rsid w:val="00A6611D"/>
    <w:rsid w:val="00A73361"/>
    <w:rsid w:val="00A82CB7"/>
    <w:rsid w:val="00A942C1"/>
    <w:rsid w:val="00AA0BE8"/>
    <w:rsid w:val="00AA2F03"/>
    <w:rsid w:val="00AA4FD2"/>
    <w:rsid w:val="00AB7EAC"/>
    <w:rsid w:val="00AC36F7"/>
    <w:rsid w:val="00AC3909"/>
    <w:rsid w:val="00AC63A4"/>
    <w:rsid w:val="00AD239E"/>
    <w:rsid w:val="00AD34ED"/>
    <w:rsid w:val="00B07D2F"/>
    <w:rsid w:val="00B10265"/>
    <w:rsid w:val="00B16A99"/>
    <w:rsid w:val="00B21211"/>
    <w:rsid w:val="00B35784"/>
    <w:rsid w:val="00B51ADC"/>
    <w:rsid w:val="00B620CD"/>
    <w:rsid w:val="00B62EEE"/>
    <w:rsid w:val="00B733A7"/>
    <w:rsid w:val="00B75C91"/>
    <w:rsid w:val="00B927BF"/>
    <w:rsid w:val="00B93340"/>
    <w:rsid w:val="00B975AD"/>
    <w:rsid w:val="00BC45FB"/>
    <w:rsid w:val="00BC7246"/>
    <w:rsid w:val="00BF148D"/>
    <w:rsid w:val="00BF14E9"/>
    <w:rsid w:val="00C0496D"/>
    <w:rsid w:val="00C23B1A"/>
    <w:rsid w:val="00C310EB"/>
    <w:rsid w:val="00C340F3"/>
    <w:rsid w:val="00C34DE2"/>
    <w:rsid w:val="00C47D45"/>
    <w:rsid w:val="00C5463F"/>
    <w:rsid w:val="00C55684"/>
    <w:rsid w:val="00C76238"/>
    <w:rsid w:val="00C9176A"/>
    <w:rsid w:val="00CA7575"/>
    <w:rsid w:val="00CA76F6"/>
    <w:rsid w:val="00CB33BE"/>
    <w:rsid w:val="00CF1AA2"/>
    <w:rsid w:val="00D10F53"/>
    <w:rsid w:val="00D171F4"/>
    <w:rsid w:val="00D17774"/>
    <w:rsid w:val="00D3301E"/>
    <w:rsid w:val="00D51BA0"/>
    <w:rsid w:val="00D54FBF"/>
    <w:rsid w:val="00D63620"/>
    <w:rsid w:val="00D72FE3"/>
    <w:rsid w:val="00D73212"/>
    <w:rsid w:val="00D8410D"/>
    <w:rsid w:val="00D867D7"/>
    <w:rsid w:val="00D900AB"/>
    <w:rsid w:val="00DA0899"/>
    <w:rsid w:val="00DB7060"/>
    <w:rsid w:val="00DB738F"/>
    <w:rsid w:val="00DE3153"/>
    <w:rsid w:val="00DF7CF9"/>
    <w:rsid w:val="00E01032"/>
    <w:rsid w:val="00E06736"/>
    <w:rsid w:val="00E11083"/>
    <w:rsid w:val="00E13C27"/>
    <w:rsid w:val="00E16E63"/>
    <w:rsid w:val="00E30BEC"/>
    <w:rsid w:val="00E33BBD"/>
    <w:rsid w:val="00E374F2"/>
    <w:rsid w:val="00E404FA"/>
    <w:rsid w:val="00E43E0C"/>
    <w:rsid w:val="00E45103"/>
    <w:rsid w:val="00E55A60"/>
    <w:rsid w:val="00E62778"/>
    <w:rsid w:val="00E63D38"/>
    <w:rsid w:val="00E665B9"/>
    <w:rsid w:val="00EA01E6"/>
    <w:rsid w:val="00EA0219"/>
    <w:rsid w:val="00EA3DE8"/>
    <w:rsid w:val="00EA758F"/>
    <w:rsid w:val="00ED4A6F"/>
    <w:rsid w:val="00ED6010"/>
    <w:rsid w:val="00EE3D2C"/>
    <w:rsid w:val="00EF154A"/>
    <w:rsid w:val="00EF3A3A"/>
    <w:rsid w:val="00EF79EA"/>
    <w:rsid w:val="00F06CE6"/>
    <w:rsid w:val="00F12043"/>
    <w:rsid w:val="00F16961"/>
    <w:rsid w:val="00F2546C"/>
    <w:rsid w:val="00F30128"/>
    <w:rsid w:val="00F33BC4"/>
    <w:rsid w:val="00F422D2"/>
    <w:rsid w:val="00F55AAB"/>
    <w:rsid w:val="00F628D6"/>
    <w:rsid w:val="00F653D7"/>
    <w:rsid w:val="00F66DAD"/>
    <w:rsid w:val="00F67051"/>
    <w:rsid w:val="00F71A06"/>
    <w:rsid w:val="00F76B5B"/>
    <w:rsid w:val="00F86A1E"/>
    <w:rsid w:val="00F91B70"/>
    <w:rsid w:val="00FA5E88"/>
    <w:rsid w:val="00FB016B"/>
    <w:rsid w:val="00FC1C75"/>
    <w:rsid w:val="00FC7E01"/>
    <w:rsid w:val="00FE2951"/>
    <w:rsid w:val="00FE69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  <w15:docId w15:val="{CF14D499-ACA3-4A5B-AA5B-FDC18F5212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MS Mincho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oa heading" w:semiHidden="1" w:unhideWhenUsed="1"/>
    <w:lsdException w:name="List 2" w:semiHidden="1" w:unhideWhenUsed="1"/>
    <w:lsdException w:name="Title" w:qFormat="1"/>
    <w:lsdException w:name="Default Paragraph Font" w:semiHidden="1" w:uiPriority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trong" w:qFormat="1"/>
    <w:lsdException w:name="Emphasis" w:qFormat="1"/>
    <w:lsdException w:name="Normal Table" w:semiHidden="1" w:unhideWhenUsed="1"/>
    <w:lsdException w:name="No List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75AD"/>
    <w:pPr>
      <w:widowControl w:val="0"/>
      <w:autoSpaceDE w:val="0"/>
      <w:autoSpaceDN w:val="0"/>
      <w:bidi/>
      <w:adjustRightInd w:val="0"/>
      <w:spacing w:before="102" w:line="204" w:lineRule="atLeast"/>
      <w:ind w:firstLine="340"/>
      <w:jc w:val="both"/>
      <w:textAlignment w:val="center"/>
    </w:pPr>
    <w:rPr>
      <w:rFonts w:ascii="Hadasa Roso SL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paragraphstyle">
    <w:name w:val="[No paragraph style]"/>
    <w:rsid w:val="00943386"/>
    <w:pPr>
      <w:widowControl w:val="0"/>
      <w:autoSpaceDE w:val="0"/>
      <w:autoSpaceDN w:val="0"/>
      <w:bidi/>
      <w:adjustRightInd w:val="0"/>
      <w:snapToGrid w:val="0"/>
      <w:spacing w:line="360" w:lineRule="auto"/>
      <w:textAlignment w:val="center"/>
    </w:pPr>
    <w:rPr>
      <w:rFonts w:ascii="Arial" w:hAnsi="Arial" w:cs="David"/>
      <w:color w:val="000000"/>
      <w:szCs w:val="26"/>
      <w:lang w:eastAsia="ja-JP"/>
    </w:rPr>
  </w:style>
  <w:style w:type="paragraph" w:customStyle="1" w:styleId="Cover1-Reshumot">
    <w:name w:val="Cover 1-Reshumot"/>
    <w:basedOn w:val="a"/>
    <w:rsid w:val="00B975AD"/>
    <w:pPr>
      <w:tabs>
        <w:tab w:val="left" w:pos="1191"/>
        <w:tab w:val="left" w:pos="1587"/>
      </w:tabs>
      <w:snapToGrid w:val="0"/>
      <w:spacing w:before="240" w:after="240" w:line="480" w:lineRule="auto"/>
      <w:ind w:firstLine="0"/>
      <w:jc w:val="center"/>
    </w:pPr>
    <w:rPr>
      <w:rFonts w:ascii="Arial" w:hAnsi="Arial" w:cs="David"/>
      <w:spacing w:val="0"/>
      <w:sz w:val="20"/>
      <w:szCs w:val="26"/>
    </w:rPr>
  </w:style>
  <w:style w:type="paragraph" w:customStyle="1" w:styleId="Cover2-HatzaotHok">
    <w:name w:val="Cover 2-HatzaotHok"/>
    <w:basedOn w:val="Cover1-Reshumot"/>
    <w:rsid w:val="00B975AD"/>
    <w:rPr>
      <w:sz w:val="36"/>
      <w:szCs w:val="52"/>
    </w:rPr>
  </w:style>
  <w:style w:type="paragraph" w:customStyle="1" w:styleId="Cover3-Haknesset">
    <w:name w:val="Cover 3-Haknesset"/>
    <w:basedOn w:val="Cover1-Reshumot"/>
    <w:rsid w:val="00B975AD"/>
    <w:rPr>
      <w:b/>
      <w:bCs/>
      <w:spacing w:val="60"/>
    </w:rPr>
  </w:style>
  <w:style w:type="paragraph" w:customStyle="1" w:styleId="Cover4-Date">
    <w:name w:val="Cover 4-Date"/>
    <w:basedOn w:val="a"/>
    <w:rsid w:val="00B975AD"/>
    <w:pPr>
      <w:pBdr>
        <w:bottom w:val="single" w:sz="4" w:space="0" w:color="auto"/>
      </w:pBdr>
      <w:tabs>
        <w:tab w:val="center" w:pos="4820"/>
        <w:tab w:val="right" w:pos="9639"/>
      </w:tabs>
      <w:snapToGrid w:val="0"/>
      <w:spacing w:before="240" w:after="240" w:line="360" w:lineRule="auto"/>
      <w:ind w:firstLine="0"/>
      <w:jc w:val="left"/>
    </w:pPr>
    <w:rPr>
      <w:rFonts w:ascii="Arial" w:hAnsi="Arial" w:cs="David"/>
      <w:spacing w:val="0"/>
      <w:sz w:val="20"/>
      <w:szCs w:val="26"/>
    </w:rPr>
  </w:style>
  <w:style w:type="paragraph" w:customStyle="1" w:styleId="TOC">
    <w:name w:val="TOC"/>
    <w:basedOn w:val="Noparagraphstyle"/>
    <w:rsid w:val="00943386"/>
    <w:pPr>
      <w:tabs>
        <w:tab w:val="left" w:leader="dot" w:pos="8789"/>
      </w:tabs>
      <w:spacing w:before="120"/>
      <w:ind w:left="284" w:right="284"/>
    </w:pPr>
  </w:style>
  <w:style w:type="paragraph" w:customStyle="1" w:styleId="TOCpg">
    <w:name w:val="TOC pg"/>
    <w:basedOn w:val="TOC"/>
    <w:rsid w:val="00943386"/>
    <w:pPr>
      <w:spacing w:after="120"/>
      <w:ind w:right="567"/>
      <w:jc w:val="right"/>
    </w:pPr>
  </w:style>
  <w:style w:type="paragraph" w:customStyle="1" w:styleId="HeadMitparsemetBaze">
    <w:name w:val="Head MitparsemetBaze"/>
    <w:basedOn w:val="a"/>
    <w:rsid w:val="00B975AD"/>
    <w:pPr>
      <w:keepNext/>
      <w:keepLines/>
      <w:pageBreakBefore/>
      <w:snapToGrid w:val="0"/>
      <w:spacing w:before="480" w:line="360" w:lineRule="auto"/>
      <w:ind w:firstLine="0"/>
    </w:pPr>
    <w:rPr>
      <w:rFonts w:ascii="Arial" w:hAnsi="Arial" w:cs="David"/>
      <w:b/>
      <w:bCs/>
      <w:spacing w:val="0"/>
      <w:sz w:val="20"/>
      <w:szCs w:val="26"/>
    </w:rPr>
  </w:style>
  <w:style w:type="paragraph" w:customStyle="1" w:styleId="HeadHatzaotHok">
    <w:name w:val="Head HatzaotHok"/>
    <w:basedOn w:val="a"/>
    <w:rsid w:val="00B975AD"/>
    <w:pPr>
      <w:keepNext/>
      <w:keepLines/>
      <w:snapToGrid w:val="0"/>
      <w:spacing w:before="240" w:line="360" w:lineRule="auto"/>
      <w:ind w:firstLine="0"/>
      <w:jc w:val="center"/>
    </w:pPr>
    <w:rPr>
      <w:rFonts w:ascii="Arial" w:hAnsi="Arial" w:cs="David"/>
      <w:b/>
      <w:bCs/>
      <w:spacing w:val="0"/>
      <w:sz w:val="20"/>
      <w:szCs w:val="26"/>
    </w:rPr>
  </w:style>
  <w:style w:type="paragraph" w:customStyle="1" w:styleId="HeadHatzaotHok4Futer">
    <w:name w:val="Head HatzaotHok4Futer"/>
    <w:basedOn w:val="HeadHatzaotHok"/>
    <w:rsid w:val="00B975AD"/>
    <w:pPr>
      <w:spacing w:before="120" w:after="120"/>
    </w:pPr>
    <w:rPr>
      <w:color w:val="FF0000"/>
      <w:w w:val="80"/>
    </w:rPr>
  </w:style>
  <w:style w:type="paragraph" w:styleId="a3">
    <w:name w:val="endnote text"/>
    <w:basedOn w:val="a"/>
    <w:link w:val="a4"/>
    <w:uiPriority w:val="99"/>
    <w:semiHidden/>
    <w:rsid w:val="00B975AD"/>
    <w:pPr>
      <w:ind w:left="227" w:hanging="227"/>
    </w:pPr>
    <w:rPr>
      <w:sz w:val="14"/>
      <w:szCs w:val="22"/>
    </w:rPr>
  </w:style>
  <w:style w:type="character" w:customStyle="1" w:styleId="a4">
    <w:name w:val="טקסט הערת סיום תו"/>
    <w:basedOn w:val="a0"/>
    <w:link w:val="a3"/>
    <w:uiPriority w:val="99"/>
    <w:semiHidden/>
    <w:locked/>
    <w:rPr>
      <w:rFonts w:ascii="Hadasa Roso SL" w:hAnsi="Hadasa Roso SL" w:cs="Hadasa Roso SL"/>
      <w:color w:val="000000"/>
      <w:spacing w:val="1"/>
      <w:lang w:val="x-none" w:eastAsia="ja-JP"/>
    </w:rPr>
  </w:style>
  <w:style w:type="paragraph" w:customStyle="1" w:styleId="TableText">
    <w:name w:val="Table Text"/>
    <w:basedOn w:val="a"/>
    <w:rsid w:val="00B975AD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hAnsi="Arial" w:cs="David"/>
      <w:spacing w:val="0"/>
      <w:sz w:val="20"/>
      <w:szCs w:val="26"/>
    </w:rPr>
  </w:style>
  <w:style w:type="paragraph" w:customStyle="1" w:styleId="TableSideHeading">
    <w:name w:val="Table SideHeading"/>
    <w:basedOn w:val="TableText"/>
    <w:rsid w:val="00B975AD"/>
  </w:style>
  <w:style w:type="paragraph" w:customStyle="1" w:styleId="TableBlock">
    <w:name w:val="Table Block"/>
    <w:basedOn w:val="TableText"/>
    <w:rsid w:val="00B975AD"/>
    <w:pPr>
      <w:ind w:right="0"/>
      <w:jc w:val="both"/>
    </w:pPr>
  </w:style>
  <w:style w:type="paragraph" w:customStyle="1" w:styleId="TableHead">
    <w:name w:val="Table Head"/>
    <w:basedOn w:val="TableText"/>
    <w:rsid w:val="00B975AD"/>
    <w:pPr>
      <w:ind w:right="0"/>
      <w:jc w:val="center"/>
    </w:pPr>
    <w:rPr>
      <w:b/>
      <w:bCs/>
    </w:rPr>
  </w:style>
  <w:style w:type="paragraph" w:customStyle="1" w:styleId="TableText2">
    <w:name w:val="Table Text2"/>
    <w:basedOn w:val="TableText"/>
    <w:rsid w:val="00943386"/>
  </w:style>
  <w:style w:type="paragraph" w:customStyle="1" w:styleId="TableInnerSideHeading">
    <w:name w:val="Table InnerSideHeading"/>
    <w:basedOn w:val="TableSideHeading"/>
    <w:rsid w:val="00B975AD"/>
  </w:style>
  <w:style w:type="paragraph" w:customStyle="1" w:styleId="Hesber">
    <w:name w:val="Hesber"/>
    <w:basedOn w:val="a"/>
    <w:rsid w:val="00B975AD"/>
    <w:pPr>
      <w:snapToGrid w:val="0"/>
      <w:spacing w:before="0" w:line="360" w:lineRule="auto"/>
    </w:pPr>
    <w:rPr>
      <w:rFonts w:ascii="Arial" w:hAnsi="Arial" w:cs="David"/>
      <w:spacing w:val="0"/>
      <w:sz w:val="20"/>
      <w:szCs w:val="26"/>
    </w:rPr>
  </w:style>
  <w:style w:type="paragraph" w:styleId="a5">
    <w:name w:val="footnote text"/>
    <w:basedOn w:val="a"/>
    <w:link w:val="a6"/>
    <w:autoRedefine/>
    <w:semiHidden/>
    <w:rsid w:val="00B975AD"/>
    <w:pPr>
      <w:snapToGrid w:val="0"/>
      <w:spacing w:before="0" w:line="240" w:lineRule="auto"/>
      <w:ind w:left="227" w:hanging="227"/>
      <w:jc w:val="left"/>
    </w:pPr>
    <w:rPr>
      <w:rFonts w:ascii="Arial" w:hAnsi="Arial" w:cs="David"/>
      <w:spacing w:val="0"/>
      <w:sz w:val="14"/>
      <w:szCs w:val="20"/>
    </w:rPr>
  </w:style>
  <w:style w:type="character" w:customStyle="1" w:styleId="a6">
    <w:name w:val="טקסט הערת שוליים תו"/>
    <w:basedOn w:val="a0"/>
    <w:link w:val="a5"/>
    <w:semiHidden/>
    <w:locked/>
    <w:rPr>
      <w:rFonts w:ascii="Hadasa Roso SL" w:hAnsi="Hadasa Roso SL" w:cs="Hadasa Roso SL"/>
      <w:color w:val="000000"/>
      <w:spacing w:val="1"/>
      <w:lang w:val="x-none" w:eastAsia="ja-JP"/>
    </w:rPr>
  </w:style>
  <w:style w:type="character" w:styleId="a7">
    <w:name w:val="footnote reference"/>
    <w:aliases w:val="Footnote Reference"/>
    <w:basedOn w:val="a0"/>
    <w:semiHidden/>
    <w:rsid w:val="00B975AD"/>
    <w:rPr>
      <w:rFonts w:cs="Times New Roman"/>
      <w:vertAlign w:val="superscript"/>
    </w:rPr>
  </w:style>
  <w:style w:type="paragraph" w:customStyle="1" w:styleId="HesberHeading">
    <w:name w:val="Hesber Heading"/>
    <w:basedOn w:val="Hesber"/>
    <w:rsid w:val="00B975AD"/>
    <w:pPr>
      <w:tabs>
        <w:tab w:val="left" w:pos="624"/>
        <w:tab w:val="left" w:pos="1247"/>
      </w:tabs>
      <w:ind w:firstLine="0"/>
    </w:pPr>
    <w:rPr>
      <w:b/>
      <w:bCs/>
    </w:rPr>
  </w:style>
  <w:style w:type="paragraph" w:customStyle="1" w:styleId="HesberWriters">
    <w:name w:val="Hesber Writers"/>
    <w:basedOn w:val="Hesber"/>
    <w:rsid w:val="00B975AD"/>
    <w:pPr>
      <w:spacing w:before="120" w:after="6000"/>
      <w:ind w:left="1418" w:firstLine="0"/>
      <w:jc w:val="right"/>
    </w:pPr>
    <w:rPr>
      <w:b/>
      <w:bCs/>
    </w:rPr>
  </w:style>
  <w:style w:type="paragraph" w:customStyle="1" w:styleId="Hesber1st">
    <w:name w:val="Hesber 1st"/>
    <w:basedOn w:val="Hesber"/>
    <w:rsid w:val="00B975AD"/>
    <w:pPr>
      <w:tabs>
        <w:tab w:val="left" w:pos="680"/>
        <w:tab w:val="left" w:pos="1020"/>
      </w:tabs>
      <w:ind w:firstLine="0"/>
    </w:pPr>
  </w:style>
  <w:style w:type="character" w:styleId="a8">
    <w:name w:val="endnote reference"/>
    <w:basedOn w:val="a0"/>
    <w:uiPriority w:val="99"/>
    <w:semiHidden/>
    <w:rsid w:val="00B975AD"/>
    <w:rPr>
      <w:rFonts w:cs="Times New Roman"/>
      <w:vertAlign w:val="superscript"/>
    </w:rPr>
  </w:style>
  <w:style w:type="paragraph" w:customStyle="1" w:styleId="TableBlockOutdent">
    <w:name w:val="Table BlockOutdent"/>
    <w:basedOn w:val="TableBlock"/>
    <w:rsid w:val="00B975AD"/>
    <w:pPr>
      <w:ind w:left="624" w:hanging="624"/>
    </w:pPr>
  </w:style>
  <w:style w:type="paragraph" w:styleId="a9">
    <w:name w:val="header"/>
    <w:basedOn w:val="a"/>
    <w:link w:val="aa"/>
    <w:uiPriority w:val="99"/>
    <w:rsid w:val="00B975AD"/>
    <w:pPr>
      <w:tabs>
        <w:tab w:val="center" w:pos="4153"/>
        <w:tab w:val="right" w:pos="8306"/>
      </w:tabs>
    </w:pPr>
  </w:style>
  <w:style w:type="character" w:customStyle="1" w:styleId="aa">
    <w:name w:val="כותרת עליונה תו"/>
    <w:basedOn w:val="a0"/>
    <w:link w:val="a9"/>
    <w:uiPriority w:val="99"/>
    <w:semiHidden/>
    <w:locked/>
    <w:rPr>
      <w:rFonts w:ascii="Hadasa Roso SL" w:hAnsi="Hadasa Roso SL" w:cs="Hadasa Roso SL"/>
      <w:color w:val="000000"/>
      <w:spacing w:val="1"/>
      <w:sz w:val="17"/>
      <w:szCs w:val="17"/>
      <w:lang w:val="x-none" w:eastAsia="ja-JP"/>
    </w:rPr>
  </w:style>
  <w:style w:type="paragraph" w:styleId="ab">
    <w:name w:val="footer"/>
    <w:basedOn w:val="a"/>
    <w:link w:val="ac"/>
    <w:uiPriority w:val="99"/>
    <w:rsid w:val="00B975AD"/>
    <w:pPr>
      <w:tabs>
        <w:tab w:val="center" w:pos="4153"/>
        <w:tab w:val="right" w:pos="8306"/>
      </w:tabs>
    </w:pPr>
  </w:style>
  <w:style w:type="character" w:customStyle="1" w:styleId="ac">
    <w:name w:val="כותרת תחתונה תו"/>
    <w:basedOn w:val="a0"/>
    <w:link w:val="ab"/>
    <w:uiPriority w:val="99"/>
    <w:semiHidden/>
    <w:locked/>
    <w:rPr>
      <w:rFonts w:ascii="Hadasa Roso SL" w:hAnsi="Hadasa Roso SL" w:cs="Hadasa Roso SL"/>
      <w:color w:val="000000"/>
      <w:spacing w:val="1"/>
      <w:sz w:val="17"/>
      <w:szCs w:val="17"/>
      <w:lang w:val="x-none" w:eastAsia="ja-JP"/>
    </w:rPr>
  </w:style>
  <w:style w:type="paragraph" w:customStyle="1" w:styleId="HeadDivreiHesber">
    <w:name w:val="Head DivreiHesber"/>
    <w:basedOn w:val="a"/>
    <w:rsid w:val="00B975AD"/>
    <w:pPr>
      <w:snapToGrid w:val="0"/>
      <w:spacing w:before="360" w:after="120" w:line="360" w:lineRule="auto"/>
      <w:ind w:firstLine="0"/>
      <w:jc w:val="center"/>
    </w:pPr>
    <w:rPr>
      <w:rFonts w:ascii="Arial" w:hAnsi="Arial" w:cs="David"/>
      <w:b/>
      <w:spacing w:val="40"/>
      <w:sz w:val="20"/>
      <w:szCs w:val="26"/>
    </w:rPr>
  </w:style>
  <w:style w:type="paragraph" w:customStyle="1" w:styleId="Ragil">
    <w:name w:val="Ragil"/>
    <w:basedOn w:val="a"/>
    <w:rsid w:val="00B975AD"/>
    <w:pPr>
      <w:snapToGrid w:val="0"/>
      <w:spacing w:before="0" w:line="360" w:lineRule="auto"/>
      <w:jc w:val="left"/>
    </w:pPr>
    <w:rPr>
      <w:rFonts w:ascii="Arial" w:hAnsi="Arial" w:cs="David"/>
      <w:spacing w:val="0"/>
      <w:sz w:val="20"/>
      <w:szCs w:val="26"/>
    </w:rPr>
  </w:style>
  <w:style w:type="paragraph" w:styleId="ad">
    <w:name w:val="Title"/>
    <w:basedOn w:val="a"/>
    <w:link w:val="ae"/>
    <w:uiPriority w:val="10"/>
    <w:qFormat/>
    <w:rsid w:val="00943386"/>
    <w:pPr>
      <w:jc w:val="center"/>
    </w:pPr>
    <w:rPr>
      <w:rFonts w:cs="David"/>
      <w:b/>
      <w:bCs/>
      <w:sz w:val="28"/>
      <w:szCs w:val="28"/>
      <w:u w:val="single"/>
    </w:rPr>
  </w:style>
  <w:style w:type="character" w:customStyle="1" w:styleId="ae">
    <w:name w:val="כותרת טקסט תו"/>
    <w:basedOn w:val="a0"/>
    <w:link w:val="ad"/>
    <w:uiPriority w:val="10"/>
    <w:locked/>
    <w:rPr>
      <w:rFonts w:asciiTheme="majorHAnsi" w:eastAsiaTheme="majorEastAsia" w:hAnsiTheme="majorHAnsi" w:cs="Times New Roman"/>
      <w:b/>
      <w:bCs/>
      <w:color w:val="000000"/>
      <w:spacing w:val="1"/>
      <w:kern w:val="28"/>
      <w:sz w:val="32"/>
      <w:szCs w:val="32"/>
      <w:lang w:val="x-none" w:eastAsia="ja-JP"/>
    </w:rPr>
  </w:style>
  <w:style w:type="character" w:styleId="af">
    <w:name w:val="page number"/>
    <w:basedOn w:val="a0"/>
    <w:uiPriority w:val="99"/>
    <w:rsid w:val="00B975AD"/>
    <w:rPr>
      <w:rFonts w:cs="Times New Roman"/>
    </w:rPr>
  </w:style>
  <w:style w:type="paragraph" w:customStyle="1" w:styleId="David">
    <w:name w:val="רגיל + (עברית ושפות אחרות) David"/>
    <w:aliases w:val="‏13 נק',מודגש,אחרי:  6 נק'"/>
    <w:basedOn w:val="a"/>
    <w:rsid w:val="001207F8"/>
    <w:pPr>
      <w:ind w:firstLine="0"/>
      <w:jc w:val="left"/>
    </w:pPr>
    <w:rPr>
      <w:rFonts w:cs="David"/>
      <w:sz w:val="26"/>
      <w:szCs w:val="26"/>
    </w:rPr>
  </w:style>
  <w:style w:type="paragraph" w:styleId="af0">
    <w:name w:val="Balloon Text"/>
    <w:basedOn w:val="a"/>
    <w:link w:val="af1"/>
    <w:uiPriority w:val="99"/>
    <w:semiHidden/>
    <w:unhideWhenUsed/>
    <w:rsid w:val="00325C14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טקסט בלונים תו"/>
    <w:basedOn w:val="a0"/>
    <w:link w:val="af0"/>
    <w:uiPriority w:val="99"/>
    <w:semiHidden/>
    <w:locked/>
    <w:rsid w:val="00325C14"/>
    <w:rPr>
      <w:rFonts w:ascii="Tahoma" w:hAnsi="Tahoma" w:cs="Tahoma"/>
      <w:color w:val="000000"/>
      <w:spacing w:val="1"/>
      <w:sz w:val="16"/>
      <w:szCs w:val="16"/>
      <w:lang w:val="x-none" w:eastAsia="ja-JP"/>
    </w:rPr>
  </w:style>
  <w:style w:type="paragraph" w:customStyle="1" w:styleId="P00">
    <w:name w:val="P00"/>
    <w:link w:val="P000"/>
    <w:rsid w:val="00661595"/>
    <w:pPr>
      <w:widowControl w:val="0"/>
      <w:tabs>
        <w:tab w:val="left" w:pos="624"/>
        <w:tab w:val="left" w:pos="1021"/>
        <w:tab w:val="left" w:pos="1474"/>
        <w:tab w:val="left" w:pos="1928"/>
        <w:tab w:val="left" w:pos="2381"/>
        <w:tab w:val="left" w:pos="2835"/>
        <w:tab w:val="right" w:leader="dot" w:pos="6259"/>
      </w:tabs>
      <w:suppressAutoHyphens/>
      <w:autoSpaceDE w:val="0"/>
      <w:autoSpaceDN w:val="0"/>
      <w:bidi/>
      <w:spacing w:before="60"/>
      <w:ind w:left="2835"/>
      <w:jc w:val="both"/>
    </w:pPr>
    <w:rPr>
      <w:rFonts w:cs="FrankRuehl"/>
      <w:noProof/>
      <w:szCs w:val="26"/>
      <w:lang w:eastAsia="he-IL"/>
    </w:rPr>
  </w:style>
  <w:style w:type="character" w:customStyle="1" w:styleId="default">
    <w:name w:val="default"/>
    <w:basedOn w:val="a0"/>
    <w:rsid w:val="00661595"/>
    <w:rPr>
      <w:rFonts w:ascii="Times New Roman" w:hAnsi="Times New Roman" w:cs="Times New Roman"/>
      <w:sz w:val="26"/>
      <w:szCs w:val="26"/>
    </w:rPr>
  </w:style>
  <w:style w:type="paragraph" w:customStyle="1" w:styleId="P22">
    <w:name w:val="P22"/>
    <w:basedOn w:val="P00"/>
    <w:rsid w:val="00557638"/>
    <w:pPr>
      <w:tabs>
        <w:tab w:val="clear" w:pos="624"/>
        <w:tab w:val="clear" w:pos="1021"/>
      </w:tabs>
      <w:ind w:right="1021"/>
    </w:pPr>
    <w:rPr>
      <w:rFonts w:eastAsia="Times New Roman"/>
    </w:rPr>
  </w:style>
  <w:style w:type="character" w:customStyle="1" w:styleId="P000">
    <w:name w:val="P00 תו"/>
    <w:basedOn w:val="a0"/>
    <w:link w:val="P00"/>
    <w:rsid w:val="00F422D2"/>
    <w:rPr>
      <w:rFonts w:cs="FrankRuehl"/>
      <w:noProof/>
      <w:szCs w:val="26"/>
      <w:lang w:eastAsia="he-I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95866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601458-498F-437E-B5FE-CECAE772E91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7245CB16-C3E9-44A8-9C2C-0CB642F9EF6C}"/>
</file>

<file path=customXml/itemProps3.xml><?xml version="1.0" encoding="utf-8"?>
<ds:datastoreItem xmlns:ds="http://schemas.openxmlformats.org/officeDocument/2006/customXml" ds:itemID="{53CDC32B-DD97-493E-9196-3EF77D6F9C7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96F89F0D-CAD5-4BBF-8DD2-605A5309CD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392</Words>
  <Characters>1962</Characters>
  <Application>Microsoft Office Word</Application>
  <DocSecurity>0</DocSecurity>
  <Lines>16</Lines>
  <Paragraphs>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הצעת חוק הגנת הצרכן (תיקון - עוסק שאינו ספק), התשע"ז-2016</vt:lpstr>
      <vt:lpstr>הצעת חוק הגנת הצרכן (תיקון - עוסק שאינו ספק), התשע"ז-2016</vt:lpstr>
    </vt:vector>
  </TitlesOfParts>
  <Company>Knesset</Company>
  <LinksUpToDate>false</LinksUpToDate>
  <CharactersWithSpaces>2350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הצעת חוק הגנת הצרכן (תיקון - עוסק שאינו ספק), התשע"ז-2016</dc:title>
  <dc:subject/>
  <dc:creator>מיקה צור</dc:creator>
  <cp:keywords/>
  <dc:description/>
  <cp:lastModifiedBy>כוכי שבתאי</cp:lastModifiedBy>
  <cp:revision>2</cp:revision>
  <cp:lastPrinted>2017-10-29T09:17:00Z</cp:lastPrinted>
  <dcterms:created xsi:type="dcterms:W3CDTF">2017-10-29T09:17:00Z</dcterms:created>
  <dcterms:modified xsi:type="dcterms:W3CDTF">2017-10-29T09:17:00Z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_dlc_DocIdItemGuid">
    <vt:lpwstr>8badafff-95aa-4718-b074-a2d35988ffa8</vt:lpwstr>
  </property>
  <property fmtid="{D5CDD505-2E9C-101B-9397-08002B2CF9AE}" pid="4" name="SanhedrinDocumentType">
    <vt:r8>88</vt:r8>
  </property>
  <property fmtid="{D5CDD505-2E9C-101B-9397-08002B2CF9AE}" pid="5" name="SanhedrinItemID">
    <vt:r8>2021972</vt:r8>
  </property>
  <property fmtid="{D5CDD505-2E9C-101B-9397-08002B2CF9AE}" pid="6" name="Autonumber">
    <vt:lpwstr>350631</vt:lpwstr>
  </property>
  <property fmtid="{D5CDD505-2E9C-101B-9397-08002B2CF9AE}" pid="7" name="title">
    <vt:lpwstr>הצעת חוק הגנת הצרכן (תיקון - עוסק שאינו ספק), התשע"ז-2016</vt:lpwstr>
  </property>
  <property fmtid="{D5CDD505-2E9C-101B-9397-08002B2CF9AE}" pid="8" name="SDAuthor">
    <vt:lpwstr>יוחאי רביבו</vt:lpwstr>
  </property>
  <property fmtid="{D5CDD505-2E9C-101B-9397-08002B2CF9AE}" pid="9" name="SDDocDate">
    <vt:lpwstr>2016-10-31T16:19:00+02:00</vt:lpwstr>
  </property>
  <property fmtid="{D5CDD505-2E9C-101B-9397-08002B2CF9AE}" pid="10" name="LSITEMID">
    <vt:lpwstr>577135</vt:lpwstr>
  </property>
  <property fmtid="{D5CDD505-2E9C-101B-9397-08002B2CF9AE}" pid="11" name="LSSUBJECT">
    <vt:lpwstr>הצעת חוק הגנת הצרכן (תיקון - עוסק שאינו ספק), התשע"ז-2016</vt:lpwstr>
  </property>
  <property fmtid="{D5CDD505-2E9C-101B-9397-08002B2CF9AE}" pid="12" name="LSKNESSETID">
    <vt:lpwstr>20</vt:lpwstr>
  </property>
  <property fmtid="{D5CDD505-2E9C-101B-9397-08002B2CF9AE}" pid="13" name="USNAME">
    <vt:lpwstr> </vt:lpwstr>
  </property>
  <property fmtid="{D5CDD505-2E9C-101B-9397-08002B2CF9AE}" pid="14" name="DTCOUNTER">
    <vt:lpwstr>867189</vt:lpwstr>
  </property>
  <property fmtid="{D5CDD505-2E9C-101B-9397-08002B2CF9AE}" pid="15" name="תאריך הנחה">
    <vt:lpwstr>10/31/2016</vt:lpwstr>
  </property>
  <property fmtid="{D5CDD505-2E9C-101B-9397-08002B2CF9AE}" pid="16" name="PLACE_DATE">
    <vt:lpwstr>31/10/2016 00:00:00</vt:lpwstr>
  </property>
  <property fmtid="{D5CDD505-2E9C-101B-9397-08002B2CF9AE}" pid="17" name="VAADA">
    <vt:lpwstr/>
  </property>
  <property fmtid="{D5CDD505-2E9C-101B-9397-08002B2CF9AE}" pid="18" name="YOZEMHATZAA_CHAKLIST">
    <vt:lpwstr>בצלאל סמוטריץ', אמיר אוחנה, יעקב מרגי, איתן כבל, שולי מועלם-רפאלי, דוד אמסלם, רועי פולקמן</vt:lpwstr>
  </property>
  <property fmtid="{D5CDD505-2E9C-101B-9397-08002B2CF9AE}" pid="19" name="YOZEMID">
    <vt:lpwstr>000030055, 000030369, 000001056, 000000445, 000023553, 000023564, 000030084</vt:lpwstr>
  </property>
  <property fmtid="{D5CDD505-2E9C-101B-9397-08002B2CF9AE}" pid="20" name="PROPOSER">
    <vt:lpwstr/>
  </property>
  <property fmtid="{D5CDD505-2E9C-101B-9397-08002B2CF9AE}" pid="21" name="PROPOSERID">
    <vt:lpwstr/>
  </property>
  <property fmtid="{D5CDD505-2E9C-101B-9397-08002B2CF9AE}" pid="22" name="MISHATZAATCHOK">
    <vt:lpwstr>פ/3407/20</vt:lpwstr>
  </property>
</Properties>
</file>