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25" w:rsidRPr="007B1925" w:rsidRDefault="007B1925" w:rsidP="007B1925">
      <w:pPr>
        <w:spacing w:before="440" w:after="120" w:line="240" w:lineRule="auto"/>
        <w:ind w:right="113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B1925">
        <w:rPr>
          <w:rFonts w:ascii="Times New Roman" w:eastAsia="Times New Roman" w:hAnsi="Times New Roman" w:cs="FrankRuehl" w:hint="cs"/>
          <w:color w:val="000000"/>
          <w:sz w:val="32"/>
          <w:szCs w:val="32"/>
          <w:rtl/>
        </w:rPr>
        <w:t>חוק-יסוד: הכנסת</w:t>
      </w:r>
    </w:p>
    <w:p w:rsidR="007B1925" w:rsidRPr="007B1925" w:rsidRDefault="007B1925" w:rsidP="007B1925">
      <w:pPr>
        <w:spacing w:after="0" w:line="293" w:lineRule="atLeast"/>
        <w:rPr>
          <w:rFonts w:ascii="Times New Roman" w:eastAsia="Times New Roman" w:hAnsi="Times New Roman" w:cs="Times New Roman"/>
          <w:color w:val="000000"/>
          <w:rtl/>
        </w:rPr>
      </w:pPr>
      <w:r w:rsidRPr="007B1925">
        <w:rPr>
          <w:rFonts w:ascii="Times New Roman" w:eastAsia="Times New Roman" w:hAnsi="Times New Roman" w:cs="Miriam" w:hint="cs"/>
          <w:color w:val="000000"/>
          <w:rtl/>
        </w:rPr>
        <w:t>דיני חוקה </w:t>
      </w:r>
      <w:r w:rsidRPr="007B1925">
        <w:rPr>
          <w:rFonts w:ascii="Times New Roman" w:eastAsia="Times New Roman" w:hAnsi="Times New Roman" w:cs="FrankRuehl" w:hint="cs"/>
          <w:color w:val="000000"/>
          <w:sz w:val="26"/>
          <w:szCs w:val="26"/>
          <w:rtl/>
        </w:rPr>
        <w:t> – חוקי יסוד</w:t>
      </w:r>
    </w:p>
    <w:p w:rsidR="007B1925" w:rsidRPr="007B1925" w:rsidRDefault="007B1925" w:rsidP="007B1925">
      <w:pPr>
        <w:spacing w:after="0" w:line="293" w:lineRule="atLeast"/>
        <w:rPr>
          <w:rFonts w:ascii="Times New Roman" w:eastAsia="Times New Roman" w:hAnsi="Times New Roman" w:cs="Times New Roman"/>
          <w:color w:val="000000"/>
          <w:rtl/>
        </w:rPr>
      </w:pPr>
      <w:r w:rsidRPr="007B1925">
        <w:rPr>
          <w:rFonts w:ascii="Times New Roman" w:eastAsia="Times New Roman" w:hAnsi="Times New Roman" w:cs="Miriam" w:hint="cs"/>
          <w:color w:val="000000"/>
          <w:rtl/>
        </w:rPr>
        <w:t>דיני חוקה </w:t>
      </w:r>
      <w:r w:rsidRPr="007B1925">
        <w:rPr>
          <w:rFonts w:ascii="Times New Roman" w:eastAsia="Times New Roman" w:hAnsi="Times New Roman" w:cs="FrankRuehl" w:hint="cs"/>
          <w:color w:val="000000"/>
          <w:sz w:val="26"/>
          <w:szCs w:val="26"/>
          <w:rtl/>
        </w:rPr>
        <w:t> – כנסת</w:t>
      </w:r>
    </w:p>
    <w:p w:rsidR="001843D9" w:rsidRDefault="001843D9">
      <w:pPr>
        <w:rPr>
          <w:rFonts w:hint="cs"/>
          <w:rtl/>
        </w:rPr>
      </w:pP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rPr>
          <w:color w:val="000000"/>
          <w:sz w:val="20"/>
          <w:szCs w:val="20"/>
        </w:rPr>
      </w:pPr>
      <w:r>
        <w:rPr>
          <w:rStyle w:val="big-number"/>
          <w:rFonts w:ascii="Time New Roman" w:hAnsi="Time New Roman"/>
          <w:b/>
          <w:bCs/>
          <w:color w:val="008000"/>
          <w:sz w:val="27"/>
          <w:szCs w:val="27"/>
          <w:rtl/>
        </w:rPr>
        <w:t>ועדות חקירה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jc w:val="both"/>
        <w:rPr>
          <w:color w:val="000000"/>
          <w:sz w:val="20"/>
          <w:szCs w:val="20"/>
          <w:rtl/>
        </w:rPr>
      </w:pPr>
      <w:r>
        <w:rPr>
          <w:rStyle w:val="big-number"/>
          <w:rFonts w:cs="Miriam" w:hint="cs"/>
          <w:color w:val="000000"/>
          <w:sz w:val="32"/>
          <w:szCs w:val="32"/>
          <w:rtl/>
        </w:rPr>
        <w:t>22.  </w:t>
      </w:r>
      <w:r>
        <w:rPr>
          <w:rStyle w:val="default"/>
          <w:rFonts w:cs="FrankRuehl" w:hint="cs"/>
          <w:color w:val="000000"/>
          <w:sz w:val="26"/>
          <w:szCs w:val="26"/>
          <w:rtl/>
        </w:rPr>
        <w:t>הכנסת רשאית למנות ועדות חקירה, אם על ידי הסמכת אחת הועדות הקבועות ואם על ידי בחירת ועדה מבין חבריה, כדי לחקור דברים שהכנסת קבעה; סמכויותיה ותפקידיה של ועדת חקירה ייקבעו על ידי הכנסת; בכל ועדת חקירה יהיו גם נציגים של סיעות שאינן משתתפות בממשלה, לפי יחסי הכוחות של הסיעות בכנסת.</w:t>
      </w:r>
    </w:p>
    <w:p w:rsidR="007B1925" w:rsidRDefault="007B1925">
      <w:pPr>
        <w:rPr>
          <w:rFonts w:hint="cs"/>
          <w:rtl/>
        </w:rPr>
      </w:pPr>
    </w:p>
    <w:p w:rsidR="007B1925" w:rsidRDefault="001F7CEE">
      <w:pPr>
        <w:rPr>
          <w:rFonts w:hint="cs"/>
          <w:rtl/>
        </w:rPr>
      </w:pPr>
      <w:r>
        <w:rPr>
          <w:rFonts w:hint="cs"/>
          <w:rtl/>
        </w:rPr>
        <w:t>----------------------------------------------------------------------------------------------</w:t>
      </w:r>
      <w:bookmarkStart w:id="0" w:name="_GoBack"/>
      <w:bookmarkEnd w:id="0"/>
    </w:p>
    <w:p w:rsidR="007B1925" w:rsidRPr="007B1925" w:rsidRDefault="007B1925" w:rsidP="007B1925">
      <w:pPr>
        <w:spacing w:before="440" w:after="120" w:line="240" w:lineRule="auto"/>
        <w:ind w:right="113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B1925">
        <w:rPr>
          <w:rFonts w:ascii="Times New Roman" w:eastAsia="Times New Roman" w:hAnsi="Times New Roman" w:cs="FrankRuehl" w:hint="cs"/>
          <w:color w:val="000000"/>
          <w:sz w:val="32"/>
          <w:szCs w:val="32"/>
          <w:rtl/>
        </w:rPr>
        <w:t>חוק הכנסת, תשנ"ד-1994</w:t>
      </w:r>
    </w:p>
    <w:p w:rsidR="007B1925" w:rsidRPr="007B1925" w:rsidRDefault="007B1925" w:rsidP="007B1925">
      <w:pPr>
        <w:spacing w:after="0" w:line="293" w:lineRule="atLeast"/>
        <w:rPr>
          <w:rFonts w:ascii="Times New Roman" w:eastAsia="Times New Roman" w:hAnsi="Times New Roman" w:cs="Times New Roman"/>
          <w:color w:val="000000"/>
          <w:rtl/>
        </w:rPr>
      </w:pPr>
      <w:r w:rsidRPr="007B1925">
        <w:rPr>
          <w:rFonts w:ascii="Times New Roman" w:eastAsia="Times New Roman" w:hAnsi="Times New Roman" w:cs="Miriam" w:hint="cs"/>
          <w:color w:val="000000"/>
          <w:rtl/>
        </w:rPr>
        <w:t>דיני חוקה </w:t>
      </w:r>
      <w:r w:rsidRPr="007B1925">
        <w:rPr>
          <w:rFonts w:ascii="Times New Roman" w:eastAsia="Times New Roman" w:hAnsi="Times New Roman" w:cs="FrankRuehl" w:hint="cs"/>
          <w:color w:val="000000"/>
          <w:sz w:val="26"/>
          <w:szCs w:val="26"/>
          <w:rtl/>
        </w:rPr>
        <w:t> – כנסת</w:t>
      </w:r>
    </w:p>
    <w:p w:rsidR="007B1925" w:rsidRDefault="007B1925">
      <w:pPr>
        <w:rPr>
          <w:rFonts w:hint="cs"/>
          <w:rtl/>
        </w:rPr>
      </w:pP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jc w:val="center"/>
        <w:rPr>
          <w:color w:val="000000"/>
          <w:sz w:val="20"/>
          <w:szCs w:val="20"/>
        </w:rPr>
      </w:pPr>
      <w:r>
        <w:rPr>
          <w:rStyle w:val="default"/>
          <w:rFonts w:cs="FrankRuehl" w:hint="cs"/>
          <w:b/>
          <w:bCs/>
          <w:color w:val="000000"/>
          <w:rtl/>
        </w:rPr>
        <w:t>פרק ז': היועץ המשפטי לכנסת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rPr>
          <w:color w:val="000000"/>
          <w:sz w:val="20"/>
          <w:szCs w:val="20"/>
          <w:rtl/>
        </w:rPr>
      </w:pPr>
      <w:bookmarkStart w:id="1" w:name="Rov97"/>
      <w:bookmarkStart w:id="2" w:name="Seif7"/>
      <w:bookmarkEnd w:id="1"/>
      <w:bookmarkEnd w:id="2"/>
      <w:r>
        <w:rPr>
          <w:rStyle w:val="big-number"/>
          <w:rFonts w:ascii="Time New Roman" w:hAnsi="Time New Roman"/>
          <w:b/>
          <w:bCs/>
          <w:color w:val="008000"/>
          <w:sz w:val="27"/>
          <w:szCs w:val="27"/>
          <w:rtl/>
        </w:rPr>
        <w:t>היועץ המשפטי לכנסת ותפקידיו (תיקון מס' 10) תשס"א-2000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jc w:val="both"/>
        <w:rPr>
          <w:color w:val="000000"/>
          <w:sz w:val="20"/>
          <w:szCs w:val="20"/>
          <w:rtl/>
        </w:rPr>
      </w:pPr>
      <w:r>
        <w:rPr>
          <w:rStyle w:val="big-number"/>
          <w:rFonts w:cs="Miriam" w:hint="cs"/>
          <w:color w:val="000000"/>
          <w:sz w:val="32"/>
          <w:szCs w:val="32"/>
          <w:rtl/>
        </w:rPr>
        <w:t>17.  </w:t>
      </w:r>
      <w:r>
        <w:rPr>
          <w:rStyle w:val="default"/>
          <w:rFonts w:cs="FrankRuehl" w:hint="cs"/>
          <w:color w:val="000000"/>
          <w:sz w:val="26"/>
          <w:szCs w:val="26"/>
          <w:rtl/>
        </w:rPr>
        <w:t>(א)  לכנסת יהיה יועץ משפטי.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jc w:val="both"/>
        <w:rPr>
          <w:color w:val="000000"/>
          <w:sz w:val="20"/>
          <w:szCs w:val="20"/>
          <w:rtl/>
        </w:rPr>
      </w:pPr>
      <w:r>
        <w:rPr>
          <w:rFonts w:cs="FrankRuehl" w:hint="cs"/>
          <w:color w:val="000000"/>
          <w:sz w:val="26"/>
          <w:szCs w:val="26"/>
          <w:rtl/>
        </w:rPr>
        <w:t>          </w:t>
      </w:r>
      <w:r>
        <w:rPr>
          <w:rStyle w:val="default"/>
          <w:rFonts w:cs="FrankRuehl" w:hint="cs"/>
          <w:color w:val="000000"/>
          <w:sz w:val="26"/>
          <w:szCs w:val="26"/>
          <w:rtl/>
        </w:rPr>
        <w:t>(ב)  היועץ המשפטי לכנסת –</w:t>
      </w:r>
    </w:p>
    <w:p w:rsidR="007B1925" w:rsidRDefault="007B1925" w:rsidP="007B1925">
      <w:pPr>
        <w:pStyle w:val="p22"/>
        <w:bidi/>
        <w:spacing w:before="72" w:beforeAutospacing="0" w:after="0" w:afterAutospacing="0"/>
        <w:ind w:left="1021" w:right="1134"/>
        <w:jc w:val="both"/>
        <w:rPr>
          <w:color w:val="000000"/>
          <w:sz w:val="20"/>
          <w:szCs w:val="20"/>
          <w:rtl/>
        </w:rPr>
      </w:pPr>
      <w:r>
        <w:rPr>
          <w:rStyle w:val="default"/>
          <w:rFonts w:cs="FrankRuehl" w:hint="cs"/>
          <w:color w:val="000000"/>
          <w:sz w:val="26"/>
          <w:szCs w:val="26"/>
          <w:rtl/>
        </w:rPr>
        <w:t>(1)   ייעץ ליושב ראש הכנסת, לנושאי התפקידים בה ולמוסדות הכנסת בכל עניני חוק ומשפט, הנוגעים</w:t>
      </w:r>
      <w:r>
        <w:rPr>
          <w:rFonts w:cs="FrankRuehl" w:hint="cs"/>
          <w:color w:val="000000"/>
          <w:sz w:val="26"/>
          <w:szCs w:val="26"/>
          <w:rtl/>
        </w:rPr>
        <w:t> </w:t>
      </w:r>
      <w:r>
        <w:rPr>
          <w:rStyle w:val="default"/>
          <w:rFonts w:cs="FrankRuehl" w:hint="cs"/>
          <w:color w:val="000000"/>
          <w:sz w:val="26"/>
          <w:szCs w:val="26"/>
          <w:rtl/>
        </w:rPr>
        <w:t> לסמכויותיהם ולתפקידיהם;</w:t>
      </w:r>
    </w:p>
    <w:p w:rsidR="007B1925" w:rsidRDefault="007B1925" w:rsidP="007B1925">
      <w:pPr>
        <w:pStyle w:val="p22"/>
        <w:bidi/>
        <w:spacing w:before="72" w:beforeAutospacing="0" w:after="0" w:afterAutospacing="0"/>
        <w:ind w:left="1021" w:right="1134"/>
        <w:jc w:val="both"/>
        <w:rPr>
          <w:color w:val="000000"/>
          <w:sz w:val="20"/>
          <w:szCs w:val="20"/>
          <w:rtl/>
        </w:rPr>
      </w:pPr>
      <w:r>
        <w:rPr>
          <w:rStyle w:val="default"/>
          <w:rFonts w:cs="FrankRuehl" w:hint="cs"/>
          <w:color w:val="000000"/>
          <w:sz w:val="26"/>
          <w:szCs w:val="26"/>
          <w:rtl/>
        </w:rPr>
        <w:t>(2)   ייעץ לכנסת ולועדותיה בכל ענין הנוגע להליכי החקיקה ויפעל להבטחת תקינותם;</w:t>
      </w:r>
    </w:p>
    <w:p w:rsidR="007B1925" w:rsidRDefault="007B1925" w:rsidP="007B1925">
      <w:pPr>
        <w:pStyle w:val="p22"/>
        <w:bidi/>
        <w:spacing w:before="72" w:beforeAutospacing="0" w:after="0" w:afterAutospacing="0"/>
        <w:ind w:left="1021" w:right="1134"/>
        <w:jc w:val="both"/>
        <w:rPr>
          <w:color w:val="000000"/>
          <w:sz w:val="20"/>
          <w:szCs w:val="20"/>
          <w:rtl/>
        </w:rPr>
      </w:pPr>
      <w:r>
        <w:rPr>
          <w:rStyle w:val="default"/>
          <w:rFonts w:cs="FrankRuehl" w:hint="cs"/>
          <w:color w:val="000000"/>
          <w:sz w:val="26"/>
          <w:szCs w:val="26"/>
          <w:rtl/>
        </w:rPr>
        <w:t>(3)   ייעץ לחברי הכנסת בכל ענין הנוגע לכנסת והנובע מחברותם בה;</w:t>
      </w:r>
    </w:p>
    <w:p w:rsidR="007B1925" w:rsidRDefault="007B1925" w:rsidP="007B1925">
      <w:pPr>
        <w:pStyle w:val="p22"/>
        <w:bidi/>
        <w:spacing w:before="72" w:beforeAutospacing="0" w:after="0" w:afterAutospacing="0"/>
        <w:ind w:left="1021" w:right="1134"/>
        <w:jc w:val="both"/>
        <w:rPr>
          <w:color w:val="000000"/>
          <w:sz w:val="20"/>
          <w:szCs w:val="20"/>
          <w:rtl/>
        </w:rPr>
      </w:pPr>
      <w:r>
        <w:rPr>
          <w:rStyle w:val="default"/>
          <w:rFonts w:cs="FrankRuehl" w:hint="cs"/>
          <w:color w:val="000000"/>
          <w:sz w:val="26"/>
          <w:szCs w:val="26"/>
          <w:rtl/>
        </w:rPr>
        <w:t>(4)   ייצג את הכנסת בערכאות; ואולם רשאי הוא, בהסכמת היועץ המשפטי לממשלה, לבקש כי הכנסת תיוצג על ידי פרקליטות המדינה, או לייפות את כוחו של עורך דין אחר לייצג את הכנסת;</w:t>
      </w:r>
    </w:p>
    <w:p w:rsidR="007B1925" w:rsidRDefault="007B1925" w:rsidP="007B1925">
      <w:pPr>
        <w:pStyle w:val="p22"/>
        <w:bidi/>
        <w:spacing w:before="72" w:beforeAutospacing="0" w:after="0" w:afterAutospacing="0"/>
        <w:ind w:left="1021" w:right="1134"/>
        <w:jc w:val="both"/>
        <w:rPr>
          <w:color w:val="000000"/>
          <w:sz w:val="20"/>
          <w:szCs w:val="20"/>
          <w:rtl/>
        </w:rPr>
      </w:pPr>
      <w:r>
        <w:rPr>
          <w:rStyle w:val="default"/>
          <w:rFonts w:cs="FrankRuehl" w:hint="cs"/>
          <w:color w:val="000000"/>
          <w:sz w:val="26"/>
          <w:szCs w:val="26"/>
          <w:rtl/>
        </w:rPr>
        <w:t>(5)   ימלא כל תפקיד אחר המוטל עליו לפי כל דין.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jc w:val="both"/>
        <w:rPr>
          <w:color w:val="000000"/>
          <w:sz w:val="20"/>
          <w:szCs w:val="20"/>
          <w:rtl/>
        </w:rPr>
      </w:pPr>
      <w:r>
        <w:rPr>
          <w:rFonts w:cs="FrankRuehl" w:hint="cs"/>
          <w:color w:val="000000"/>
          <w:sz w:val="26"/>
          <w:szCs w:val="26"/>
          <w:rtl/>
        </w:rPr>
        <w:t>          </w:t>
      </w:r>
      <w:r>
        <w:rPr>
          <w:rStyle w:val="default"/>
          <w:rFonts w:cs="FrankRuehl" w:hint="cs"/>
          <w:color w:val="000000"/>
          <w:sz w:val="26"/>
          <w:szCs w:val="26"/>
          <w:rtl/>
        </w:rPr>
        <w:t>(ג)   ראה היועץ המשפטי לכנסת, כי הליך שלפני בית משפט כרוך בשאלה משפטית הנוגעת לכנסת או משפיע עליה, רשאי הוא, באישור בית המשפט, להתייצב באותו הליך ולהשמיע את דברו.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rPr>
          <w:color w:val="000000"/>
          <w:sz w:val="20"/>
          <w:szCs w:val="20"/>
          <w:rtl/>
        </w:rPr>
      </w:pPr>
      <w:r>
        <w:rPr>
          <w:rStyle w:val="default"/>
          <w:rFonts w:ascii="Time New Roman" w:hAnsi="Time New Roman"/>
          <w:b/>
          <w:bCs/>
          <w:color w:val="008000"/>
          <w:sz w:val="27"/>
          <w:szCs w:val="27"/>
          <w:rtl/>
        </w:rPr>
        <w:t>(תיקון מס' 23) תשס"ח-2008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jc w:val="both"/>
        <w:rPr>
          <w:color w:val="000000"/>
          <w:sz w:val="20"/>
          <w:szCs w:val="20"/>
          <w:rtl/>
        </w:rPr>
      </w:pPr>
      <w:r>
        <w:rPr>
          <w:rStyle w:val="default"/>
          <w:rFonts w:cs="FrankRuehl" w:hint="cs"/>
          <w:color w:val="000000"/>
          <w:sz w:val="26"/>
          <w:szCs w:val="26"/>
          <w:rtl/>
        </w:rPr>
        <w:t>          (ג1) ראה בית משפט בהליך שלפניו, כי נדרש לברר את שאלת תוקפו של חוק, יזמין את הכנסת להתייצב בהליך, והיא תהיה רשאית להשמיע את טענותיה להוכחת תוקפו.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jc w:val="both"/>
        <w:rPr>
          <w:color w:val="000000"/>
          <w:sz w:val="20"/>
          <w:szCs w:val="20"/>
          <w:rtl/>
        </w:rPr>
      </w:pPr>
      <w:r>
        <w:rPr>
          <w:rFonts w:cs="FrankRuehl" w:hint="cs"/>
          <w:color w:val="000000"/>
          <w:sz w:val="26"/>
          <w:szCs w:val="26"/>
          <w:rtl/>
        </w:rPr>
        <w:t>          </w:t>
      </w:r>
      <w:r>
        <w:rPr>
          <w:rStyle w:val="default"/>
          <w:rFonts w:cs="FrankRuehl" w:hint="cs"/>
          <w:color w:val="000000"/>
          <w:sz w:val="26"/>
          <w:szCs w:val="26"/>
          <w:rtl/>
        </w:rPr>
        <w:t>(ד)  היועץ המשפטי לכנסת הוא עובד הכנסת וישמש כראש הלשכה המשפטית של הכנסת.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rPr>
          <w:color w:val="000000"/>
          <w:sz w:val="20"/>
          <w:szCs w:val="20"/>
          <w:rtl/>
        </w:rPr>
      </w:pPr>
      <w:bookmarkStart w:id="3" w:name="Rov159"/>
      <w:bookmarkStart w:id="4" w:name="Seif8"/>
      <w:bookmarkEnd w:id="3"/>
      <w:bookmarkEnd w:id="4"/>
      <w:r>
        <w:rPr>
          <w:rStyle w:val="big-number"/>
          <w:rFonts w:ascii="Time New Roman" w:hAnsi="Time New Roman"/>
          <w:b/>
          <w:bCs/>
          <w:color w:val="008000"/>
          <w:sz w:val="27"/>
          <w:szCs w:val="27"/>
          <w:rtl/>
        </w:rPr>
        <w:t>מינוי היועץ המשפטי לכנסת (תיקון מס' 10) תשס"א-2000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jc w:val="both"/>
        <w:rPr>
          <w:color w:val="000000"/>
          <w:sz w:val="20"/>
          <w:szCs w:val="20"/>
          <w:rtl/>
        </w:rPr>
      </w:pPr>
      <w:r>
        <w:rPr>
          <w:rStyle w:val="big-number"/>
          <w:rFonts w:cs="Miriam" w:hint="cs"/>
          <w:color w:val="000000"/>
          <w:sz w:val="32"/>
          <w:szCs w:val="32"/>
          <w:rtl/>
        </w:rPr>
        <w:t>18.  </w:t>
      </w:r>
      <w:r>
        <w:rPr>
          <w:rStyle w:val="default"/>
          <w:rFonts w:cs="FrankRuehl" w:hint="cs"/>
          <w:color w:val="000000"/>
          <w:sz w:val="26"/>
          <w:szCs w:val="26"/>
          <w:rtl/>
        </w:rPr>
        <w:t>(א)  היועץ המשפטי לכנסת יתמנה על ידי יושב ראש הכנסת, באישור ועדת הכנסת, מבין המועמדים שעליהם המליצה הועדה הציבורית שמונתה לפי הוראות סעיף 20, בהתאם להליכים שנקבעו בחוק זה.</w:t>
      </w:r>
    </w:p>
    <w:p w:rsidR="007B1925" w:rsidRDefault="007B1925" w:rsidP="007B1925">
      <w:pPr>
        <w:pStyle w:val="p00"/>
        <w:bidi/>
        <w:spacing w:before="72" w:beforeAutospacing="0" w:after="0" w:afterAutospacing="0"/>
        <w:ind w:right="1134"/>
        <w:jc w:val="both"/>
        <w:rPr>
          <w:color w:val="000000"/>
          <w:sz w:val="20"/>
          <w:szCs w:val="20"/>
          <w:rtl/>
        </w:rPr>
      </w:pPr>
      <w:r>
        <w:rPr>
          <w:rFonts w:cs="FrankRuehl" w:hint="cs"/>
          <w:color w:val="000000"/>
          <w:sz w:val="26"/>
          <w:szCs w:val="26"/>
          <w:rtl/>
        </w:rPr>
        <w:t>          </w:t>
      </w:r>
      <w:r>
        <w:rPr>
          <w:rStyle w:val="default"/>
          <w:rFonts w:cs="FrankRuehl" w:hint="cs"/>
          <w:color w:val="000000"/>
          <w:sz w:val="26"/>
          <w:szCs w:val="26"/>
          <w:rtl/>
        </w:rPr>
        <w:t>(ב)  על מינויו של היועץ המשפטי לכנסת יחולו הוראות חוק שירות המדינה (מינויים), תשי"ט–1959, בכפוף להוראות חוק זה.</w:t>
      </w:r>
    </w:p>
    <w:p w:rsidR="007B1925" w:rsidRDefault="007B1925">
      <w:pPr>
        <w:rPr>
          <w:rFonts w:hint="cs"/>
        </w:rPr>
      </w:pPr>
    </w:p>
    <w:sectPr w:rsidR="007B1925" w:rsidSect="007B1925">
      <w:pgSz w:w="11906" w:h="16838"/>
      <w:pgMar w:top="568" w:right="1800" w:bottom="426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ime New Roman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925"/>
    <w:rsid w:val="001843D9"/>
    <w:rsid w:val="001F7CEE"/>
    <w:rsid w:val="007B1925"/>
    <w:rsid w:val="00E1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ig-header">
    <w:name w:val="big-header"/>
    <w:basedOn w:val="Normal"/>
    <w:rsid w:val="007B192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00">
    <w:name w:val="p00"/>
    <w:basedOn w:val="Normal"/>
    <w:rsid w:val="007B192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ig-number">
    <w:name w:val="big-number"/>
    <w:basedOn w:val="DefaultParagraphFont"/>
    <w:rsid w:val="007B1925"/>
  </w:style>
  <w:style w:type="character" w:customStyle="1" w:styleId="default">
    <w:name w:val="default"/>
    <w:basedOn w:val="DefaultParagraphFont"/>
    <w:rsid w:val="007B1925"/>
  </w:style>
  <w:style w:type="paragraph" w:customStyle="1" w:styleId="p22">
    <w:name w:val="p22"/>
    <w:basedOn w:val="Normal"/>
    <w:rsid w:val="007B192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ig-header">
    <w:name w:val="big-header"/>
    <w:basedOn w:val="Normal"/>
    <w:rsid w:val="007B192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00">
    <w:name w:val="p00"/>
    <w:basedOn w:val="Normal"/>
    <w:rsid w:val="007B192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ig-number">
    <w:name w:val="big-number"/>
    <w:basedOn w:val="DefaultParagraphFont"/>
    <w:rsid w:val="007B1925"/>
  </w:style>
  <w:style w:type="character" w:customStyle="1" w:styleId="default">
    <w:name w:val="default"/>
    <w:basedOn w:val="DefaultParagraphFont"/>
    <w:rsid w:val="007B1925"/>
  </w:style>
  <w:style w:type="paragraph" w:customStyle="1" w:styleId="p22">
    <w:name w:val="p22"/>
    <w:basedOn w:val="Normal"/>
    <w:rsid w:val="007B192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590D5E-18D9-475A-A519-674503C99DF2}"/>
</file>

<file path=customXml/itemProps2.xml><?xml version="1.0" encoding="utf-8"?>
<ds:datastoreItem xmlns:ds="http://schemas.openxmlformats.org/officeDocument/2006/customXml" ds:itemID="{B471D3F3-A6C5-4212-9355-7D1EDAE596CE}"/>
</file>

<file path=customXml/itemProps3.xml><?xml version="1.0" encoding="utf-8"?>
<ds:datastoreItem xmlns:ds="http://schemas.openxmlformats.org/officeDocument/2006/customXml" ds:itemID="{E594ABE4-1DB0-427A-984F-3BC869B54B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316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kmc</dc:creator>
  <cp:lastModifiedBy>kmc</cp:lastModifiedBy>
  <cp:revision>2</cp:revision>
  <dcterms:created xsi:type="dcterms:W3CDTF">2017-10-29T09:15:00Z</dcterms:created>
  <dcterms:modified xsi:type="dcterms:W3CDTF">2017-10-29T09:22:00Z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2022055</vt:r8>
  </property>
</Properties>
</file>