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6961A1" w14:textId="77777777" w:rsidR="002C2E29" w:rsidRPr="0000131B" w:rsidRDefault="004033D8" w:rsidP="00A443CF">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562844</w:t>
      </w:r>
      <w:bookmarkEnd w:id="0"/>
    </w:p>
    <w:p w14:paraId="7F6961A2" w14:textId="7D5A2486" w:rsidR="00E13C27" w:rsidRPr="00DB7060" w:rsidRDefault="00E13C27" w:rsidP="00A443CF">
      <w:pPr>
        <w:pStyle w:val="HeadHatzaotHok"/>
        <w:rPr>
          <w:sz w:val="28"/>
          <w:szCs w:val="28"/>
          <w:rtl/>
        </w:rPr>
      </w:pPr>
      <w:r w:rsidRPr="00DB7060">
        <w:rPr>
          <w:rFonts w:hint="cs"/>
          <w:sz w:val="28"/>
          <w:szCs w:val="28"/>
          <w:rtl/>
        </w:rPr>
        <w:t xml:space="preserve">הכנסת </w:t>
      </w:r>
      <w:bookmarkStart w:id="1" w:name="LGS_Knesset_Num"/>
      <w:r w:rsidR="00C97B08">
        <w:rPr>
          <w:sz w:val="28"/>
          <w:szCs w:val="28"/>
          <w:rtl/>
        </w:rPr>
        <w:t>העשרים</w:t>
      </w:r>
      <w:bookmarkEnd w:id="1"/>
    </w:p>
    <w:p w14:paraId="7F6961A3" w14:textId="77777777" w:rsidR="00E13C27" w:rsidRPr="00F67051" w:rsidRDefault="00E13C27" w:rsidP="00E13C27">
      <w:pPr>
        <w:rPr>
          <w:rFonts w:cs="David"/>
          <w:b/>
          <w:bCs/>
          <w:sz w:val="26"/>
          <w:szCs w:val="26"/>
          <w:rtl/>
        </w:rPr>
      </w:pPr>
    </w:p>
    <w:p w14:paraId="7F6961AA" w14:textId="29A7E8B4" w:rsidR="00E13C27" w:rsidRPr="00CF1AA2" w:rsidRDefault="008F6665" w:rsidP="00955007">
      <w:pPr>
        <w:pStyle w:val="David"/>
        <w:spacing w:line="360" w:lineRule="auto"/>
        <w:ind w:left="3544"/>
        <w:rPr>
          <w:b/>
          <w:bCs/>
          <w:rtl/>
        </w:rPr>
      </w:pPr>
      <w:bookmarkStart w:id="2" w:name="LGS_Initiators_List"/>
      <w:r>
        <w:rPr>
          <w:b/>
          <w:bCs/>
          <w:rtl/>
        </w:rPr>
        <w:t>יוזם:</w:t>
      </w:r>
      <w:r>
        <w:tab/>
      </w:r>
      <w:r>
        <w:rPr>
          <w:b/>
          <w:bCs/>
          <w:rtl/>
        </w:rPr>
        <w:t xml:space="preserve">      חבר הכנסת</w:t>
      </w:r>
      <w:bookmarkEnd w:id="2"/>
      <w:r w:rsidR="00B35784" w:rsidRPr="00F67051">
        <w:rPr>
          <w:b/>
          <w:bCs/>
        </w:rPr>
        <w:tab/>
      </w:r>
      <w:bookmarkStart w:id="3" w:name="LGS_PM_Names"/>
      <w:r>
        <w:rPr>
          <w:rFonts w:hint="cs"/>
          <w:b/>
          <w:bCs/>
          <w:rtl/>
        </w:rPr>
        <w:t>יריב לוין</w:t>
      </w:r>
      <w:bookmarkStart w:id="4" w:name="LGS_Join_List"/>
      <w:bookmarkEnd w:id="3"/>
      <w:r w:rsidR="007D585A">
        <w:rPr>
          <w:rtl/>
        </w:rPr>
        <w:t xml:space="preserve"> </w:t>
      </w:r>
      <w:bookmarkEnd w:id="4"/>
      <w:r w:rsidR="002200A1" w:rsidRPr="00CF1AA2">
        <w:rPr>
          <w:rFonts w:hint="cs"/>
          <w:rtl/>
        </w:rPr>
        <w:tab/>
      </w:r>
      <w:bookmarkStart w:id="5" w:name="LGS_PM_NamesJoin"/>
      <w:r w:rsidR="007D585A">
        <w:rPr>
          <w:rFonts w:hint="cs"/>
          <w:rtl/>
        </w:rPr>
        <w:t xml:space="preserve"> </w:t>
      </w:r>
      <w:bookmarkEnd w:id="5"/>
    </w:p>
    <w:p w14:paraId="7F6961AB" w14:textId="1A02760E" w:rsidR="00E13C27" w:rsidRPr="00E06736" w:rsidRDefault="0014195F" w:rsidP="00416B4D">
      <w:pPr>
        <w:pStyle w:val="David"/>
        <w:ind w:left="3544"/>
        <w:rPr>
          <w:rtl/>
        </w:rPr>
      </w:pPr>
      <w:r w:rsidRPr="00CF1AA2">
        <w:rPr>
          <w:b/>
          <w:bCs/>
          <w:noProof/>
          <w:rtl/>
          <w:lang w:eastAsia="en-US"/>
        </w:rPr>
        <mc:AlternateContent>
          <mc:Choice Requires="wps">
            <w:drawing>
              <wp:anchor distT="0" distB="0" distL="114300" distR="114300" simplePos="0" relativeHeight="251658752" behindDoc="0" locked="0" layoutInCell="1" allowOverlap="1" wp14:anchorId="7F6961CE" wp14:editId="7F6961CF">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14="http://schemas.microsoft.com/office/drawing/2010/main" xmlns:a="http://schemas.openxmlformats.org/drawingml/2006/main">
            <w:pict>
              <v:polyline id="Freeform 7"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109,27" o:spid="_x0000_s1026" filled="f" points=".1pt,5.1pt,305.55pt,3.75pt" w14:anchorId="21D2837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v:path arrowok="t" o:connecttype="custom" o:connectlocs="0,17145;3879215,0" o:connectangles="0,0"/>
              </v:polyline>
            </w:pict>
          </mc:Fallback>
        </mc:AlternateContent>
      </w:r>
      <w:r w:rsidR="00E13C27" w:rsidRPr="00E06736">
        <w:rPr>
          <w:rFonts w:hint="cs"/>
          <w:rtl/>
        </w:rPr>
        <w:tab/>
      </w:r>
      <w:r w:rsidR="00416B4D">
        <w:tab/>
      </w:r>
      <w:r w:rsidR="00FA5E88">
        <w:tab/>
      </w:r>
      <w:r w:rsidR="00E13C27" w:rsidRPr="00E06736">
        <w:rPr>
          <w:rFonts w:hint="cs"/>
          <w:rtl/>
        </w:rPr>
        <w:tab/>
      </w:r>
      <w:r w:rsidR="00E06736" w:rsidRPr="00E06736">
        <w:tab/>
      </w:r>
      <w:bookmarkStart w:id="6" w:name="Private_Number"/>
      <w:r>
        <w:rPr>
          <w:rFonts w:hint="cs"/>
          <w:rtl/>
        </w:rPr>
        <w:t>פ/585/20</w:t>
      </w:r>
      <w:bookmarkEnd w:id="6"/>
      <w:r w:rsidR="00E13C27" w:rsidRPr="00E06736">
        <w:rPr>
          <w:rFonts w:hint="cs"/>
          <w:rtl/>
        </w:rPr>
        <w:tab/>
      </w:r>
      <w:r w:rsidR="00E13C27" w:rsidRPr="00E06736">
        <w:rPr>
          <w:rFonts w:hint="cs"/>
          <w:rtl/>
        </w:rPr>
        <w:tab/>
      </w:r>
      <w:r w:rsidR="00E13C27" w:rsidRPr="00E06736">
        <w:rPr>
          <w:rFonts w:hint="cs"/>
          <w:rtl/>
        </w:rPr>
        <w:tab/>
      </w:r>
    </w:p>
    <w:p w14:paraId="7F6961AC" w14:textId="77777777" w:rsidR="00E13C27" w:rsidRDefault="00E13C27" w:rsidP="00E13C27">
      <w:pPr>
        <w:spacing w:before="0" w:line="360" w:lineRule="auto"/>
        <w:ind w:left="2880" w:firstLine="720"/>
        <w:rPr>
          <w:rFonts w:cs="David"/>
          <w:sz w:val="26"/>
          <w:szCs w:val="26"/>
          <w:rtl/>
        </w:rPr>
      </w:pPr>
    </w:p>
    <w:p w14:paraId="21994370" w14:textId="7BC4E7DD" w:rsidR="00025B15" w:rsidRPr="00025B15" w:rsidRDefault="00A443CF" w:rsidP="00955007">
      <w:pPr>
        <w:pStyle w:val="HeadHatzaotHok"/>
        <w:rPr>
          <w:b w:val="0"/>
          <w:bCs w:val="0"/>
          <w:sz w:val="26"/>
          <w:rtl/>
        </w:rPr>
      </w:pPr>
      <w:bookmarkStart w:id="7" w:name="LGS_Subject"/>
      <w:r>
        <w:rPr>
          <w:rFonts w:hint="cs"/>
          <w:rtl/>
        </w:rPr>
        <w:t>הצעת חוק המרשם הפלילי ותקנת השבים (תיקון – קיצור תקופות התיישנות ומחיקה ומניעת השגת מידע בדרך לא הולמת), התשע"ה–2015</w:t>
      </w:r>
      <w:bookmarkEnd w:id="7"/>
    </w:p>
    <w:tbl>
      <w:tblPr>
        <w:bidiVisual/>
        <w:tblW w:w="9637"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1248"/>
        <w:gridCol w:w="624"/>
        <w:gridCol w:w="4648"/>
      </w:tblGrid>
      <w:tr w:rsidR="00025B15" w:rsidRPr="00025B15" w14:paraId="66C5EEAE" w14:textId="77777777" w:rsidTr="00480837">
        <w:trPr>
          <w:cantSplit/>
        </w:trPr>
        <w:tc>
          <w:tcPr>
            <w:tcW w:w="1869" w:type="dxa"/>
          </w:tcPr>
          <w:p w14:paraId="0FBCDA49"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Pr>
            </w:pPr>
            <w:r w:rsidRPr="00025B15">
              <w:rPr>
                <w:rFonts w:ascii="Arial" w:eastAsia="Arial Unicode MS" w:hAnsi="Arial" w:cs="David"/>
                <w:spacing w:val="0"/>
                <w:sz w:val="20"/>
                <w:szCs w:val="26"/>
                <w:rtl/>
              </w:rPr>
              <w:t>תיקון סעיף 14</w:t>
            </w:r>
          </w:p>
        </w:tc>
        <w:tc>
          <w:tcPr>
            <w:tcW w:w="624" w:type="dxa"/>
          </w:tcPr>
          <w:p w14:paraId="5B0ED7A4"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r w:rsidRPr="00025B15">
              <w:rPr>
                <w:rFonts w:ascii="Arial" w:eastAsia="Arial Unicode MS" w:hAnsi="Arial" w:cs="David"/>
                <w:spacing w:val="0"/>
                <w:sz w:val="20"/>
                <w:szCs w:val="26"/>
                <w:rtl/>
              </w:rPr>
              <w:t>1.</w:t>
            </w:r>
          </w:p>
        </w:tc>
        <w:tc>
          <w:tcPr>
            <w:tcW w:w="7144" w:type="dxa"/>
            <w:gridSpan w:val="4"/>
          </w:tcPr>
          <w:p w14:paraId="6373A676"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r w:rsidRPr="00025B15">
              <w:rPr>
                <w:rFonts w:ascii="Arial" w:eastAsia="Arial Unicode MS" w:hAnsi="Arial" w:cs="David"/>
                <w:spacing w:val="0"/>
                <w:sz w:val="20"/>
                <w:szCs w:val="26"/>
                <w:rtl/>
              </w:rPr>
              <w:t>בחוק המרשם הפלילי ותקנת השבים, התשמ"א–1981</w:t>
            </w:r>
            <w:r w:rsidRPr="00025B15">
              <w:rPr>
                <w:rFonts w:ascii="Arial" w:eastAsia="Arial Unicode MS" w:hAnsi="Arial" w:cs="David"/>
                <w:spacing w:val="0"/>
                <w:sz w:val="20"/>
                <w:szCs w:val="26"/>
                <w:vertAlign w:val="superscript"/>
                <w:rtl/>
              </w:rPr>
              <w:footnoteReference w:id="2"/>
            </w:r>
            <w:r w:rsidRPr="00025B15">
              <w:rPr>
                <w:rFonts w:ascii="Arial" w:eastAsia="Arial Unicode MS" w:hAnsi="Arial" w:cs="David"/>
                <w:spacing w:val="0"/>
                <w:sz w:val="20"/>
                <w:szCs w:val="26"/>
                <w:rtl/>
              </w:rPr>
              <w:t xml:space="preserve"> (להלן – החוק העיקרי), בסעיף 14 –</w:t>
            </w:r>
          </w:p>
        </w:tc>
      </w:tr>
      <w:tr w:rsidR="00025B15" w:rsidRPr="00025B15" w14:paraId="1368A18D" w14:textId="77777777" w:rsidTr="00480837">
        <w:tblPrEx>
          <w:tblLook w:val="0000" w:firstRow="0" w:lastRow="0" w:firstColumn="0" w:lastColumn="0" w:noHBand="0" w:noVBand="0"/>
        </w:tblPrEx>
        <w:trPr>
          <w:cantSplit/>
        </w:trPr>
        <w:tc>
          <w:tcPr>
            <w:tcW w:w="1869" w:type="dxa"/>
            <w:tcBorders>
              <w:top w:val="nil"/>
              <w:left w:val="nil"/>
              <w:bottom w:val="nil"/>
              <w:right w:val="nil"/>
            </w:tcBorders>
          </w:tcPr>
          <w:p w14:paraId="5262860A"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tl/>
              </w:rPr>
            </w:pPr>
          </w:p>
        </w:tc>
        <w:tc>
          <w:tcPr>
            <w:tcW w:w="624" w:type="dxa"/>
            <w:tcBorders>
              <w:top w:val="nil"/>
              <w:left w:val="nil"/>
              <w:bottom w:val="nil"/>
              <w:right w:val="nil"/>
            </w:tcBorders>
          </w:tcPr>
          <w:p w14:paraId="28BD1F00"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p>
        </w:tc>
        <w:tc>
          <w:tcPr>
            <w:tcW w:w="7144" w:type="dxa"/>
            <w:gridSpan w:val="4"/>
            <w:tcBorders>
              <w:top w:val="nil"/>
              <w:left w:val="nil"/>
              <w:bottom w:val="nil"/>
              <w:right w:val="nil"/>
            </w:tcBorders>
          </w:tcPr>
          <w:p w14:paraId="7A5B1604"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(1)</w:t>
            </w:r>
            <w:r w:rsidRPr="00025B15">
              <w:rPr>
                <w:rFonts w:ascii="Arial" w:eastAsia="Arial Unicode MS" w:hAnsi="Arial" w:cs="David"/>
                <w:spacing w:val="0"/>
                <w:sz w:val="20"/>
                <w:szCs w:val="26"/>
                <w:rtl/>
              </w:rPr>
              <w:tab/>
              <w:t xml:space="preserve">בסעיף קטן (א) – </w:t>
            </w:r>
          </w:p>
        </w:tc>
      </w:tr>
      <w:tr w:rsidR="00025B15" w:rsidRPr="00025B15" w14:paraId="3C1B128E" w14:textId="77777777" w:rsidTr="00480837">
        <w:trPr>
          <w:cantSplit/>
        </w:trPr>
        <w:tc>
          <w:tcPr>
            <w:tcW w:w="1869" w:type="dxa"/>
          </w:tcPr>
          <w:p w14:paraId="300A48B5"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Pr>
            </w:pPr>
          </w:p>
        </w:tc>
        <w:tc>
          <w:tcPr>
            <w:tcW w:w="624" w:type="dxa"/>
          </w:tcPr>
          <w:p w14:paraId="15942139"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p>
        </w:tc>
        <w:tc>
          <w:tcPr>
            <w:tcW w:w="624" w:type="dxa"/>
          </w:tcPr>
          <w:p w14:paraId="6ECB3689"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p>
        </w:tc>
        <w:tc>
          <w:tcPr>
            <w:tcW w:w="6520" w:type="dxa"/>
            <w:gridSpan w:val="3"/>
          </w:tcPr>
          <w:p w14:paraId="04F813C5"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(א)</w:t>
            </w:r>
            <w:r w:rsidRPr="00025B15">
              <w:rPr>
                <w:rFonts w:ascii="Arial" w:eastAsia="Arial Unicode MS" w:hAnsi="Arial" w:cs="David"/>
                <w:spacing w:val="0"/>
                <w:sz w:val="20"/>
                <w:szCs w:val="26"/>
                <w:rtl/>
              </w:rPr>
              <w:tab/>
              <w:t>בפסקה (1), במקום "שבע" יבוא "שלוש";</w:t>
            </w:r>
          </w:p>
        </w:tc>
      </w:tr>
      <w:tr w:rsidR="00025B15" w:rsidRPr="00025B15" w14:paraId="06DA11EC" w14:textId="77777777" w:rsidTr="00480837">
        <w:trPr>
          <w:cantSplit/>
        </w:trPr>
        <w:tc>
          <w:tcPr>
            <w:tcW w:w="1869" w:type="dxa"/>
          </w:tcPr>
          <w:p w14:paraId="75A3AEF2"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Pr>
            </w:pPr>
          </w:p>
        </w:tc>
        <w:tc>
          <w:tcPr>
            <w:tcW w:w="624" w:type="dxa"/>
          </w:tcPr>
          <w:p w14:paraId="237B6031"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p>
        </w:tc>
        <w:tc>
          <w:tcPr>
            <w:tcW w:w="624" w:type="dxa"/>
          </w:tcPr>
          <w:p w14:paraId="4F260F64"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p>
        </w:tc>
        <w:tc>
          <w:tcPr>
            <w:tcW w:w="6520" w:type="dxa"/>
            <w:gridSpan w:val="3"/>
          </w:tcPr>
          <w:p w14:paraId="02295622"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(ב)</w:t>
            </w:r>
            <w:r w:rsidRPr="00025B15">
              <w:rPr>
                <w:rFonts w:ascii="Arial" w:eastAsia="Arial Unicode MS" w:hAnsi="Arial" w:cs="David"/>
                <w:spacing w:val="0"/>
                <w:sz w:val="20"/>
                <w:szCs w:val="26"/>
                <w:rtl/>
              </w:rPr>
              <w:tab/>
              <w:t>בפסקה (2), במקום "עשר" יבוא "חמש";</w:t>
            </w:r>
          </w:p>
        </w:tc>
      </w:tr>
      <w:tr w:rsidR="00025B15" w:rsidRPr="00025B15" w14:paraId="5C6B34AE" w14:textId="77777777" w:rsidTr="00480837">
        <w:trPr>
          <w:cantSplit/>
        </w:trPr>
        <w:tc>
          <w:tcPr>
            <w:tcW w:w="1869" w:type="dxa"/>
          </w:tcPr>
          <w:p w14:paraId="76EE4DB8"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Pr>
            </w:pPr>
          </w:p>
        </w:tc>
        <w:tc>
          <w:tcPr>
            <w:tcW w:w="624" w:type="dxa"/>
          </w:tcPr>
          <w:p w14:paraId="2F288B83"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p>
        </w:tc>
        <w:tc>
          <w:tcPr>
            <w:tcW w:w="624" w:type="dxa"/>
          </w:tcPr>
          <w:p w14:paraId="417CFEED"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p>
        </w:tc>
        <w:tc>
          <w:tcPr>
            <w:tcW w:w="6520" w:type="dxa"/>
            <w:gridSpan w:val="3"/>
          </w:tcPr>
          <w:p w14:paraId="734C97DF"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(ג)</w:t>
            </w:r>
            <w:r w:rsidRPr="00025B15">
              <w:rPr>
                <w:rFonts w:ascii="Arial" w:eastAsia="Arial Unicode MS" w:hAnsi="Arial" w:cs="David"/>
                <w:spacing w:val="0"/>
                <w:sz w:val="20"/>
                <w:szCs w:val="26"/>
                <w:rtl/>
              </w:rPr>
              <w:tab/>
              <w:t>בפסקה (4), במקום "שבע" יבוא "שלוש";</w:t>
            </w:r>
          </w:p>
        </w:tc>
      </w:tr>
      <w:tr w:rsidR="00025B15" w:rsidRPr="00025B15" w14:paraId="3BD03675" w14:textId="77777777" w:rsidTr="00480837">
        <w:tblPrEx>
          <w:tblLook w:val="0000" w:firstRow="0" w:lastRow="0" w:firstColumn="0" w:lastColumn="0" w:noHBand="0" w:noVBand="0"/>
        </w:tblPrEx>
        <w:trPr>
          <w:cantSplit/>
        </w:trPr>
        <w:tc>
          <w:tcPr>
            <w:tcW w:w="1869" w:type="dxa"/>
            <w:tcBorders>
              <w:top w:val="nil"/>
              <w:left w:val="nil"/>
              <w:bottom w:val="nil"/>
              <w:right w:val="nil"/>
            </w:tcBorders>
          </w:tcPr>
          <w:p w14:paraId="17D0DBFE"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tl/>
              </w:rPr>
            </w:pPr>
          </w:p>
        </w:tc>
        <w:tc>
          <w:tcPr>
            <w:tcW w:w="624" w:type="dxa"/>
            <w:tcBorders>
              <w:top w:val="nil"/>
              <w:left w:val="nil"/>
              <w:bottom w:val="nil"/>
              <w:right w:val="nil"/>
            </w:tcBorders>
          </w:tcPr>
          <w:p w14:paraId="42945E83"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p>
        </w:tc>
        <w:tc>
          <w:tcPr>
            <w:tcW w:w="7144" w:type="dxa"/>
            <w:gridSpan w:val="4"/>
            <w:tcBorders>
              <w:top w:val="nil"/>
              <w:left w:val="nil"/>
              <w:bottom w:val="nil"/>
              <w:right w:val="nil"/>
            </w:tcBorders>
          </w:tcPr>
          <w:p w14:paraId="50FAAD1E"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(2)</w:t>
            </w:r>
            <w:r w:rsidRPr="00025B15">
              <w:rPr>
                <w:rFonts w:ascii="Arial" w:eastAsia="Arial Unicode MS" w:hAnsi="Arial" w:cs="David"/>
                <w:spacing w:val="0"/>
                <w:sz w:val="20"/>
                <w:szCs w:val="26"/>
                <w:rtl/>
              </w:rPr>
              <w:tab/>
              <w:t xml:space="preserve">בסעיף קטן (ב) – </w:t>
            </w:r>
          </w:p>
        </w:tc>
      </w:tr>
      <w:tr w:rsidR="00025B15" w:rsidRPr="00025B15" w14:paraId="3E4423F4" w14:textId="77777777" w:rsidTr="00480837">
        <w:trPr>
          <w:cantSplit/>
        </w:trPr>
        <w:tc>
          <w:tcPr>
            <w:tcW w:w="1869" w:type="dxa"/>
          </w:tcPr>
          <w:p w14:paraId="3DC6092F"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Pr>
            </w:pPr>
          </w:p>
        </w:tc>
        <w:tc>
          <w:tcPr>
            <w:tcW w:w="624" w:type="dxa"/>
          </w:tcPr>
          <w:p w14:paraId="715B3261"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p>
        </w:tc>
        <w:tc>
          <w:tcPr>
            <w:tcW w:w="624" w:type="dxa"/>
          </w:tcPr>
          <w:p w14:paraId="52A89911"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p>
        </w:tc>
        <w:tc>
          <w:tcPr>
            <w:tcW w:w="6520" w:type="dxa"/>
            <w:gridSpan w:val="3"/>
          </w:tcPr>
          <w:p w14:paraId="2904F552"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(א)</w:t>
            </w:r>
            <w:r w:rsidRPr="00025B15">
              <w:rPr>
                <w:rFonts w:ascii="Arial" w:eastAsia="Arial Unicode MS" w:hAnsi="Arial" w:cs="David"/>
                <w:spacing w:val="0"/>
                <w:sz w:val="20"/>
                <w:szCs w:val="26"/>
                <w:rtl/>
              </w:rPr>
              <w:tab/>
              <w:t>בפסקה (1), במקום "חמש שנים" יבוא "שנתיים";</w:t>
            </w:r>
          </w:p>
        </w:tc>
      </w:tr>
      <w:tr w:rsidR="00025B15" w:rsidRPr="00025B15" w14:paraId="482DBFE6" w14:textId="77777777" w:rsidTr="00480837">
        <w:trPr>
          <w:cantSplit/>
        </w:trPr>
        <w:tc>
          <w:tcPr>
            <w:tcW w:w="1869" w:type="dxa"/>
          </w:tcPr>
          <w:p w14:paraId="57242753"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Pr>
            </w:pPr>
          </w:p>
        </w:tc>
        <w:tc>
          <w:tcPr>
            <w:tcW w:w="624" w:type="dxa"/>
          </w:tcPr>
          <w:p w14:paraId="21057345"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p>
        </w:tc>
        <w:tc>
          <w:tcPr>
            <w:tcW w:w="624" w:type="dxa"/>
          </w:tcPr>
          <w:p w14:paraId="6923E8EB"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p>
        </w:tc>
        <w:tc>
          <w:tcPr>
            <w:tcW w:w="6520" w:type="dxa"/>
            <w:gridSpan w:val="3"/>
          </w:tcPr>
          <w:p w14:paraId="21AB6AD2"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(ב)</w:t>
            </w:r>
            <w:r w:rsidRPr="00025B15">
              <w:rPr>
                <w:rFonts w:ascii="Arial" w:eastAsia="Arial Unicode MS" w:hAnsi="Arial" w:cs="David"/>
                <w:spacing w:val="0"/>
                <w:sz w:val="20"/>
                <w:szCs w:val="26"/>
                <w:rtl/>
              </w:rPr>
              <w:tab/>
              <w:t>בפסקה (2), במקום "שבע" יבוא "שלוש";</w:t>
            </w:r>
          </w:p>
        </w:tc>
      </w:tr>
      <w:tr w:rsidR="00025B15" w:rsidRPr="00025B15" w14:paraId="0B2502E5" w14:textId="77777777" w:rsidTr="00480837">
        <w:trPr>
          <w:cantSplit/>
        </w:trPr>
        <w:tc>
          <w:tcPr>
            <w:tcW w:w="1869" w:type="dxa"/>
          </w:tcPr>
          <w:p w14:paraId="1E27AA95"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Pr>
            </w:pPr>
          </w:p>
        </w:tc>
        <w:tc>
          <w:tcPr>
            <w:tcW w:w="624" w:type="dxa"/>
          </w:tcPr>
          <w:p w14:paraId="72C7C94D"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p>
        </w:tc>
        <w:tc>
          <w:tcPr>
            <w:tcW w:w="624" w:type="dxa"/>
          </w:tcPr>
          <w:p w14:paraId="7582917F"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p>
        </w:tc>
        <w:tc>
          <w:tcPr>
            <w:tcW w:w="6520" w:type="dxa"/>
            <w:gridSpan w:val="3"/>
          </w:tcPr>
          <w:p w14:paraId="2D149F03"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(ג)</w:t>
            </w:r>
            <w:r w:rsidRPr="00025B15">
              <w:rPr>
                <w:rFonts w:ascii="Arial" w:eastAsia="Arial Unicode MS" w:hAnsi="Arial" w:cs="David"/>
                <w:spacing w:val="0"/>
                <w:sz w:val="20"/>
                <w:szCs w:val="26"/>
                <w:rtl/>
              </w:rPr>
              <w:tab/>
              <w:t>בפסקה (4), במקום "שלוש שנים" יבוא "שנתיים".</w:t>
            </w:r>
          </w:p>
        </w:tc>
      </w:tr>
      <w:tr w:rsidR="00025B15" w:rsidRPr="00025B15" w14:paraId="666CAFCC" w14:textId="77777777" w:rsidTr="00480837">
        <w:trPr>
          <w:cantSplit/>
        </w:trPr>
        <w:tc>
          <w:tcPr>
            <w:tcW w:w="1869" w:type="dxa"/>
          </w:tcPr>
          <w:p w14:paraId="25ECC5A3"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Pr>
            </w:pPr>
            <w:r w:rsidRPr="00025B15">
              <w:rPr>
                <w:rFonts w:ascii="Arial" w:eastAsia="Arial Unicode MS" w:hAnsi="Arial" w:cs="David"/>
                <w:spacing w:val="0"/>
                <w:sz w:val="20"/>
                <w:szCs w:val="26"/>
                <w:rtl/>
              </w:rPr>
              <w:t>תיקון סעיף 16</w:t>
            </w:r>
          </w:p>
        </w:tc>
        <w:tc>
          <w:tcPr>
            <w:tcW w:w="624" w:type="dxa"/>
          </w:tcPr>
          <w:p w14:paraId="0766CBC5"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2.</w:t>
            </w:r>
          </w:p>
        </w:tc>
        <w:tc>
          <w:tcPr>
            <w:tcW w:w="7144" w:type="dxa"/>
            <w:gridSpan w:val="4"/>
          </w:tcPr>
          <w:p w14:paraId="0DA3F7F8"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בסעיף 16 לחוק העיקרי, במקום "עשר" יבוא "חמש".</w:t>
            </w:r>
          </w:p>
        </w:tc>
      </w:tr>
      <w:tr w:rsidR="00025B15" w:rsidRPr="00025B15" w14:paraId="02674828" w14:textId="77777777" w:rsidTr="00480837">
        <w:trPr>
          <w:cantSplit/>
        </w:trPr>
        <w:tc>
          <w:tcPr>
            <w:tcW w:w="1869" w:type="dxa"/>
          </w:tcPr>
          <w:p w14:paraId="72A1029E"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tl/>
              </w:rPr>
            </w:pPr>
            <w:r w:rsidRPr="00025B15">
              <w:rPr>
                <w:rFonts w:ascii="Arial" w:eastAsia="Arial Unicode MS" w:hAnsi="Arial" w:cs="David"/>
                <w:spacing w:val="0"/>
                <w:sz w:val="20"/>
                <w:szCs w:val="26"/>
                <w:rtl/>
              </w:rPr>
              <w:t>הוספת סעיף 21א</w:t>
            </w:r>
          </w:p>
        </w:tc>
        <w:tc>
          <w:tcPr>
            <w:tcW w:w="624" w:type="dxa"/>
          </w:tcPr>
          <w:p w14:paraId="25EE5B9D"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3.</w:t>
            </w:r>
          </w:p>
        </w:tc>
        <w:tc>
          <w:tcPr>
            <w:tcW w:w="7144" w:type="dxa"/>
            <w:gridSpan w:val="4"/>
          </w:tcPr>
          <w:p w14:paraId="443D6562"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אחרי סעיף 21 לחוק העיקרי יבוא:</w:t>
            </w:r>
          </w:p>
        </w:tc>
      </w:tr>
      <w:tr w:rsidR="00025B15" w:rsidRPr="00025B15" w14:paraId="207217CC" w14:textId="77777777" w:rsidTr="00480837">
        <w:trPr>
          <w:cantSplit/>
          <w:trHeight w:val="60"/>
        </w:trPr>
        <w:tc>
          <w:tcPr>
            <w:tcW w:w="1869" w:type="dxa"/>
          </w:tcPr>
          <w:p w14:paraId="4F47DB0E" w14:textId="77777777" w:rsidR="00025B15" w:rsidRPr="00025B15" w:rsidRDefault="00025B15" w:rsidP="00025B15">
            <w:pPr>
              <w:tabs>
                <w:tab w:val="left" w:pos="624"/>
                <w:tab w:val="left" w:pos="1247"/>
              </w:tabs>
              <w:snapToGrid w:val="0"/>
              <w:spacing w:before="0" w:line="360" w:lineRule="auto"/>
              <w:ind w:right="57" w:firstLine="0"/>
              <w:jc w:val="left"/>
              <w:rPr>
                <w:rFonts w:ascii="Arial" w:eastAsia="Arial Unicode MS" w:hAnsi="Arial" w:cs="David"/>
                <w:spacing w:val="0"/>
                <w:sz w:val="20"/>
                <w:szCs w:val="26"/>
              </w:rPr>
            </w:pPr>
          </w:p>
        </w:tc>
        <w:tc>
          <w:tcPr>
            <w:tcW w:w="624" w:type="dxa"/>
          </w:tcPr>
          <w:p w14:paraId="12AB8E98" w14:textId="77777777" w:rsidR="00025B15" w:rsidRPr="00025B15" w:rsidRDefault="00025B15" w:rsidP="00025B15">
            <w:pPr>
              <w:tabs>
                <w:tab w:val="left" w:pos="624"/>
                <w:tab w:val="left" w:pos="1247"/>
              </w:tabs>
              <w:snapToGrid w:val="0"/>
              <w:spacing w:before="0" w:line="360" w:lineRule="auto"/>
              <w:ind w:right="57" w:firstLine="0"/>
              <w:jc w:val="left"/>
              <w:rPr>
                <w:rFonts w:ascii="Arial" w:eastAsia="Arial Unicode MS" w:hAnsi="Arial" w:cs="David"/>
                <w:spacing w:val="0"/>
                <w:sz w:val="20"/>
                <w:szCs w:val="26"/>
              </w:rPr>
            </w:pPr>
          </w:p>
        </w:tc>
        <w:tc>
          <w:tcPr>
            <w:tcW w:w="1872" w:type="dxa"/>
            <w:gridSpan w:val="2"/>
          </w:tcPr>
          <w:p w14:paraId="5A8A13EA" w14:textId="77777777" w:rsidR="00025B15" w:rsidRPr="00955007" w:rsidRDefault="00025B15" w:rsidP="00955007">
            <w:pPr>
              <w:pStyle w:val="TableInnerSideHeading"/>
              <w:tabs>
                <w:tab w:val="left" w:pos="624"/>
                <w:tab w:val="left" w:pos="1247"/>
              </w:tabs>
              <w:ind w:right="0"/>
            </w:pPr>
            <w:r w:rsidRPr="00955007">
              <w:rPr>
                <w:rtl/>
              </w:rPr>
              <w:t>"שאלות בדבר עברו הפלילי של אדם</w:t>
            </w:r>
          </w:p>
        </w:tc>
        <w:tc>
          <w:tcPr>
            <w:tcW w:w="624" w:type="dxa"/>
          </w:tcPr>
          <w:p w14:paraId="7E2AE8C5" w14:textId="77777777" w:rsidR="00025B15" w:rsidRPr="00025B15" w:rsidRDefault="00025B15" w:rsidP="00025B15">
            <w:pPr>
              <w:keepLines/>
              <w:tabs>
                <w:tab w:val="left" w:pos="624"/>
                <w:tab w:val="left" w:pos="1247"/>
              </w:tabs>
              <w:snapToGrid w:val="0"/>
              <w:spacing w:before="0" w:line="360" w:lineRule="auto"/>
              <w:ind w:right="57" w:firstLine="0"/>
              <w:jc w:val="left"/>
              <w:rPr>
                <w:rFonts w:ascii="Arial" w:eastAsia="Arial Unicode MS" w:hAnsi="Arial" w:cs="David"/>
                <w:spacing w:val="0"/>
                <w:sz w:val="20"/>
                <w:szCs w:val="26"/>
              </w:rPr>
            </w:pPr>
            <w:r w:rsidRPr="00025B15">
              <w:rPr>
                <w:rFonts w:ascii="Arial" w:eastAsia="Arial Unicode MS" w:hAnsi="Arial" w:cs="David"/>
                <w:spacing w:val="0"/>
                <w:sz w:val="20"/>
                <w:szCs w:val="26"/>
                <w:rtl/>
              </w:rPr>
              <w:t>21א.</w:t>
            </w:r>
          </w:p>
        </w:tc>
        <w:tc>
          <w:tcPr>
            <w:tcW w:w="4648" w:type="dxa"/>
          </w:tcPr>
          <w:p w14:paraId="4F30DBEE"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r w:rsidRPr="00025B15">
              <w:rPr>
                <w:rFonts w:ascii="Arial" w:eastAsia="Arial Unicode MS" w:hAnsi="Arial" w:cs="David"/>
                <w:spacing w:val="0"/>
                <w:sz w:val="20"/>
                <w:szCs w:val="26"/>
                <w:rtl/>
              </w:rPr>
              <w:t>שאלה בדבר עברו הפלילי של אדם תיחשב כאילו אינה מתייחסת להרשעה או החלטה לסגור תיק שהתיישנה או שנמחקה, ואדם אינו חייב לגלות מידע זה למי שאינו זכאי לקבל מידע זה."</w:t>
            </w:r>
          </w:p>
        </w:tc>
      </w:tr>
      <w:tr w:rsidR="00025B15" w:rsidRPr="00025B15" w14:paraId="590C85B3" w14:textId="77777777" w:rsidTr="00480837">
        <w:trPr>
          <w:cantSplit/>
        </w:trPr>
        <w:tc>
          <w:tcPr>
            <w:tcW w:w="1869" w:type="dxa"/>
          </w:tcPr>
          <w:p w14:paraId="5407BAE2"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tl/>
              </w:rPr>
            </w:pPr>
            <w:r w:rsidRPr="00025B15">
              <w:rPr>
                <w:rFonts w:ascii="Arial" w:eastAsia="Arial Unicode MS" w:hAnsi="Arial" w:cs="David"/>
                <w:spacing w:val="0"/>
                <w:sz w:val="20"/>
                <w:szCs w:val="26"/>
                <w:rtl/>
              </w:rPr>
              <w:t>תיקון סעיף 22</w:t>
            </w:r>
          </w:p>
        </w:tc>
        <w:tc>
          <w:tcPr>
            <w:tcW w:w="624" w:type="dxa"/>
          </w:tcPr>
          <w:p w14:paraId="47995EC5"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4.</w:t>
            </w:r>
          </w:p>
        </w:tc>
        <w:tc>
          <w:tcPr>
            <w:tcW w:w="7144" w:type="dxa"/>
            <w:gridSpan w:val="4"/>
          </w:tcPr>
          <w:p w14:paraId="61D59045"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בסעיף 22 לחוק העיקרי –</w:t>
            </w:r>
          </w:p>
        </w:tc>
      </w:tr>
      <w:tr w:rsidR="00025B15" w:rsidRPr="00025B15" w14:paraId="549CBBB8" w14:textId="77777777" w:rsidTr="00480837">
        <w:trPr>
          <w:cantSplit/>
        </w:trPr>
        <w:tc>
          <w:tcPr>
            <w:tcW w:w="1869" w:type="dxa"/>
          </w:tcPr>
          <w:p w14:paraId="50720DAD"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tl/>
              </w:rPr>
            </w:pPr>
          </w:p>
        </w:tc>
        <w:tc>
          <w:tcPr>
            <w:tcW w:w="624" w:type="dxa"/>
          </w:tcPr>
          <w:p w14:paraId="42838408"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p>
        </w:tc>
        <w:tc>
          <w:tcPr>
            <w:tcW w:w="7144" w:type="dxa"/>
            <w:gridSpan w:val="4"/>
          </w:tcPr>
          <w:p w14:paraId="4A6D0D1C"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(1)</w:t>
            </w:r>
            <w:r w:rsidRPr="00025B15">
              <w:rPr>
                <w:rFonts w:ascii="Arial" w:eastAsia="Arial Unicode MS" w:hAnsi="Arial" w:cs="David"/>
                <w:spacing w:val="0"/>
                <w:sz w:val="20"/>
                <w:szCs w:val="26"/>
                <w:rtl/>
              </w:rPr>
              <w:tab/>
              <w:t>בסעיף קטן (א), לפני "מי שהשיג" יבוא</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"מי שאינו זכאי לקבל מידע בדבר עברו הפלילי של אדם לא ידרוש מהאדם למסור את המידע, במישרין או בעקיפין, לרבות בכתב;";</w:t>
            </w:r>
          </w:p>
        </w:tc>
      </w:tr>
      <w:tr w:rsidR="00025B15" w:rsidRPr="00025B15" w14:paraId="7B8D0963" w14:textId="77777777" w:rsidTr="00480837">
        <w:tblPrEx>
          <w:tblLook w:val="0000" w:firstRow="0" w:lastRow="0" w:firstColumn="0" w:lastColumn="0" w:noHBand="0" w:noVBand="0"/>
        </w:tblPrEx>
        <w:trPr>
          <w:cantSplit/>
        </w:trPr>
        <w:tc>
          <w:tcPr>
            <w:tcW w:w="1869" w:type="dxa"/>
            <w:tcBorders>
              <w:top w:val="nil"/>
              <w:left w:val="nil"/>
              <w:bottom w:val="nil"/>
              <w:right w:val="nil"/>
            </w:tcBorders>
          </w:tcPr>
          <w:p w14:paraId="1BDA65CD"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tl/>
              </w:rPr>
            </w:pPr>
          </w:p>
        </w:tc>
        <w:tc>
          <w:tcPr>
            <w:tcW w:w="624" w:type="dxa"/>
            <w:tcBorders>
              <w:top w:val="nil"/>
              <w:left w:val="nil"/>
              <w:bottom w:val="nil"/>
              <w:right w:val="nil"/>
            </w:tcBorders>
          </w:tcPr>
          <w:p w14:paraId="248028CA"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p>
        </w:tc>
        <w:tc>
          <w:tcPr>
            <w:tcW w:w="7144" w:type="dxa"/>
            <w:gridSpan w:val="4"/>
            <w:tcBorders>
              <w:top w:val="nil"/>
              <w:left w:val="nil"/>
              <w:bottom w:val="nil"/>
              <w:right w:val="nil"/>
            </w:tcBorders>
          </w:tcPr>
          <w:p w14:paraId="63A99384"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(2)</w:t>
            </w:r>
            <w:r w:rsidRPr="00025B15">
              <w:rPr>
                <w:rFonts w:ascii="Arial" w:eastAsia="Arial Unicode MS" w:hAnsi="Arial" w:cs="David"/>
                <w:spacing w:val="0"/>
                <w:sz w:val="20"/>
                <w:szCs w:val="26"/>
                <w:rtl/>
              </w:rPr>
              <w:tab/>
              <w:t>בסעיף קטן (ב), לפני "מי שהשיג" יבוא</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"מי שאינו זכאי לקבל מידע בדבר עברו הפלילי של אדם לא ידרוש מהאדם למסור את המידע, במישרין או בעקיפין, לרבות בכתב;".</w:t>
            </w:r>
          </w:p>
        </w:tc>
      </w:tr>
    </w:tbl>
    <w:p w14:paraId="6CAE2462" w14:textId="77777777" w:rsidR="00025B15" w:rsidRPr="00025B15" w:rsidRDefault="00025B15" w:rsidP="00955007">
      <w:pPr>
        <w:snapToGrid w:val="0"/>
        <w:spacing w:before="120" w:after="120" w:line="360" w:lineRule="auto"/>
        <w:ind w:firstLine="0"/>
        <w:jc w:val="center"/>
        <w:rPr>
          <w:rFonts w:cs="David"/>
          <w:b/>
          <w:spacing w:val="40"/>
          <w:sz w:val="20"/>
          <w:szCs w:val="26"/>
          <w:rtl/>
        </w:rPr>
      </w:pPr>
      <w:r w:rsidRPr="00025B15">
        <w:rPr>
          <w:rFonts w:cs="David"/>
          <w:b/>
          <w:spacing w:val="40"/>
          <w:sz w:val="20"/>
          <w:szCs w:val="26"/>
          <w:rtl/>
        </w:rPr>
        <w:t>דברי הסבר</w:t>
      </w:r>
    </w:p>
    <w:p w14:paraId="6FB6A262" w14:textId="77777777" w:rsidR="00025B15" w:rsidRPr="00025B15" w:rsidRDefault="00025B15" w:rsidP="00955007">
      <w:pPr>
        <w:snapToGrid w:val="0"/>
        <w:spacing w:before="0" w:line="312" w:lineRule="auto"/>
        <w:rPr>
          <w:rFonts w:ascii="Arial" w:eastAsia="Arial Unicode MS" w:hAnsi="Arial" w:cs="David"/>
          <w:spacing w:val="0"/>
          <w:sz w:val="20"/>
          <w:szCs w:val="26"/>
          <w:rtl/>
        </w:rPr>
      </w:pPr>
      <w:r w:rsidRPr="00025B15">
        <w:rPr>
          <w:rFonts w:ascii="Arial" w:eastAsia="Arial Unicode MS" w:hAnsi="Arial" w:cs="David"/>
          <w:spacing w:val="0"/>
          <w:sz w:val="20"/>
          <w:szCs w:val="26"/>
          <w:rtl/>
        </w:rPr>
        <w:t>בהצעת החוק המרשם</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הפלילי</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ותקנת</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השבים משנת 1981, צוין כי "אף</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שאופיו של</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החוק</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המוצע</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הוא</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לכאורה</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טכני</w:t>
      </w:r>
      <w:r w:rsidRPr="00025B15">
        <w:rPr>
          <w:rFonts w:ascii="Arial" w:eastAsia="Arial Unicode MS" w:hAnsi="Arial" w:cs="David"/>
          <w:spacing w:val="0"/>
          <w:sz w:val="20"/>
          <w:szCs w:val="26"/>
        </w:rPr>
        <w:t xml:space="preserve"> — </w:t>
      </w:r>
      <w:r w:rsidRPr="00025B15">
        <w:rPr>
          <w:rFonts w:ascii="Arial" w:eastAsia="Arial Unicode MS" w:hAnsi="Arial" w:cs="David"/>
          <w:spacing w:val="0"/>
          <w:sz w:val="20"/>
          <w:szCs w:val="26"/>
          <w:rtl/>
        </w:rPr>
        <w:t>שכן</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הוא</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בא</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להסדיר</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את</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ניהול המרשם</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של</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הרשעות, עונשים</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והחלטות</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אחרות</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במשפטים</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פליליים</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ואת</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מסירת</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המידע</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מן</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המרשם</w:t>
      </w:r>
      <w:r w:rsidRPr="00025B15">
        <w:rPr>
          <w:rFonts w:ascii="Arial" w:eastAsia="Arial Unicode MS" w:hAnsi="Arial" w:cs="David"/>
          <w:spacing w:val="0"/>
          <w:sz w:val="20"/>
          <w:szCs w:val="26"/>
        </w:rPr>
        <w:t xml:space="preserve"> — </w:t>
      </w:r>
      <w:r w:rsidRPr="00025B15">
        <w:rPr>
          <w:rFonts w:ascii="Arial" w:eastAsia="Arial Unicode MS" w:hAnsi="Arial" w:cs="David"/>
          <w:spacing w:val="0"/>
          <w:sz w:val="20"/>
          <w:szCs w:val="26"/>
          <w:rtl/>
        </w:rPr>
        <w:t>יש</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בו</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בשורה חברתית</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מתוך מגמתו</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לקדם</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בעל</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תשובה</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 xml:space="preserve">בשיקומו" (ה"ח התשמ"א, מס' 1514, עמ' 216). לכן, חוק המרשם הפלילי ותקנת השבים, התשמ"א–1981 (להלן – החוק), קובע כי המשטרה תנהל מרשם פלילי, וכן קובע הוראות לניהול המרשם ומסירת מידע מהמרשם. מסירת מידע כזה על אדם, יש לה השפעה מהותית על חייו. </w:t>
      </w:r>
    </w:p>
    <w:p w14:paraId="4C808143" w14:textId="1C16C65C" w:rsidR="00025B15" w:rsidRPr="00025B15" w:rsidRDefault="00025B15" w:rsidP="00955007">
      <w:pPr>
        <w:snapToGrid w:val="0"/>
        <w:spacing w:before="0" w:line="312" w:lineRule="auto"/>
        <w:rPr>
          <w:rFonts w:ascii="Arial" w:eastAsia="Arial Unicode MS" w:hAnsi="Arial" w:cs="David"/>
          <w:spacing w:val="0"/>
          <w:sz w:val="20"/>
          <w:szCs w:val="26"/>
          <w:rtl/>
        </w:rPr>
      </w:pPr>
      <w:r w:rsidRPr="00025B15">
        <w:rPr>
          <w:rFonts w:ascii="Arial" w:eastAsia="Arial Unicode MS" w:hAnsi="Arial" w:cs="David"/>
          <w:spacing w:val="0"/>
          <w:sz w:val="20"/>
          <w:szCs w:val="26"/>
          <w:rtl/>
        </w:rPr>
        <w:t>במהלך השנים שבהן הופעל ותוקן החוק חל כרסום בעיקרון של תקנת השבים. תיקים פליליים נחקרים במשך זמן ממושך, ומידע רב, החל משלב מוקדם של פתיחת תיק, שייתכן שלא יגיע לכדי אישום אלא ייסגר בלא כלום, נמסר לגורמים רבים. בנוסף, כמות האנשי</w:t>
      </w:r>
      <w:r w:rsidR="005C694A">
        <w:rPr>
          <w:rFonts w:ascii="Arial" w:eastAsia="Arial Unicode MS" w:hAnsi="Arial" w:cs="David"/>
          <w:spacing w:val="0"/>
          <w:sz w:val="20"/>
          <w:szCs w:val="26"/>
          <w:rtl/>
        </w:rPr>
        <w:t xml:space="preserve">ם שמידע עבורם מופיע במרשם עלה; למעל </w:t>
      </w:r>
      <w:r w:rsidR="005C694A">
        <w:rPr>
          <w:rFonts w:ascii="Arial" w:eastAsia="Arial Unicode MS" w:hAnsi="Arial" w:cs="David" w:hint="cs"/>
          <w:spacing w:val="0"/>
          <w:sz w:val="20"/>
          <w:szCs w:val="26"/>
          <w:rtl/>
        </w:rPr>
        <w:t>ל</w:t>
      </w:r>
      <w:r w:rsidRPr="00025B15">
        <w:rPr>
          <w:rFonts w:ascii="Arial" w:eastAsia="Arial Unicode MS" w:hAnsi="Arial" w:cs="David"/>
          <w:spacing w:val="0"/>
          <w:sz w:val="20"/>
          <w:szCs w:val="26"/>
          <w:rtl/>
        </w:rPr>
        <w:t>מיליון איש במדינה יש רישום ברישומי המשטרה (דוח הוועדה לבחינת חוק המרשם הפלילי ותקנת השבים, התשמ"א–1981, בראשות פרופ' רות קנאי). 70% מבעלי פרט רישום הם בעלי פרט רישום אחד בלבד.</w:t>
      </w:r>
    </w:p>
    <w:p w14:paraId="78EBC453" w14:textId="7EFFF4C7" w:rsidR="00025B15" w:rsidRPr="00025B15" w:rsidRDefault="00025B15" w:rsidP="00955007">
      <w:pPr>
        <w:snapToGrid w:val="0"/>
        <w:spacing w:before="0" w:line="312" w:lineRule="auto"/>
        <w:rPr>
          <w:rFonts w:ascii="Arial" w:eastAsia="Arial Unicode MS" w:hAnsi="Arial" w:cs="David"/>
          <w:spacing w:val="0"/>
          <w:sz w:val="20"/>
          <w:szCs w:val="26"/>
          <w:rtl/>
        </w:rPr>
      </w:pPr>
      <w:r w:rsidRPr="00025B15">
        <w:rPr>
          <w:rFonts w:ascii="Arial" w:eastAsia="Arial Unicode MS" w:hAnsi="Arial" w:cs="David"/>
          <w:spacing w:val="0"/>
          <w:sz w:val="20"/>
          <w:szCs w:val="26"/>
          <w:rtl/>
        </w:rPr>
        <w:t>לכן, יש צורך באיזון חדש בין תקנת השבים ופרטיותם של אנשים לבין הצורך של גופים שונים לקבל מידע על הליכים פליליים שתלויים ועומדים נגד אדם, או כאלה שהסתיימו, ולגבי האחרונים, גם כאלה שהסתיימו לפני זמן רב. מוצע, ראשית, לקצר את תקופת</w:t>
      </w:r>
      <w:r w:rsidR="005C694A">
        <w:rPr>
          <w:rFonts w:ascii="Arial" w:eastAsia="Arial Unicode MS" w:hAnsi="Arial" w:cs="David"/>
          <w:spacing w:val="0"/>
          <w:sz w:val="20"/>
          <w:szCs w:val="26"/>
          <w:rtl/>
        </w:rPr>
        <w:t xml:space="preserve"> ההתיישנות הקבועה בסעיף 14 לחוק</w:t>
      </w:r>
      <w:r w:rsidRPr="00025B15">
        <w:rPr>
          <w:rFonts w:ascii="Arial" w:eastAsia="Arial Unicode MS" w:hAnsi="Arial" w:cs="David"/>
          <w:spacing w:val="0"/>
          <w:sz w:val="20"/>
          <w:szCs w:val="26"/>
          <w:rtl/>
        </w:rPr>
        <w:t xml:space="preserve"> ואת תקופת המחיקה הקבועה בסעיף 16 לחוק. לאחר שעברה תקופת ההתיישנות ותקופת המחיקה, החוק קובע כי המידע הפלילי יימסר רק למספר גורמים מצומצם, ולכן ראוי לקצר את התקופות ולאפשר לאדם לחזור לתפקד בחברה מוקדם ככל האפשר, תוך קיום אפשרות למסירת המידע לגורמים מצומצמים במספרם.</w:t>
      </w:r>
    </w:p>
    <w:p w14:paraId="07D78DF4" w14:textId="36B5F95D" w:rsidR="00025B15" w:rsidRPr="00025B15" w:rsidRDefault="00025B15" w:rsidP="00955007">
      <w:pPr>
        <w:snapToGrid w:val="0"/>
        <w:spacing w:before="0" w:line="312" w:lineRule="auto"/>
        <w:rPr>
          <w:rFonts w:ascii="Arial" w:eastAsia="Arial Unicode MS" w:hAnsi="Arial" w:cs="David"/>
          <w:spacing w:val="0"/>
          <w:sz w:val="20"/>
          <w:szCs w:val="26"/>
          <w:rtl/>
        </w:rPr>
      </w:pPr>
      <w:r w:rsidRPr="00025B15">
        <w:rPr>
          <w:rFonts w:ascii="Arial" w:eastAsia="Arial Unicode MS" w:hAnsi="Arial" w:cs="David"/>
          <w:spacing w:val="0"/>
          <w:sz w:val="20"/>
          <w:szCs w:val="26"/>
          <w:rtl/>
        </w:rPr>
        <w:t xml:space="preserve">שנית, מוצע לקבוע בחוק כי מי שאינו זכאי לקבל מידע בדבר עברו הפלילי של אדם, אינו רשאי לדרוש מהאדם למסור את המידע בעצמו, לרבות בשיטות עקיפות כמו שאלות בכתב או תצהיר אצל עורך דין. אם בכל זאת יישאל האדם על עברו הפלילי, האדם יהיה רשאי לענות על השאלה כאילו אינה מתייחסת להרשעה שהתיישנה ולתיק סגור. במהלך קידום הצעת החוק יהיה מקום גם להתייחס לתיקים שנחקרו והחלטה בעניינם לא התקבלה זמן רב. נושא זה עלה לדיון בבית המשפט העליון, בעניין רפאל דיין (ע"א 8189/11 </w:t>
      </w:r>
      <w:r w:rsidRPr="00025B15">
        <w:rPr>
          <w:rFonts w:ascii="Arial" w:eastAsia="Arial Unicode MS" w:hAnsi="Arial" w:cs="David"/>
          <w:b/>
          <w:bCs/>
          <w:spacing w:val="0"/>
          <w:sz w:val="20"/>
          <w:szCs w:val="26"/>
          <w:rtl/>
        </w:rPr>
        <w:t>דיין נ' מפעל הפיס</w:t>
      </w:r>
      <w:r w:rsidR="00816CB9">
        <w:rPr>
          <w:rFonts w:ascii="Arial" w:eastAsia="Arial Unicode MS" w:hAnsi="Arial" w:cs="David" w:hint="cs"/>
          <w:b/>
          <w:bCs/>
          <w:spacing w:val="0"/>
          <w:sz w:val="20"/>
          <w:szCs w:val="26"/>
          <w:rtl/>
        </w:rPr>
        <w:t xml:space="preserve"> </w:t>
      </w:r>
      <w:r w:rsidR="00816CB9">
        <w:rPr>
          <w:rFonts w:ascii="Arial" w:eastAsia="Arial Unicode MS" w:hAnsi="Arial" w:cs="David" w:hint="cs"/>
          <w:spacing w:val="0"/>
          <w:sz w:val="20"/>
          <w:szCs w:val="26"/>
          <w:rtl/>
        </w:rPr>
        <w:t xml:space="preserve">(ניתן ביום </w:t>
      </w:r>
      <w:r w:rsidR="00BE5450">
        <w:rPr>
          <w:rFonts w:ascii="Arial" w:eastAsia="Arial Unicode MS" w:hAnsi="Arial" w:cs="David" w:hint="cs"/>
          <w:spacing w:val="0"/>
          <w:sz w:val="20"/>
          <w:szCs w:val="26"/>
          <w:rtl/>
        </w:rPr>
        <w:t>21 בפברואר 2013</w:t>
      </w:r>
      <w:r w:rsidRPr="00025B15">
        <w:rPr>
          <w:rFonts w:ascii="Arial" w:eastAsia="Arial Unicode MS" w:hAnsi="Arial" w:cs="David"/>
          <w:spacing w:val="0"/>
          <w:sz w:val="20"/>
          <w:szCs w:val="26"/>
          <w:rtl/>
        </w:rPr>
        <w:t xml:space="preserve">), שם נקבע על ידי השופטת ברק-ארז כי "חוק המרשם הפלילי אינו יוצר הסדר שלילי האוסר על בירורים עובדתיים רלוונטיים לקבלת החלטות. הוא רק מסדיר את הסוגיה של העברת מידע מן המרשם הפלילי עצמו" (פסקה 32), ולכן אין זה פסול שגוף, שלא רשאי לקבל מידע מהמרשם, יבקש ממועמד לעבודה להגיש תצהיר אודות עברו הפלילי. לאור הבעייתיות שראה היועץ המשפטי לממשלה בעמדה זו, נעתר בית המשפט העליון לבקשתו לקיים דיון נוסף בשאלות שעלו בפסק הדין. מן הראוי שגם המחוקק ייתן את דעתו לשאלה זו, ולכן מוצע לקבוע במפורש בחוק כי מי שאינו רשאי לקבל מידע מן המרשם אינו רשאי לבקש מהאדם תצהיר או מסמך דומה, וכן כי שאלה בדבר עברו הפלילי של אדם תיחשב כאילו אינה מתייחסת להרשעה שהתיישנה, </w:t>
      </w:r>
      <w:r w:rsidR="00434B95">
        <w:rPr>
          <w:rFonts w:ascii="Arial" w:eastAsia="Arial Unicode MS" w:hAnsi="Arial" w:cs="David"/>
          <w:spacing w:val="0"/>
          <w:sz w:val="20"/>
          <w:szCs w:val="26"/>
          <w:rtl/>
        </w:rPr>
        <w:t>או לתיק שנסגר על ידי המשטרה.</w:t>
      </w:r>
      <w:r w:rsidRPr="00025B15">
        <w:rPr>
          <w:rFonts w:ascii="Arial" w:eastAsia="Arial Unicode MS" w:hAnsi="Arial" w:cs="David"/>
          <w:spacing w:val="0"/>
          <w:sz w:val="20"/>
          <w:szCs w:val="26"/>
          <w:rtl/>
        </w:rPr>
        <w:t xml:space="preserve"> הסדר זה ישמור על האיזון הנאות בין זכותו של אדם לתקנת השבים, לבין האינטרס של מעביד לקבל את המידע הרלבנטי לצורך קבלת אדם לעבודה – איזון שבו עוסק, לכל ארכו, חוק המרשם הפלילי. </w:t>
      </w:r>
    </w:p>
    <w:p w14:paraId="4D231A04" w14:textId="77777777" w:rsidR="00025B15" w:rsidRPr="00025B15" w:rsidRDefault="00025B15" w:rsidP="00955007">
      <w:pPr>
        <w:snapToGrid w:val="0"/>
        <w:spacing w:before="0" w:line="312" w:lineRule="auto"/>
        <w:rPr>
          <w:rFonts w:ascii="Arial" w:eastAsia="Arial Unicode MS" w:hAnsi="Arial" w:cs="David"/>
          <w:spacing w:val="0"/>
          <w:sz w:val="20"/>
          <w:szCs w:val="26"/>
          <w:rtl/>
        </w:rPr>
      </w:pPr>
      <w:r w:rsidRPr="00025B15">
        <w:rPr>
          <w:rFonts w:ascii="Arial" w:eastAsia="Arial Unicode MS" w:hAnsi="Arial" w:cs="David"/>
          <w:spacing w:val="0"/>
          <w:sz w:val="20"/>
          <w:szCs w:val="26"/>
          <w:rtl/>
        </w:rPr>
        <w:t>הצעת חוק זהה הונחה על שולחן הכנסת התשע-עשרה על ידי חבר הכנסת יריב לוין (פ/2130/19).</w:t>
      </w:r>
    </w:p>
    <w:p w14:paraId="3104C7B9" w14:textId="77777777" w:rsidR="00381C2F" w:rsidRPr="0022704F" w:rsidRDefault="00381C2F" w:rsidP="00955007">
      <w:pPr>
        <w:spacing w:before="0" w:line="24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w:t>
      </w:r>
    </w:p>
    <w:p w14:paraId="1F6EDAAD" w14:textId="77777777" w:rsidR="00381C2F" w:rsidRPr="0022704F" w:rsidRDefault="00381C2F" w:rsidP="00955007">
      <w:pPr>
        <w:spacing w:before="0" w:line="24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הוגשה ליו"ר הכנסת והסגנים</w:t>
      </w:r>
    </w:p>
    <w:p w14:paraId="7AC7E9D9" w14:textId="77777777" w:rsidR="00381C2F" w:rsidRPr="0022704F" w:rsidRDefault="00381C2F" w:rsidP="00955007">
      <w:pPr>
        <w:spacing w:before="0" w:line="24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והונחה על שולחן הכנסת ביום</w:t>
      </w:r>
    </w:p>
    <w:p w14:paraId="7F6961CB" w14:textId="7D57568B" w:rsidR="00E13C27" w:rsidRDefault="00381C2F" w:rsidP="00955007">
      <w:pPr>
        <w:pStyle w:val="Hesber"/>
        <w:spacing w:line="240" w:lineRule="auto"/>
        <w:rPr>
          <w:rtl/>
        </w:rPr>
      </w:pPr>
      <w:r>
        <w:rPr>
          <w:rFonts w:hint="cs"/>
          <w:rtl/>
        </w:rPr>
        <w:t>כ"ב</w:t>
      </w:r>
      <w:r w:rsidRPr="00557D2C">
        <w:rPr>
          <w:rFonts w:hint="cs"/>
          <w:rtl/>
        </w:rPr>
        <w:t xml:space="preserve"> באייר התשע"ה </w:t>
      </w:r>
      <w:r w:rsidRPr="00557D2C">
        <w:rPr>
          <w:rtl/>
        </w:rPr>
        <w:t>–</w:t>
      </w:r>
      <w:r>
        <w:rPr>
          <w:rFonts w:hint="cs"/>
          <w:rtl/>
        </w:rPr>
        <w:t xml:space="preserve"> 11.5.15</w:t>
      </w:r>
      <w:bookmarkStart w:id="8" w:name="_GoBack"/>
      <w:bookmarkEnd w:id="8"/>
    </w:p>
    <w:sectPr w:rsidR="00E13C27" w:rsidSect="00955007">
      <w:footerReference w:type="even" r:id="rId12"/>
      <w:footerReference w:type="default" r:id="rId13"/>
      <w:pgSz w:w="11907" w:h="16840" w:code="9"/>
      <w:pgMar w:top="851" w:right="1134" w:bottom="851"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6961D3" w14:textId="77777777" w:rsidR="00C23B1A" w:rsidRDefault="00C23B1A">
      <w:r>
        <w:separator/>
      </w:r>
    </w:p>
  </w:endnote>
  <w:endnote w:type="continuationSeparator" w:id="0">
    <w:p w14:paraId="7F6961D4" w14:textId="77777777" w:rsidR="00C23B1A" w:rsidRDefault="00C23B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5" w14:textId="77777777" w:rsidR="001A0623" w:rsidRDefault="001A0623"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7F6961D6" w14:textId="77777777" w:rsidR="001A0623" w:rsidRDefault="001A0623">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7" w14:textId="77777777" w:rsidR="001A0623" w:rsidRDefault="001A0623"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955007">
      <w:rPr>
        <w:rStyle w:val="aa"/>
        <w:noProof/>
        <w:rtl/>
      </w:rPr>
      <w:t>2</w:t>
    </w:r>
    <w:r>
      <w:rPr>
        <w:rStyle w:val="aa"/>
        <w:rtl/>
      </w:rPr>
      <w:fldChar w:fldCharType="end"/>
    </w:r>
  </w:p>
  <w:p w14:paraId="7F6961D8" w14:textId="77777777" w:rsidR="001A0623" w:rsidRDefault="001A0623">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6961D0" w14:textId="77777777" w:rsidR="00C23B1A" w:rsidRDefault="00C23B1A">
      <w:r>
        <w:separator/>
      </w:r>
    </w:p>
  </w:footnote>
  <w:footnote w:type="continuationSeparator" w:id="0">
    <w:p w14:paraId="7F6961D1" w14:textId="77777777" w:rsidR="00C23B1A" w:rsidRDefault="00C23B1A">
      <w:r>
        <w:continuationSeparator/>
      </w:r>
    </w:p>
  </w:footnote>
  <w:footnote w:type="continuationNotice" w:id="1">
    <w:p w14:paraId="7F6961D2" w14:textId="77777777" w:rsidR="00C23B1A" w:rsidRDefault="00C23B1A"/>
  </w:footnote>
  <w:footnote w:id="2">
    <w:p w14:paraId="79342218" w14:textId="77777777" w:rsidR="00025B15" w:rsidRDefault="00025B15" w:rsidP="00025B15">
      <w:pPr>
        <w:pStyle w:val="a4"/>
      </w:pPr>
      <w:r>
        <w:rPr>
          <w:rStyle w:val="a5"/>
        </w:rPr>
        <w:footnoteRef/>
      </w:r>
      <w:r>
        <w:rPr>
          <w:rtl/>
        </w:rPr>
        <w:t xml:space="preserve"> ס"ח התשמ"א, עמ' 322.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25B15"/>
    <w:rsid w:val="0007681A"/>
    <w:rsid w:val="000A542E"/>
    <w:rsid w:val="00102B6B"/>
    <w:rsid w:val="001052D4"/>
    <w:rsid w:val="0010644B"/>
    <w:rsid w:val="001207F8"/>
    <w:rsid w:val="00121924"/>
    <w:rsid w:val="001279A8"/>
    <w:rsid w:val="0014195F"/>
    <w:rsid w:val="00152609"/>
    <w:rsid w:val="00153E1B"/>
    <w:rsid w:val="001A0623"/>
    <w:rsid w:val="001C23B0"/>
    <w:rsid w:val="00203A7F"/>
    <w:rsid w:val="002200A1"/>
    <w:rsid w:val="002362BF"/>
    <w:rsid w:val="00241B97"/>
    <w:rsid w:val="00246756"/>
    <w:rsid w:val="00251E58"/>
    <w:rsid w:val="00254605"/>
    <w:rsid w:val="002728B4"/>
    <w:rsid w:val="0027600C"/>
    <w:rsid w:val="00292712"/>
    <w:rsid w:val="002A487D"/>
    <w:rsid w:val="002C2E29"/>
    <w:rsid w:val="002D1EE3"/>
    <w:rsid w:val="002F1D80"/>
    <w:rsid w:val="003232A2"/>
    <w:rsid w:val="00325C14"/>
    <w:rsid w:val="003710F6"/>
    <w:rsid w:val="00381C2F"/>
    <w:rsid w:val="00386E88"/>
    <w:rsid w:val="00396585"/>
    <w:rsid w:val="003D74A0"/>
    <w:rsid w:val="004033D8"/>
    <w:rsid w:val="004073F0"/>
    <w:rsid w:val="00412A7D"/>
    <w:rsid w:val="00416B4D"/>
    <w:rsid w:val="00417CFC"/>
    <w:rsid w:val="00434B95"/>
    <w:rsid w:val="004B24ED"/>
    <w:rsid w:val="004D2D82"/>
    <w:rsid w:val="004D3876"/>
    <w:rsid w:val="004E4552"/>
    <w:rsid w:val="00553C9D"/>
    <w:rsid w:val="00562A66"/>
    <w:rsid w:val="005B064E"/>
    <w:rsid w:val="005C694A"/>
    <w:rsid w:val="005D51AE"/>
    <w:rsid w:val="0062674B"/>
    <w:rsid w:val="006363B2"/>
    <w:rsid w:val="00644940"/>
    <w:rsid w:val="006818A9"/>
    <w:rsid w:val="006A2D81"/>
    <w:rsid w:val="006C1D0D"/>
    <w:rsid w:val="0070601E"/>
    <w:rsid w:val="00712C72"/>
    <w:rsid w:val="00735FE9"/>
    <w:rsid w:val="00763CAA"/>
    <w:rsid w:val="00765F66"/>
    <w:rsid w:val="007C3FA6"/>
    <w:rsid w:val="007D585A"/>
    <w:rsid w:val="007D5A12"/>
    <w:rsid w:val="007E59F9"/>
    <w:rsid w:val="00810BCD"/>
    <w:rsid w:val="00812C98"/>
    <w:rsid w:val="00814D92"/>
    <w:rsid w:val="00816CB9"/>
    <w:rsid w:val="0083181D"/>
    <w:rsid w:val="00874BBC"/>
    <w:rsid w:val="00892135"/>
    <w:rsid w:val="00895449"/>
    <w:rsid w:val="00897879"/>
    <w:rsid w:val="008A6870"/>
    <w:rsid w:val="008C2DDC"/>
    <w:rsid w:val="008C7516"/>
    <w:rsid w:val="008E6EC7"/>
    <w:rsid w:val="008F0D63"/>
    <w:rsid w:val="008F2C35"/>
    <w:rsid w:val="008F6665"/>
    <w:rsid w:val="0091204F"/>
    <w:rsid w:val="009203DB"/>
    <w:rsid w:val="00923CD4"/>
    <w:rsid w:val="00943386"/>
    <w:rsid w:val="009456B6"/>
    <w:rsid w:val="00955007"/>
    <w:rsid w:val="00957589"/>
    <w:rsid w:val="00966D06"/>
    <w:rsid w:val="00982412"/>
    <w:rsid w:val="00983A8D"/>
    <w:rsid w:val="009A7257"/>
    <w:rsid w:val="009D6E0A"/>
    <w:rsid w:val="00A14672"/>
    <w:rsid w:val="00A26BD6"/>
    <w:rsid w:val="00A443CF"/>
    <w:rsid w:val="00A6611D"/>
    <w:rsid w:val="00A82CB7"/>
    <w:rsid w:val="00AA2F03"/>
    <w:rsid w:val="00AC36F7"/>
    <w:rsid w:val="00AC63A4"/>
    <w:rsid w:val="00AD239E"/>
    <w:rsid w:val="00B10265"/>
    <w:rsid w:val="00B21211"/>
    <w:rsid w:val="00B35784"/>
    <w:rsid w:val="00B733A7"/>
    <w:rsid w:val="00B975AD"/>
    <w:rsid w:val="00BC45FB"/>
    <w:rsid w:val="00BE5450"/>
    <w:rsid w:val="00BF148D"/>
    <w:rsid w:val="00C23B1A"/>
    <w:rsid w:val="00C310EB"/>
    <w:rsid w:val="00C9176A"/>
    <w:rsid w:val="00C97B08"/>
    <w:rsid w:val="00CF1AA2"/>
    <w:rsid w:val="00D63620"/>
    <w:rsid w:val="00D8410D"/>
    <w:rsid w:val="00D867D7"/>
    <w:rsid w:val="00DB7060"/>
    <w:rsid w:val="00DE3153"/>
    <w:rsid w:val="00E06736"/>
    <w:rsid w:val="00E13C27"/>
    <w:rsid w:val="00E33BBD"/>
    <w:rsid w:val="00E45103"/>
    <w:rsid w:val="00E665B9"/>
    <w:rsid w:val="00EA01E6"/>
    <w:rsid w:val="00EA3DE8"/>
    <w:rsid w:val="00EA758F"/>
    <w:rsid w:val="00ED4A6F"/>
    <w:rsid w:val="00EF3A3A"/>
    <w:rsid w:val="00F628D6"/>
    <w:rsid w:val="00F67051"/>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6">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7">
    <w:name w:val="header"/>
    <w:basedOn w:val="a"/>
    <w:rsid w:val="00B975AD"/>
    <w:pPr>
      <w:tabs>
        <w:tab w:val="center" w:pos="4153"/>
        <w:tab w:val="right" w:pos="8306"/>
      </w:tabs>
    </w:pPr>
  </w:style>
  <w:style w:type="paragraph" w:styleId="a8">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6">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7">
    <w:name w:val="header"/>
    <w:basedOn w:val="a"/>
    <w:rsid w:val="00B975AD"/>
    <w:pPr>
      <w:tabs>
        <w:tab w:val="center" w:pos="4153"/>
        <w:tab w:val="right" w:pos="8306"/>
      </w:tabs>
    </w:pPr>
  </w:style>
  <w:style w:type="paragraph" w:styleId="a8">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purl.org/dc/terms/"/>
    <ds:schemaRef ds:uri="http://purl.org/dc/elements/1.1/"/>
    <ds:schemaRef ds:uri="http://purl.org/dc/dcmitype/"/>
    <ds:schemaRef ds:uri="http://schemas.microsoft.com/office/2006/documentManagement/types"/>
    <ds:schemaRef ds:uri="http://schemas.microsoft.com/office/2006/metadata/properties"/>
    <ds:schemaRef ds:uri="http://www.w3.org/XML/1998/namespace"/>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FFE39293-3754-466A-8FE4-03CF6BDF88B9}"/>
</file>

<file path=customXml/itemProps4.xml><?xml version="1.0" encoding="utf-8"?>
<ds:datastoreItem xmlns:ds="http://schemas.openxmlformats.org/officeDocument/2006/customXml" ds:itemID="{48612CA3-5E3D-4366-99B9-4009111842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713</Words>
  <Characters>3568</Characters>
  <Application>Microsoft Office Word</Application>
  <DocSecurity>0</DocSecurity>
  <Lines>29</Lines>
  <Paragraphs>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4273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דפנה ברנאי</cp:lastModifiedBy>
  <cp:revision>8</cp:revision>
  <cp:lastPrinted>2015-05-06T12:34:00Z</cp:lastPrinted>
  <dcterms:created xsi:type="dcterms:W3CDTF">2015-03-26T08:06:00Z</dcterms:created>
  <dcterms:modified xsi:type="dcterms:W3CDTF">2015-05-06T12:34:00Z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0354fdee-f711-4d2a-9cf2-2d1c4d9ac92a</vt:lpwstr>
  </property>
  <property fmtid="{D5CDD505-2E9C-101B-9397-08002B2CF9AE}" pid="4" name="SanhedrinDocumentType">
    <vt:r8>88</vt:r8>
  </property>
  <property fmtid="{D5CDD505-2E9C-101B-9397-08002B2CF9AE}" pid="5" name="SanhedrinItemID">
    <vt:r8>2022162</vt:r8>
  </property>
</Properties>
</file>