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2016863</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6B799C56" w:rsidR="00E13C27" w:rsidRPr="00CF1AA2" w:rsidRDefault="008F6665" w:rsidP="00C86C73">
      <w:pPr>
        <w:pStyle w:val="David"/>
        <w:spacing w:line="360" w:lineRule="auto"/>
        <w:ind w:left="3544"/>
        <w:rPr>
          <w:b/>
          <w:bCs/>
          <w:sz w:val="16"/>
          <w:szCs w:val="16"/>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יוליה מלינובסקי</w:t>
      </w:r>
      <w:r>
        <w:br/>
      </w:r>
      <w:r>
        <w:rPr>
          <w:rFonts w:hint="cs"/>
          <w:b/>
          <w:bCs/>
          <w:rtl/>
        </w:rPr>
        <w:t xml:space="preserve"> </w:t>
      </w:r>
      <w:r>
        <w:tab/>
      </w:r>
      <w:r>
        <w:tab/>
      </w:r>
      <w:r>
        <w:tab/>
      </w:r>
      <w:r>
        <w:tab/>
      </w:r>
      <w:r>
        <w:rPr>
          <w:rFonts w:hint="cs"/>
          <w:b/>
          <w:bCs/>
          <w:rtl/>
        </w:rPr>
        <w:t>רוברט אילטוב</w:t>
      </w:r>
      <w:r>
        <w:br/>
      </w:r>
      <w:r>
        <w:rPr>
          <w:rFonts w:hint="cs"/>
          <w:b/>
          <w:bCs/>
          <w:rtl/>
        </w:rPr>
        <w:t xml:space="preserve"> </w:t>
      </w:r>
      <w:r>
        <w:tab/>
      </w:r>
      <w:r>
        <w:tab/>
      </w:r>
      <w:r>
        <w:tab/>
      </w:r>
      <w:r>
        <w:tab/>
      </w:r>
      <w:r>
        <w:rPr>
          <w:rFonts w:hint="cs"/>
          <w:b/>
          <w:bCs/>
          <w:rtl/>
        </w:rPr>
        <w:t>חמד עמאר</w:t>
      </w:r>
      <w:r>
        <w:br/>
      </w:r>
      <w:r>
        <w:rPr>
          <w:rFonts w:hint="cs"/>
          <w:b/>
          <w:bCs/>
          <w:rtl/>
        </w:rPr>
        <w:t xml:space="preserve"> </w:t>
      </w:r>
      <w:r>
        <w:tab/>
      </w:r>
      <w:r>
        <w:tab/>
      </w:r>
      <w:r>
        <w:tab/>
      </w:r>
      <w:r>
        <w:tab/>
      </w:r>
      <w:r>
        <w:rPr>
          <w:rFonts w:hint="cs"/>
          <w:b/>
          <w:bCs/>
          <w:rtl/>
        </w:rPr>
        <w:t>עודד פורר</w:t>
      </w:r>
      <w:r>
        <w:br/>
      </w:r>
      <w:r>
        <w:rPr>
          <w:rFonts w:hint="cs"/>
          <w:b/>
          <w:bCs/>
          <w:rtl/>
        </w:rPr>
        <w:t xml:space="preserve"> </w:t>
      </w:r>
      <w:r>
        <w:tab/>
      </w:r>
      <w:r>
        <w:tab/>
      </w:r>
      <w:r>
        <w:tab/>
      </w:r>
      <w:r>
        <w:tab/>
      </w:r>
      <w:r>
        <w:rPr>
          <w:rFonts w:hint="cs"/>
          <w:b/>
          <w:bCs/>
          <w:rtl/>
        </w:rPr>
        <w:t>יעל גרמן</w:t>
      </w:r>
      <w:r>
        <w:br/>
      </w:r>
      <w:r>
        <w:rPr>
          <w:rFonts w:hint="cs"/>
          <w:b/>
          <w:bCs/>
          <w:rtl/>
        </w:rPr>
        <w:t xml:space="preserve"> </w:t>
      </w:r>
      <w:r>
        <w:tab/>
      </w:r>
      <w:r>
        <w:tab/>
      </w:r>
      <w:r>
        <w:tab/>
      </w:r>
      <w:r>
        <w:tab/>
      </w:r>
      <w:r>
        <w:rPr>
          <w:rFonts w:hint="cs"/>
          <w:b/>
          <w:bCs/>
          <w:rtl/>
        </w:rPr>
        <w:t>מרב מיכאלי</w:t>
      </w:r>
      <w:r>
        <w:br/>
      </w:r>
      <w:r>
        <w:rPr>
          <w:rFonts w:hint="cs"/>
          <w:b/>
          <w:bCs/>
          <w:rtl/>
        </w:rPr>
        <w:t xml:space="preserve"> </w:t>
      </w:r>
      <w:r>
        <w:tab/>
      </w:r>
      <w:r>
        <w:tab/>
      </w:r>
      <w:r>
        <w:tab/>
      </w:r>
      <w:r>
        <w:tab/>
      </w:r>
      <w:r>
        <w:rPr>
          <w:rFonts w:hint="cs"/>
          <w:b/>
          <w:bCs/>
          <w:rtl/>
        </w:rPr>
        <w:t>איילת נחמיאס ורבין</w:t>
      </w:r>
      <w:r>
        <w:br/>
      </w:r>
      <w:r>
        <w:rPr>
          <w:rFonts w:hint="cs"/>
          <w:b/>
          <w:bCs/>
          <w:rtl/>
        </w:rPr>
        <w:t xml:space="preserve"> </w:t>
      </w:r>
      <w:r>
        <w:tab/>
      </w:r>
      <w:r>
        <w:tab/>
      </w:r>
      <w:r>
        <w:tab/>
      </w:r>
      <w:r>
        <w:tab/>
      </w:r>
      <w:r>
        <w:rPr>
          <w:rFonts w:hint="cs"/>
          <w:b/>
          <w:bCs/>
          <w:rtl/>
        </w:rPr>
        <w:t>ענת ברקו</w:t>
      </w:r>
      <w:r>
        <w:br/>
      </w:r>
      <w:r>
        <w:rPr>
          <w:rFonts w:hint="cs"/>
          <w:b/>
          <w:bCs/>
          <w:rtl/>
        </w:rPr>
        <w:t xml:space="preserve"> </w:t>
      </w:r>
      <w:r>
        <w:tab/>
      </w:r>
      <w:r>
        <w:tab/>
      </w:r>
      <w:r>
        <w:tab/>
      </w:r>
      <w:r>
        <w:tab/>
      </w:r>
      <w:r>
        <w:rPr>
          <w:rFonts w:hint="cs"/>
          <w:b/>
          <w:bCs/>
          <w:rtl/>
        </w:rPr>
        <w:t>עליזה לביא</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פ/4274/20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36795964" w:rsidR="00E13C27" w:rsidRPr="00F67051" w:rsidRDefault="00A443CF" w:rsidP="00FE62BC">
      <w:pPr>
        <w:pStyle w:val="HeadHatzaotHok"/>
        <w:rPr>
          <w:rtl/>
        </w:rPr>
      </w:pPr>
      <w:bookmarkStart w:id="8" w:name="LGS_Subject"/>
      <w:r>
        <w:rPr>
          <w:rFonts w:hint="cs"/>
          <w:rtl/>
        </w:rPr>
        <w:t xml:space="preserve">הצעת חוק שירות הקבע בצבא הגנה לישראל (חיילות בשירות קבע) (תיקון – מניעת פיטורים עקב טיפולי פוריות והפריה חוץ-גופית), </w:t>
      </w:r>
      <w:proofErr w:type="spellStart"/>
      <w:r>
        <w:rPr>
          <w:rFonts w:hint="cs"/>
          <w:rtl/>
        </w:rPr>
        <w:t>התשע"ז</w:t>
      </w:r>
      <w:proofErr w:type="spellEnd"/>
      <w:r>
        <w:rPr>
          <w:rFonts w:hint="cs"/>
          <w:rtl/>
        </w:rPr>
        <w:t>–2017</w:t>
      </w:r>
      <w:bookmarkEnd w:id="8"/>
    </w:p>
    <w:p w14:paraId="7F6961AE" w14:textId="77777777" w:rsidR="00E13C27" w:rsidRDefault="00E13C27" w:rsidP="0021633A">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649"/>
      </w:tblGrid>
      <w:tr w:rsidR="006A7C2F" w14:paraId="0BCC3EBD" w14:textId="77777777" w:rsidTr="00A00B5F">
        <w:trPr>
          <w:cantSplit/>
        </w:trPr>
        <w:tc>
          <w:tcPr>
            <w:tcW w:w="1869" w:type="dxa"/>
          </w:tcPr>
          <w:p w14:paraId="6054680A" w14:textId="72D2545B" w:rsidR="006A7C2F" w:rsidRDefault="006A7C2F" w:rsidP="007E751D">
            <w:pPr>
              <w:pStyle w:val="TableSideHeading"/>
              <w:keepLines w:val="0"/>
            </w:pPr>
            <w:r>
              <w:rPr>
                <w:rFonts w:hint="cs"/>
                <w:rtl/>
              </w:rPr>
              <w:t>תיקון סעיף 1</w:t>
            </w:r>
          </w:p>
        </w:tc>
        <w:tc>
          <w:tcPr>
            <w:tcW w:w="624" w:type="dxa"/>
          </w:tcPr>
          <w:p w14:paraId="21283C4C" w14:textId="7FA5F3E3" w:rsidR="006A7C2F" w:rsidRDefault="00056908" w:rsidP="00056908">
            <w:pPr>
              <w:pStyle w:val="TableText"/>
              <w:ind w:right="0"/>
              <w:jc w:val="both"/>
            </w:pPr>
            <w:r>
              <w:rPr>
                <w:rFonts w:hint="cs"/>
                <w:rtl/>
              </w:rPr>
              <w:t xml:space="preserve">1. </w:t>
            </w:r>
          </w:p>
        </w:tc>
        <w:tc>
          <w:tcPr>
            <w:tcW w:w="7145" w:type="dxa"/>
            <w:gridSpan w:val="5"/>
          </w:tcPr>
          <w:p w14:paraId="1F9E0255" w14:textId="0CCC8D0D" w:rsidR="006A7C2F" w:rsidRPr="00C34DE2" w:rsidRDefault="008D3299" w:rsidP="00EE1426">
            <w:pPr>
              <w:pStyle w:val="TableBlock"/>
            </w:pPr>
            <w:r>
              <w:rPr>
                <w:rFonts w:hint="cs"/>
                <w:color w:val="auto"/>
                <w:sz w:val="26"/>
                <w:rtl/>
              </w:rPr>
              <w:t>בחוק</w:t>
            </w:r>
            <w:r w:rsidR="0005596C" w:rsidRPr="00B51333">
              <w:rPr>
                <w:color w:val="auto"/>
                <w:sz w:val="26"/>
                <w:rtl/>
              </w:rPr>
              <w:t xml:space="preserve"> </w:t>
            </w:r>
            <w:r w:rsidR="006A7C2F" w:rsidRPr="00B51333">
              <w:rPr>
                <w:color w:val="auto"/>
                <w:sz w:val="26"/>
                <w:rtl/>
              </w:rPr>
              <w:t xml:space="preserve">שירות הקבע בצבא הגנה לישראל (חיילות בשירות קבע), </w:t>
            </w:r>
            <w:proofErr w:type="spellStart"/>
            <w:r w:rsidR="00C24968">
              <w:rPr>
                <w:rFonts w:hint="cs"/>
                <w:color w:val="auto"/>
                <w:sz w:val="26"/>
                <w:rtl/>
              </w:rPr>
              <w:t>ה</w:t>
            </w:r>
            <w:r w:rsidR="006A7C2F" w:rsidRPr="00B51333">
              <w:rPr>
                <w:color w:val="auto"/>
                <w:sz w:val="26"/>
                <w:rtl/>
              </w:rPr>
              <w:t>תשע"א</w:t>
            </w:r>
            <w:proofErr w:type="spellEnd"/>
            <w:r w:rsidR="0005596C">
              <w:rPr>
                <w:rFonts w:hint="cs"/>
                <w:color w:val="auto"/>
                <w:sz w:val="26"/>
                <w:rtl/>
              </w:rPr>
              <w:t>–</w:t>
            </w:r>
            <w:r w:rsidR="006A7C2F" w:rsidRPr="00B51333">
              <w:rPr>
                <w:color w:val="auto"/>
                <w:sz w:val="26"/>
                <w:rtl/>
              </w:rPr>
              <w:t>2010</w:t>
            </w:r>
            <w:r w:rsidR="006A7C2F" w:rsidRPr="00B51333">
              <w:rPr>
                <w:rStyle w:val="a6"/>
                <w:color w:val="auto"/>
                <w:sz w:val="26"/>
                <w:rtl/>
              </w:rPr>
              <w:footnoteReference w:id="2"/>
            </w:r>
            <w:r w:rsidR="006A7C2F" w:rsidRPr="00B51333">
              <w:rPr>
                <w:rFonts w:hint="cs"/>
                <w:color w:val="auto"/>
                <w:sz w:val="26"/>
                <w:rtl/>
              </w:rPr>
              <w:t xml:space="preserve"> (להלן</w:t>
            </w:r>
            <w:r>
              <w:rPr>
                <w:rFonts w:hint="cs"/>
                <w:color w:val="auto"/>
                <w:sz w:val="26"/>
                <w:rtl/>
              </w:rPr>
              <w:t xml:space="preserve"> </w:t>
            </w:r>
            <w:r>
              <w:rPr>
                <w:rFonts w:hint="eastAsia"/>
                <w:color w:val="auto"/>
                <w:sz w:val="26"/>
                <w:rtl/>
              </w:rPr>
              <w:t>–</w:t>
            </w:r>
            <w:r w:rsidRPr="00B51333">
              <w:rPr>
                <w:rFonts w:hint="cs"/>
                <w:color w:val="auto"/>
                <w:sz w:val="26"/>
                <w:rtl/>
              </w:rPr>
              <w:t xml:space="preserve"> </w:t>
            </w:r>
            <w:r w:rsidR="006A7C2F" w:rsidRPr="00B51333">
              <w:rPr>
                <w:rFonts w:hint="cs"/>
                <w:color w:val="auto"/>
                <w:sz w:val="26"/>
                <w:rtl/>
              </w:rPr>
              <w:t>החוק העיקרי)</w:t>
            </w:r>
            <w:r w:rsidR="006A7C2F" w:rsidRPr="00B51333">
              <w:rPr>
                <w:color w:val="auto"/>
                <w:sz w:val="26"/>
                <w:rtl/>
              </w:rPr>
              <w:t xml:space="preserve">, בסעיף </w:t>
            </w:r>
            <w:r w:rsidR="006A7C2F" w:rsidRPr="00B51333">
              <w:rPr>
                <w:rFonts w:hint="cs"/>
                <w:color w:val="auto"/>
                <w:sz w:val="26"/>
                <w:rtl/>
              </w:rPr>
              <w:t>1</w:t>
            </w:r>
            <w:r w:rsidR="00056908">
              <w:rPr>
                <w:rFonts w:hint="cs"/>
                <w:color w:val="auto"/>
                <w:sz w:val="26"/>
                <w:rtl/>
              </w:rPr>
              <w:t>,</w:t>
            </w:r>
            <w:r w:rsidR="006A7C2F" w:rsidRPr="00B51333">
              <w:rPr>
                <w:rFonts w:hint="cs"/>
                <w:color w:val="auto"/>
                <w:sz w:val="26"/>
                <w:rtl/>
              </w:rPr>
              <w:t xml:space="preserve"> </w:t>
            </w:r>
            <w:r w:rsidR="006A7C2F" w:rsidRPr="00B51333">
              <w:rPr>
                <w:color w:val="auto"/>
                <w:sz w:val="26"/>
                <w:rtl/>
              </w:rPr>
              <w:t xml:space="preserve"> אחר</w:t>
            </w:r>
            <w:r w:rsidR="00056908">
              <w:rPr>
                <w:rFonts w:hint="cs"/>
                <w:color w:val="auto"/>
                <w:sz w:val="26"/>
                <w:rtl/>
              </w:rPr>
              <w:t>י</w:t>
            </w:r>
            <w:r w:rsidR="006A7C2F" w:rsidRPr="00B51333">
              <w:rPr>
                <w:color w:val="auto"/>
                <w:sz w:val="26"/>
                <w:rtl/>
              </w:rPr>
              <w:t xml:space="preserve"> </w:t>
            </w:r>
            <w:r w:rsidR="006A7C2F" w:rsidRPr="00B51333">
              <w:rPr>
                <w:rFonts w:hint="cs"/>
                <w:color w:val="auto"/>
                <w:sz w:val="26"/>
                <w:rtl/>
              </w:rPr>
              <w:t>ה</w:t>
            </w:r>
            <w:r w:rsidR="00056908">
              <w:rPr>
                <w:rFonts w:hint="cs"/>
                <w:color w:val="auto"/>
                <w:sz w:val="26"/>
                <w:rtl/>
              </w:rPr>
              <w:t>ה</w:t>
            </w:r>
            <w:r w:rsidR="006A7C2F" w:rsidRPr="00B51333">
              <w:rPr>
                <w:rFonts w:hint="cs"/>
                <w:color w:val="auto"/>
                <w:sz w:val="26"/>
                <w:rtl/>
              </w:rPr>
              <w:t>גדר</w:t>
            </w:r>
            <w:r w:rsidR="00056908">
              <w:rPr>
                <w:rFonts w:hint="cs"/>
                <w:color w:val="auto"/>
                <w:sz w:val="26"/>
                <w:rtl/>
              </w:rPr>
              <w:t>ה</w:t>
            </w:r>
            <w:r w:rsidR="006A7C2F" w:rsidRPr="00B51333">
              <w:rPr>
                <w:rFonts w:hint="cs"/>
                <w:color w:val="auto"/>
                <w:sz w:val="26"/>
                <w:rtl/>
              </w:rPr>
              <w:t xml:space="preserve"> </w:t>
            </w:r>
            <w:r w:rsidR="00D465CC">
              <w:rPr>
                <w:rFonts w:hint="cs"/>
                <w:color w:val="auto"/>
                <w:sz w:val="26"/>
                <w:rtl/>
              </w:rPr>
              <w:t>"</w:t>
            </w:r>
            <w:r w:rsidR="006A7C2F" w:rsidRPr="00B51333">
              <w:rPr>
                <w:rFonts w:hint="cs"/>
                <w:color w:val="auto"/>
                <w:sz w:val="26"/>
                <w:rtl/>
              </w:rPr>
              <w:t>"</w:t>
            </w:r>
            <w:r w:rsidR="00EE1426">
              <w:rPr>
                <w:rFonts w:hint="cs"/>
                <w:color w:val="auto"/>
                <w:sz w:val="26"/>
                <w:rtl/>
              </w:rPr>
              <w:t>חופשת לידה</w:t>
            </w:r>
            <w:r w:rsidR="006A7C2F" w:rsidRPr="00B51333">
              <w:rPr>
                <w:rFonts w:hint="cs"/>
                <w:color w:val="auto"/>
                <w:sz w:val="26"/>
                <w:rtl/>
              </w:rPr>
              <w:t>"</w:t>
            </w:r>
            <w:r w:rsidR="00D465CC">
              <w:rPr>
                <w:rFonts w:hint="cs"/>
                <w:color w:val="auto"/>
                <w:sz w:val="26"/>
                <w:rtl/>
              </w:rPr>
              <w:t>, "חופשה מיוחדת בלא תשלום"",</w:t>
            </w:r>
            <w:r w:rsidR="006A7C2F" w:rsidRPr="00B51333">
              <w:rPr>
                <w:color w:val="auto"/>
                <w:sz w:val="26"/>
                <w:rtl/>
              </w:rPr>
              <w:t xml:space="preserve"> יבוא:</w:t>
            </w:r>
          </w:p>
        </w:tc>
      </w:tr>
      <w:tr w:rsidR="006A7C2F" w14:paraId="0453F17E" w14:textId="77777777" w:rsidTr="00A00B5F">
        <w:trPr>
          <w:cantSplit/>
        </w:trPr>
        <w:tc>
          <w:tcPr>
            <w:tcW w:w="1869" w:type="dxa"/>
          </w:tcPr>
          <w:p w14:paraId="4F3AF286" w14:textId="77777777" w:rsidR="006A7C2F" w:rsidRDefault="006A7C2F" w:rsidP="007E751D">
            <w:pPr>
              <w:pStyle w:val="TableSideHeading"/>
              <w:keepLines w:val="0"/>
              <w:rPr>
                <w:rtl/>
              </w:rPr>
            </w:pPr>
          </w:p>
        </w:tc>
        <w:tc>
          <w:tcPr>
            <w:tcW w:w="624" w:type="dxa"/>
          </w:tcPr>
          <w:p w14:paraId="2376DBD1" w14:textId="77777777" w:rsidR="006A7C2F" w:rsidRPr="00056908" w:rsidRDefault="006A7C2F" w:rsidP="00347736">
            <w:pPr>
              <w:pStyle w:val="TableText"/>
              <w:ind w:right="0"/>
              <w:jc w:val="both"/>
            </w:pPr>
          </w:p>
        </w:tc>
        <w:tc>
          <w:tcPr>
            <w:tcW w:w="7145" w:type="dxa"/>
            <w:gridSpan w:val="5"/>
          </w:tcPr>
          <w:p w14:paraId="21DBB24D" w14:textId="1E4BE532" w:rsidR="006A7C2F" w:rsidRPr="00D465CC" w:rsidRDefault="00056908" w:rsidP="00D465CC">
            <w:pPr>
              <w:pStyle w:val="TableBlockOutdent"/>
              <w:rPr>
                <w:rtl/>
              </w:rPr>
            </w:pPr>
            <w:r w:rsidRPr="00D465CC">
              <w:rPr>
                <w:rFonts w:hint="cs"/>
                <w:rtl/>
              </w:rPr>
              <w:t>"</w:t>
            </w:r>
            <w:r w:rsidR="006A7C2F" w:rsidRPr="00D465CC">
              <w:rPr>
                <w:rFonts w:hint="cs"/>
                <w:rtl/>
              </w:rPr>
              <w:t xml:space="preserve">"חייל בשירות קבע" </w:t>
            </w:r>
            <w:r w:rsidR="006A7C2F" w:rsidRPr="00D465CC">
              <w:rPr>
                <w:rtl/>
              </w:rPr>
              <w:t>–</w:t>
            </w:r>
            <w:r w:rsidR="006A7C2F" w:rsidRPr="00D465CC">
              <w:rPr>
                <w:rFonts w:hint="cs"/>
                <w:rtl/>
              </w:rPr>
              <w:t xml:space="preserve"> חייל המשרת שיר</w:t>
            </w:r>
            <w:r w:rsidR="001A1BF9" w:rsidRPr="00D465CC">
              <w:rPr>
                <w:rFonts w:hint="cs"/>
                <w:rtl/>
              </w:rPr>
              <w:t>ות צבאי לפי התחייבות לשירות קבע</w:t>
            </w:r>
            <w:r w:rsidR="00D465CC" w:rsidRPr="00D465CC">
              <w:rPr>
                <w:rFonts w:hint="cs"/>
                <w:rtl/>
              </w:rPr>
              <w:t>;</w:t>
            </w:r>
            <w:r w:rsidR="006A7C2F" w:rsidRPr="00D465CC">
              <w:rPr>
                <w:rFonts w:hint="cs"/>
                <w:rtl/>
              </w:rPr>
              <w:t>"</w:t>
            </w:r>
            <w:r w:rsidR="001A1BF9" w:rsidRPr="00D465CC">
              <w:rPr>
                <w:rFonts w:hint="cs"/>
                <w:rtl/>
              </w:rPr>
              <w:t>.</w:t>
            </w:r>
          </w:p>
        </w:tc>
      </w:tr>
      <w:tr w:rsidR="00056908" w14:paraId="7741B07C" w14:textId="77777777" w:rsidTr="00347736">
        <w:trPr>
          <w:cantSplit/>
        </w:trPr>
        <w:tc>
          <w:tcPr>
            <w:tcW w:w="1869" w:type="dxa"/>
          </w:tcPr>
          <w:p w14:paraId="16B3A4A9" w14:textId="064DFF2D" w:rsidR="00056908" w:rsidRDefault="00056908" w:rsidP="00056908">
            <w:pPr>
              <w:pStyle w:val="TableSideHeading"/>
              <w:keepLines w:val="0"/>
            </w:pPr>
            <w:r>
              <w:rPr>
                <w:rFonts w:hint="cs"/>
                <w:color w:val="auto"/>
                <w:sz w:val="26"/>
                <w:rtl/>
              </w:rPr>
              <w:t>תיקון סעיף 2</w:t>
            </w:r>
          </w:p>
        </w:tc>
        <w:tc>
          <w:tcPr>
            <w:tcW w:w="624" w:type="dxa"/>
          </w:tcPr>
          <w:p w14:paraId="04C0A789" w14:textId="7CD48855" w:rsidR="00056908" w:rsidRPr="00056908" w:rsidRDefault="00056908" w:rsidP="00347736">
            <w:pPr>
              <w:pStyle w:val="TableText"/>
            </w:pPr>
            <w:r>
              <w:rPr>
                <w:rFonts w:hint="cs"/>
                <w:rtl/>
              </w:rPr>
              <w:t>2.</w:t>
            </w:r>
          </w:p>
        </w:tc>
        <w:tc>
          <w:tcPr>
            <w:tcW w:w="7145" w:type="dxa"/>
            <w:gridSpan w:val="5"/>
          </w:tcPr>
          <w:p w14:paraId="6DE7F8D3" w14:textId="0DF03986" w:rsidR="00056908" w:rsidRPr="00C34DE2" w:rsidRDefault="00056908" w:rsidP="001A1BF9">
            <w:pPr>
              <w:pStyle w:val="TableBlock"/>
            </w:pPr>
            <w:r w:rsidRPr="00B51333">
              <w:rPr>
                <w:color w:val="auto"/>
                <w:sz w:val="26"/>
                <w:rtl/>
              </w:rPr>
              <w:t xml:space="preserve">בסעיף 2 </w:t>
            </w:r>
            <w:r>
              <w:rPr>
                <w:rFonts w:hint="cs"/>
                <w:color w:val="auto"/>
                <w:sz w:val="26"/>
                <w:rtl/>
              </w:rPr>
              <w:t>ל</w:t>
            </w:r>
            <w:r w:rsidRPr="00B51333">
              <w:rPr>
                <w:rFonts w:hint="cs"/>
                <w:color w:val="auto"/>
                <w:sz w:val="26"/>
                <w:rtl/>
              </w:rPr>
              <w:t>חוק העיקרי</w:t>
            </w:r>
            <w:r>
              <w:rPr>
                <w:rFonts w:hint="cs"/>
                <w:color w:val="auto"/>
                <w:sz w:val="26"/>
                <w:rtl/>
              </w:rPr>
              <w:t xml:space="preserve"> </w:t>
            </w:r>
            <w:r>
              <w:rPr>
                <w:rFonts w:hint="eastAsia"/>
                <w:color w:val="auto"/>
                <w:sz w:val="26"/>
                <w:rtl/>
              </w:rPr>
              <w:t>–</w:t>
            </w:r>
            <w:r w:rsidRPr="00B51333">
              <w:rPr>
                <w:color w:val="auto"/>
                <w:sz w:val="26"/>
                <w:rtl/>
              </w:rPr>
              <w:t xml:space="preserve"> </w:t>
            </w:r>
          </w:p>
        </w:tc>
      </w:tr>
      <w:tr w:rsidR="00056908" w14:paraId="5B52E3D4" w14:textId="77777777" w:rsidTr="00A00B5F">
        <w:trPr>
          <w:cantSplit/>
        </w:trPr>
        <w:tc>
          <w:tcPr>
            <w:tcW w:w="1869" w:type="dxa"/>
          </w:tcPr>
          <w:p w14:paraId="2391AF3B" w14:textId="77777777" w:rsidR="00056908" w:rsidRDefault="00056908" w:rsidP="00056908">
            <w:pPr>
              <w:pStyle w:val="TableSideHeading"/>
              <w:keepLines w:val="0"/>
              <w:rPr>
                <w:color w:val="auto"/>
                <w:sz w:val="26"/>
                <w:rtl/>
              </w:rPr>
            </w:pPr>
          </w:p>
        </w:tc>
        <w:tc>
          <w:tcPr>
            <w:tcW w:w="624" w:type="dxa"/>
          </w:tcPr>
          <w:p w14:paraId="26FC3AAF" w14:textId="77777777" w:rsidR="00056908" w:rsidRDefault="00056908" w:rsidP="00056908">
            <w:pPr>
              <w:pStyle w:val="TableText"/>
              <w:rPr>
                <w:rtl/>
              </w:rPr>
            </w:pPr>
          </w:p>
        </w:tc>
        <w:tc>
          <w:tcPr>
            <w:tcW w:w="7145" w:type="dxa"/>
            <w:gridSpan w:val="5"/>
          </w:tcPr>
          <w:p w14:paraId="356413A8" w14:textId="19B64BD3" w:rsidR="00056908" w:rsidRDefault="00056908" w:rsidP="00347736">
            <w:pPr>
              <w:pStyle w:val="TableBlock"/>
              <w:rPr>
                <w:color w:val="auto"/>
                <w:sz w:val="26"/>
                <w:rtl/>
              </w:rPr>
            </w:pPr>
            <w:r>
              <w:rPr>
                <w:rFonts w:hint="cs"/>
                <w:color w:val="auto"/>
                <w:sz w:val="26"/>
                <w:rtl/>
              </w:rPr>
              <w:t>(1)</w:t>
            </w:r>
            <w:r>
              <w:rPr>
                <w:color w:val="auto"/>
                <w:sz w:val="26"/>
                <w:rtl/>
              </w:rPr>
              <w:tab/>
            </w:r>
            <w:r>
              <w:rPr>
                <w:rFonts w:hint="cs"/>
                <w:color w:val="auto"/>
                <w:sz w:val="26"/>
                <w:rtl/>
              </w:rPr>
              <w:t xml:space="preserve">בכותרת השוליים, </w:t>
            </w:r>
            <w:r w:rsidR="00A00B5F">
              <w:rPr>
                <w:rFonts w:hint="cs"/>
                <w:color w:val="auto"/>
                <w:sz w:val="26"/>
                <w:rtl/>
              </w:rPr>
              <w:t>במקום "חיילת" יבוא "חיילים" ואחרי "קבע" יבוא "בקשר עם ה</w:t>
            </w:r>
            <w:r w:rsidR="00D465CC">
              <w:rPr>
                <w:rFonts w:hint="cs"/>
                <w:color w:val="auto"/>
                <w:sz w:val="26"/>
                <w:rtl/>
              </w:rPr>
              <w:t>י</w:t>
            </w:r>
            <w:r w:rsidR="00A00B5F">
              <w:rPr>
                <w:rFonts w:hint="cs"/>
                <w:color w:val="auto"/>
                <w:sz w:val="26"/>
                <w:rtl/>
              </w:rPr>
              <w:t>ריון או לידה";</w:t>
            </w:r>
          </w:p>
        </w:tc>
      </w:tr>
      <w:tr w:rsidR="00056908" w14:paraId="7F7A1B0F" w14:textId="77777777" w:rsidTr="00A00B5F">
        <w:trPr>
          <w:cantSplit/>
        </w:trPr>
        <w:tc>
          <w:tcPr>
            <w:tcW w:w="1869" w:type="dxa"/>
          </w:tcPr>
          <w:p w14:paraId="1992A148" w14:textId="77777777" w:rsidR="00056908" w:rsidRDefault="00056908" w:rsidP="00056908">
            <w:pPr>
              <w:pStyle w:val="TableSideHeading"/>
              <w:keepLines w:val="0"/>
              <w:rPr>
                <w:color w:val="auto"/>
                <w:sz w:val="26"/>
                <w:rtl/>
              </w:rPr>
            </w:pPr>
          </w:p>
        </w:tc>
        <w:tc>
          <w:tcPr>
            <w:tcW w:w="624" w:type="dxa"/>
          </w:tcPr>
          <w:p w14:paraId="29420D24" w14:textId="77777777" w:rsidR="00056908" w:rsidRDefault="00056908" w:rsidP="00056908">
            <w:pPr>
              <w:pStyle w:val="TableText"/>
              <w:rPr>
                <w:rtl/>
              </w:rPr>
            </w:pPr>
          </w:p>
        </w:tc>
        <w:tc>
          <w:tcPr>
            <w:tcW w:w="7145" w:type="dxa"/>
            <w:gridSpan w:val="5"/>
          </w:tcPr>
          <w:p w14:paraId="65FEEA94" w14:textId="65ED782A" w:rsidR="00056908" w:rsidRPr="00B51333" w:rsidRDefault="00056908" w:rsidP="00347736">
            <w:pPr>
              <w:pStyle w:val="TableBlock"/>
              <w:rPr>
                <w:color w:val="auto"/>
                <w:sz w:val="26"/>
                <w:rtl/>
              </w:rPr>
            </w:pPr>
            <w:r>
              <w:rPr>
                <w:rFonts w:hint="cs"/>
                <w:color w:val="auto"/>
                <w:sz w:val="26"/>
                <w:rtl/>
              </w:rPr>
              <w:t>(</w:t>
            </w:r>
            <w:r w:rsidR="00A00B5F">
              <w:rPr>
                <w:rFonts w:hint="cs"/>
                <w:color w:val="auto"/>
                <w:sz w:val="26"/>
                <w:rtl/>
              </w:rPr>
              <w:t>2</w:t>
            </w:r>
            <w:r>
              <w:rPr>
                <w:rFonts w:hint="cs"/>
                <w:color w:val="auto"/>
                <w:sz w:val="26"/>
                <w:rtl/>
              </w:rPr>
              <w:t>)</w:t>
            </w:r>
            <w:r>
              <w:rPr>
                <w:color w:val="auto"/>
                <w:sz w:val="26"/>
                <w:rtl/>
              </w:rPr>
              <w:tab/>
            </w:r>
            <w:r>
              <w:rPr>
                <w:rFonts w:hint="cs"/>
                <w:color w:val="auto"/>
                <w:sz w:val="26"/>
                <w:rtl/>
              </w:rPr>
              <w:t>בסעיף קטן (א), אחרי "בהריון" יבוא "או חיילת או חייל בשירות קבע שהם"</w:t>
            </w:r>
            <w:r w:rsidR="00A00B5F">
              <w:rPr>
                <w:rFonts w:hint="cs"/>
                <w:color w:val="auto"/>
                <w:sz w:val="26"/>
                <w:rtl/>
              </w:rPr>
              <w:t>;</w:t>
            </w:r>
          </w:p>
        </w:tc>
      </w:tr>
      <w:tr w:rsidR="00A00B5F" w14:paraId="7F6DD8BA" w14:textId="77777777" w:rsidTr="00A00B5F">
        <w:trPr>
          <w:cantSplit/>
        </w:trPr>
        <w:tc>
          <w:tcPr>
            <w:tcW w:w="1869" w:type="dxa"/>
          </w:tcPr>
          <w:p w14:paraId="55269791" w14:textId="77777777" w:rsidR="00A00B5F" w:rsidRDefault="00A00B5F" w:rsidP="00056908">
            <w:pPr>
              <w:pStyle w:val="TableSideHeading"/>
              <w:keepLines w:val="0"/>
              <w:rPr>
                <w:color w:val="auto"/>
                <w:sz w:val="26"/>
                <w:rtl/>
              </w:rPr>
            </w:pPr>
          </w:p>
        </w:tc>
        <w:tc>
          <w:tcPr>
            <w:tcW w:w="624" w:type="dxa"/>
          </w:tcPr>
          <w:p w14:paraId="44918B77" w14:textId="77777777" w:rsidR="00A00B5F" w:rsidRDefault="00A00B5F" w:rsidP="00056908">
            <w:pPr>
              <w:pStyle w:val="TableText"/>
              <w:rPr>
                <w:rtl/>
              </w:rPr>
            </w:pPr>
          </w:p>
        </w:tc>
        <w:tc>
          <w:tcPr>
            <w:tcW w:w="7145" w:type="dxa"/>
            <w:gridSpan w:val="5"/>
          </w:tcPr>
          <w:p w14:paraId="1EA01C64" w14:textId="1087F531" w:rsidR="00A00B5F" w:rsidRDefault="00A00B5F" w:rsidP="00347736">
            <w:pPr>
              <w:pStyle w:val="TableBlock"/>
              <w:rPr>
                <w:color w:val="auto"/>
                <w:sz w:val="26"/>
                <w:rtl/>
              </w:rPr>
            </w:pPr>
            <w:r>
              <w:rPr>
                <w:rFonts w:hint="cs"/>
                <w:color w:val="auto"/>
                <w:sz w:val="26"/>
                <w:rtl/>
              </w:rPr>
              <w:t>(3)</w:t>
            </w:r>
            <w:r>
              <w:rPr>
                <w:color w:val="auto"/>
                <w:sz w:val="26"/>
                <w:rtl/>
              </w:rPr>
              <w:tab/>
            </w:r>
            <w:r>
              <w:rPr>
                <w:rFonts w:hint="cs"/>
                <w:color w:val="auto"/>
                <w:sz w:val="26"/>
                <w:rtl/>
              </w:rPr>
              <w:t>בסעיף קטן (ב), אחרי "החיילת" יבוא "או החייל";</w:t>
            </w:r>
          </w:p>
        </w:tc>
      </w:tr>
      <w:tr w:rsidR="00A00B5F" w14:paraId="27DFB884" w14:textId="77777777" w:rsidTr="00A00B5F">
        <w:trPr>
          <w:cantSplit/>
        </w:trPr>
        <w:tc>
          <w:tcPr>
            <w:tcW w:w="1869" w:type="dxa"/>
          </w:tcPr>
          <w:p w14:paraId="6CB258A7" w14:textId="77777777" w:rsidR="00A00B5F" w:rsidRDefault="00A00B5F" w:rsidP="00056908">
            <w:pPr>
              <w:pStyle w:val="TableSideHeading"/>
              <w:keepLines w:val="0"/>
              <w:rPr>
                <w:color w:val="auto"/>
                <w:sz w:val="26"/>
                <w:rtl/>
              </w:rPr>
            </w:pPr>
          </w:p>
        </w:tc>
        <w:tc>
          <w:tcPr>
            <w:tcW w:w="624" w:type="dxa"/>
          </w:tcPr>
          <w:p w14:paraId="10FFF163" w14:textId="77777777" w:rsidR="00A00B5F" w:rsidRDefault="00A00B5F" w:rsidP="00056908">
            <w:pPr>
              <w:pStyle w:val="TableText"/>
              <w:rPr>
                <w:rtl/>
              </w:rPr>
            </w:pPr>
          </w:p>
        </w:tc>
        <w:tc>
          <w:tcPr>
            <w:tcW w:w="7145" w:type="dxa"/>
            <w:gridSpan w:val="5"/>
          </w:tcPr>
          <w:p w14:paraId="45DC1A0A" w14:textId="31F0D20E" w:rsidR="00A00B5F" w:rsidRDefault="00A00B5F" w:rsidP="00A00B5F">
            <w:pPr>
              <w:pStyle w:val="TableBlock"/>
              <w:rPr>
                <w:color w:val="auto"/>
                <w:sz w:val="26"/>
                <w:rtl/>
              </w:rPr>
            </w:pPr>
            <w:r>
              <w:rPr>
                <w:rFonts w:hint="cs"/>
                <w:color w:val="auto"/>
                <w:sz w:val="26"/>
                <w:rtl/>
              </w:rPr>
              <w:t>(4)</w:t>
            </w:r>
            <w:r>
              <w:rPr>
                <w:color w:val="auto"/>
                <w:sz w:val="26"/>
                <w:rtl/>
              </w:rPr>
              <w:tab/>
            </w:r>
            <w:r>
              <w:rPr>
                <w:rFonts w:hint="cs"/>
                <w:color w:val="auto"/>
                <w:sz w:val="26"/>
                <w:rtl/>
              </w:rPr>
              <w:t>בסעיף קטן (ג), אחרי "ולחיילת" יבוא "או לחייל".</w:t>
            </w:r>
          </w:p>
        </w:tc>
      </w:tr>
      <w:tr w:rsidR="00056908" w14:paraId="4A4A665A" w14:textId="77777777" w:rsidTr="00A00B5F">
        <w:trPr>
          <w:cantSplit/>
        </w:trPr>
        <w:tc>
          <w:tcPr>
            <w:tcW w:w="1869" w:type="dxa"/>
          </w:tcPr>
          <w:p w14:paraId="03F5947B" w14:textId="549DF94E" w:rsidR="00056908" w:rsidRDefault="00A00B5F" w:rsidP="00056908">
            <w:pPr>
              <w:pStyle w:val="TableSideHeading"/>
              <w:keepLines w:val="0"/>
              <w:rPr>
                <w:color w:val="auto"/>
                <w:sz w:val="26"/>
                <w:rtl/>
              </w:rPr>
            </w:pPr>
            <w:r>
              <w:rPr>
                <w:rFonts w:hint="cs"/>
                <w:color w:val="auto"/>
                <w:sz w:val="26"/>
                <w:rtl/>
              </w:rPr>
              <w:t>הוספת סעיף 2א</w:t>
            </w:r>
          </w:p>
        </w:tc>
        <w:tc>
          <w:tcPr>
            <w:tcW w:w="624" w:type="dxa"/>
          </w:tcPr>
          <w:p w14:paraId="7F4DF3B8" w14:textId="4B7213DB" w:rsidR="00056908" w:rsidRDefault="00A00B5F" w:rsidP="00056908">
            <w:pPr>
              <w:pStyle w:val="TableText"/>
              <w:rPr>
                <w:rtl/>
              </w:rPr>
            </w:pPr>
            <w:r>
              <w:rPr>
                <w:rFonts w:hint="cs"/>
                <w:rtl/>
              </w:rPr>
              <w:t>3.</w:t>
            </w:r>
          </w:p>
        </w:tc>
        <w:tc>
          <w:tcPr>
            <w:tcW w:w="7145" w:type="dxa"/>
            <w:gridSpan w:val="5"/>
          </w:tcPr>
          <w:p w14:paraId="6C8BCD28" w14:textId="0E4E558E" w:rsidR="00056908" w:rsidRDefault="00056908" w:rsidP="00D465CC">
            <w:pPr>
              <w:pStyle w:val="TableBlock"/>
              <w:rPr>
                <w:color w:val="auto"/>
                <w:sz w:val="26"/>
                <w:rtl/>
              </w:rPr>
            </w:pPr>
            <w:r>
              <w:rPr>
                <w:rFonts w:hint="cs"/>
                <w:color w:val="auto"/>
                <w:sz w:val="26"/>
                <w:rtl/>
              </w:rPr>
              <w:t xml:space="preserve">אחרי סעיף </w:t>
            </w:r>
            <w:r w:rsidR="00A00B5F">
              <w:rPr>
                <w:rFonts w:hint="cs"/>
                <w:color w:val="auto"/>
                <w:sz w:val="26"/>
                <w:rtl/>
              </w:rPr>
              <w:t>2 לחוק העיקרי</w:t>
            </w:r>
            <w:r>
              <w:rPr>
                <w:rFonts w:hint="cs"/>
                <w:color w:val="auto"/>
                <w:sz w:val="26"/>
                <w:rtl/>
              </w:rPr>
              <w:t xml:space="preserve"> יבוא:</w:t>
            </w:r>
          </w:p>
        </w:tc>
      </w:tr>
      <w:tr w:rsidR="00A00B5F" w14:paraId="3CCD9368" w14:textId="77777777" w:rsidTr="00A00B5F">
        <w:trPr>
          <w:cantSplit/>
          <w:trHeight w:val="60"/>
        </w:trPr>
        <w:tc>
          <w:tcPr>
            <w:tcW w:w="1869" w:type="dxa"/>
          </w:tcPr>
          <w:p w14:paraId="67983D83" w14:textId="30CE87BC" w:rsidR="00A00B5F" w:rsidRDefault="00A00B5F">
            <w:pPr>
              <w:pStyle w:val="TableSideHeading"/>
              <w:keepLines w:val="0"/>
            </w:pPr>
          </w:p>
        </w:tc>
        <w:tc>
          <w:tcPr>
            <w:tcW w:w="624" w:type="dxa"/>
          </w:tcPr>
          <w:p w14:paraId="567CC7F2" w14:textId="77777777" w:rsidR="00A00B5F" w:rsidRDefault="00A00B5F">
            <w:pPr>
              <w:pStyle w:val="TableText"/>
              <w:keepLines w:val="0"/>
            </w:pPr>
          </w:p>
        </w:tc>
        <w:tc>
          <w:tcPr>
            <w:tcW w:w="1872" w:type="dxa"/>
            <w:gridSpan w:val="3"/>
          </w:tcPr>
          <w:p w14:paraId="0C0F6456" w14:textId="2BB4909D" w:rsidR="00A00B5F" w:rsidRDefault="00A00B5F">
            <w:pPr>
              <w:pStyle w:val="TableInnerSideHeading"/>
            </w:pPr>
            <w:r>
              <w:rPr>
                <w:rFonts w:hint="cs"/>
                <w:rtl/>
              </w:rPr>
              <w:t>"הגבלת שחרור מהתחייבות של חיילים בשירות קבע בקשר עם טיפולי פוריות או הפריה חוץ-גופית</w:t>
            </w:r>
          </w:p>
        </w:tc>
        <w:tc>
          <w:tcPr>
            <w:tcW w:w="624" w:type="dxa"/>
          </w:tcPr>
          <w:p w14:paraId="4588ED6A" w14:textId="688D0327" w:rsidR="00A00B5F" w:rsidRDefault="00A00B5F">
            <w:pPr>
              <w:pStyle w:val="TableText"/>
            </w:pPr>
            <w:r>
              <w:rPr>
                <w:rFonts w:hint="cs"/>
                <w:rtl/>
              </w:rPr>
              <w:t>2א.</w:t>
            </w:r>
          </w:p>
        </w:tc>
        <w:tc>
          <w:tcPr>
            <w:tcW w:w="4649" w:type="dxa"/>
          </w:tcPr>
          <w:p w14:paraId="3108E1DC" w14:textId="27CA571E" w:rsidR="00A00B5F" w:rsidRDefault="00A00B5F" w:rsidP="00D465CC">
            <w:pPr>
              <w:pStyle w:val="TableBlock"/>
            </w:pPr>
            <w:r>
              <w:rPr>
                <w:rFonts w:hint="cs"/>
                <w:color w:val="auto"/>
                <w:rtl/>
              </w:rPr>
              <w:t>(א)</w:t>
            </w:r>
            <w:r>
              <w:rPr>
                <w:color w:val="auto"/>
                <w:rtl/>
              </w:rPr>
              <w:tab/>
            </w:r>
            <w:r w:rsidRPr="00B51333">
              <w:rPr>
                <w:color w:val="auto"/>
                <w:rtl/>
              </w:rPr>
              <w:t>גורם מוסמך לא ישחרר מהתחייבות חיילת בשירות קבע</w:t>
            </w:r>
            <w:r w:rsidRPr="00B51333">
              <w:rPr>
                <w:rFonts w:hint="cs"/>
                <w:color w:val="auto"/>
                <w:rtl/>
              </w:rPr>
              <w:t xml:space="preserve">, </w:t>
            </w:r>
            <w:r w:rsidRPr="00B51333">
              <w:rPr>
                <w:color w:val="auto"/>
                <w:rtl/>
              </w:rPr>
              <w:t xml:space="preserve"> העוברת טיפולי הפריה חוץ</w:t>
            </w:r>
            <w:r w:rsidR="00D465CC">
              <w:rPr>
                <w:rFonts w:hint="cs"/>
                <w:color w:val="auto"/>
                <w:rtl/>
              </w:rPr>
              <w:t>-</w:t>
            </w:r>
            <w:r w:rsidRPr="00B51333">
              <w:rPr>
                <w:color w:val="auto"/>
                <w:rtl/>
              </w:rPr>
              <w:t>גופית</w:t>
            </w:r>
            <w:r w:rsidRPr="00B51333">
              <w:rPr>
                <w:rFonts w:hint="cs"/>
                <w:color w:val="auto"/>
                <w:rtl/>
              </w:rPr>
              <w:t>,</w:t>
            </w:r>
            <w:r w:rsidRPr="00B51333">
              <w:rPr>
                <w:color w:val="auto"/>
                <w:rtl/>
              </w:rPr>
              <w:t xml:space="preserve"> או חייל או חיילת בשירות קבע, העוברים טיפולי פוריות</w:t>
            </w:r>
            <w:r w:rsidRPr="00B51333">
              <w:rPr>
                <w:rFonts w:hint="cs"/>
                <w:color w:val="auto"/>
                <w:rtl/>
              </w:rPr>
              <w:t>,</w:t>
            </w:r>
            <w:r w:rsidRPr="00B51333">
              <w:rPr>
                <w:color w:val="auto"/>
                <w:rtl/>
              </w:rPr>
              <w:t xml:space="preserve"> בימי ה</w:t>
            </w:r>
            <w:r w:rsidRPr="00B51333">
              <w:rPr>
                <w:rFonts w:hint="cs"/>
                <w:color w:val="auto"/>
                <w:rtl/>
              </w:rPr>
              <w:t>י</w:t>
            </w:r>
            <w:r w:rsidRPr="00B51333">
              <w:rPr>
                <w:color w:val="auto"/>
                <w:rtl/>
              </w:rPr>
              <w:t>עדרם משירות</w:t>
            </w:r>
            <w:r w:rsidRPr="00B51333">
              <w:rPr>
                <w:rFonts w:hint="cs"/>
                <w:color w:val="auto"/>
                <w:rtl/>
              </w:rPr>
              <w:t xml:space="preserve"> בתקופה שבה הם עוברים טיפולים כאמור, </w:t>
            </w:r>
            <w:r w:rsidRPr="00B51333">
              <w:rPr>
                <w:color w:val="auto"/>
                <w:rtl/>
              </w:rPr>
              <w:t xml:space="preserve">או במשך תקופה של 150 ימים לאחר תום ימי ההיעדרות כאמור, אלא בהיתר מאת </w:t>
            </w:r>
            <w:r w:rsidRPr="00B51333">
              <w:rPr>
                <w:rFonts w:hint="cs"/>
                <w:color w:val="auto"/>
                <w:rtl/>
              </w:rPr>
              <w:t>ה</w:t>
            </w:r>
            <w:r w:rsidRPr="00B51333">
              <w:rPr>
                <w:color w:val="auto"/>
                <w:rtl/>
              </w:rPr>
              <w:t>שר</w:t>
            </w:r>
            <w:r w:rsidR="00D465CC">
              <w:rPr>
                <w:rFonts w:hint="cs"/>
                <w:color w:val="auto"/>
                <w:rtl/>
              </w:rPr>
              <w:t xml:space="preserve">; לעניין סעיף זה, "היעדרות" </w:t>
            </w:r>
            <w:r w:rsidR="00D465CC">
              <w:rPr>
                <w:rFonts w:hint="eastAsia"/>
                <w:color w:val="auto"/>
                <w:rtl/>
              </w:rPr>
              <w:t>–</w:t>
            </w:r>
            <w:r w:rsidR="00D465CC">
              <w:rPr>
                <w:rFonts w:hint="cs"/>
                <w:color w:val="auto"/>
                <w:rtl/>
              </w:rPr>
              <w:t xml:space="preserve"> היעדרות שהרופא המטפל אישר בכתב כי היא מתחייבת מהטיפול ושהחייל או החיילת בשירות קבע מסרו עליה הודעה מראש למפקדם</w:t>
            </w:r>
            <w:r w:rsidR="00EE1426">
              <w:rPr>
                <w:rFonts w:hint="cs"/>
                <w:color w:val="auto"/>
                <w:rtl/>
              </w:rPr>
              <w:t>.</w:t>
            </w:r>
            <w:r w:rsidRPr="00B51333">
              <w:rPr>
                <w:color w:val="auto"/>
                <w:rtl/>
              </w:rPr>
              <w:t xml:space="preserve"> </w:t>
            </w:r>
          </w:p>
        </w:tc>
      </w:tr>
      <w:tr w:rsidR="00A00B5F" w14:paraId="4707FE42" w14:textId="77777777" w:rsidTr="00A00B5F">
        <w:trPr>
          <w:cantSplit/>
          <w:trHeight w:val="60"/>
        </w:trPr>
        <w:tc>
          <w:tcPr>
            <w:tcW w:w="1869" w:type="dxa"/>
          </w:tcPr>
          <w:p w14:paraId="65ADA4A0" w14:textId="486A581C" w:rsidR="00A00B5F" w:rsidRDefault="00A00B5F" w:rsidP="00A00B5F">
            <w:pPr>
              <w:pStyle w:val="TableSideHeading"/>
            </w:pPr>
          </w:p>
        </w:tc>
        <w:tc>
          <w:tcPr>
            <w:tcW w:w="624" w:type="dxa"/>
          </w:tcPr>
          <w:p w14:paraId="519176F3" w14:textId="77777777" w:rsidR="00A00B5F" w:rsidRDefault="00A00B5F" w:rsidP="00A00B5F">
            <w:pPr>
              <w:pStyle w:val="TableText"/>
            </w:pPr>
          </w:p>
        </w:tc>
        <w:tc>
          <w:tcPr>
            <w:tcW w:w="624" w:type="dxa"/>
          </w:tcPr>
          <w:p w14:paraId="548D2689" w14:textId="77777777" w:rsidR="00A00B5F" w:rsidRDefault="00A00B5F" w:rsidP="00A00B5F">
            <w:pPr>
              <w:pStyle w:val="TableText"/>
            </w:pPr>
          </w:p>
        </w:tc>
        <w:tc>
          <w:tcPr>
            <w:tcW w:w="624" w:type="dxa"/>
          </w:tcPr>
          <w:p w14:paraId="460C42F1" w14:textId="77777777" w:rsidR="00A00B5F" w:rsidRDefault="00A00B5F" w:rsidP="00A00B5F">
            <w:pPr>
              <w:pStyle w:val="TableText"/>
            </w:pPr>
          </w:p>
        </w:tc>
        <w:tc>
          <w:tcPr>
            <w:tcW w:w="624" w:type="dxa"/>
          </w:tcPr>
          <w:p w14:paraId="5F70E3FA" w14:textId="77777777" w:rsidR="00A00B5F" w:rsidRDefault="00A00B5F" w:rsidP="00A00B5F">
            <w:pPr>
              <w:pStyle w:val="TableText"/>
            </w:pPr>
          </w:p>
        </w:tc>
        <w:tc>
          <w:tcPr>
            <w:tcW w:w="624" w:type="dxa"/>
          </w:tcPr>
          <w:p w14:paraId="08E6D227" w14:textId="77777777" w:rsidR="00A00B5F" w:rsidRDefault="00A00B5F" w:rsidP="00A00B5F">
            <w:pPr>
              <w:pStyle w:val="TableText"/>
            </w:pPr>
          </w:p>
        </w:tc>
        <w:tc>
          <w:tcPr>
            <w:tcW w:w="4649" w:type="dxa"/>
          </w:tcPr>
          <w:p w14:paraId="1A18DDF7" w14:textId="47C789F4" w:rsidR="00A00B5F" w:rsidRDefault="00A00B5F" w:rsidP="00D465CC">
            <w:pPr>
              <w:pStyle w:val="TableBlock"/>
            </w:pPr>
            <w:r>
              <w:rPr>
                <w:rFonts w:hint="cs"/>
                <w:rtl/>
              </w:rPr>
              <w:t>(ב)</w:t>
            </w:r>
            <w:r w:rsidRPr="006A7C2F">
              <w:rPr>
                <w:rtl/>
              </w:rPr>
              <w:t xml:space="preserve"> </w:t>
            </w:r>
            <w:r>
              <w:rPr>
                <w:rtl/>
              </w:rPr>
              <w:tab/>
            </w:r>
            <w:r w:rsidRPr="006A7C2F">
              <w:rPr>
                <w:rtl/>
              </w:rPr>
              <w:t>הורא</w:t>
            </w:r>
            <w:r w:rsidRPr="006A7C2F">
              <w:rPr>
                <w:rFonts w:hint="cs"/>
                <w:rtl/>
              </w:rPr>
              <w:t>ו</w:t>
            </w:r>
            <w:r w:rsidRPr="006A7C2F">
              <w:rPr>
                <w:rtl/>
              </w:rPr>
              <w:t>ת</w:t>
            </w:r>
            <w:r>
              <w:rPr>
                <w:rFonts w:hint="cs"/>
                <w:rtl/>
              </w:rPr>
              <w:t xml:space="preserve"> סעיף קטן (א)</w:t>
            </w:r>
            <w:r w:rsidRPr="006A7C2F">
              <w:rPr>
                <w:rtl/>
              </w:rPr>
              <w:t xml:space="preserve"> לא </w:t>
            </w:r>
            <w:r w:rsidRPr="006A7C2F">
              <w:rPr>
                <w:rFonts w:hint="cs"/>
                <w:rtl/>
              </w:rPr>
              <w:t>יחולו</w:t>
            </w:r>
            <w:r w:rsidRPr="006A7C2F">
              <w:rPr>
                <w:rtl/>
              </w:rPr>
              <w:t xml:space="preserve"> </w:t>
            </w:r>
            <w:r w:rsidR="00D465CC" w:rsidRPr="00164444">
              <w:rPr>
                <w:rFonts w:hint="cs"/>
                <w:rtl/>
              </w:rPr>
              <w:t>לגבי</w:t>
            </w:r>
            <w:r w:rsidRPr="006A7C2F">
              <w:rPr>
                <w:rtl/>
              </w:rPr>
              <w:t xml:space="preserve"> חייל או חיילת בשירות קבע, שחלפו שנתיים מהיום הראשון להיעדרותם מהשירות</w:t>
            </w:r>
            <w:r>
              <w:rPr>
                <w:rFonts w:hint="cs"/>
                <w:rtl/>
              </w:rPr>
              <w:t xml:space="preserve"> לפי סעיף זה</w:t>
            </w:r>
            <w:r w:rsidRPr="006A7C2F">
              <w:rPr>
                <w:rtl/>
              </w:rPr>
              <w:t>.</w:t>
            </w:r>
          </w:p>
        </w:tc>
      </w:tr>
      <w:tr w:rsidR="00355257" w14:paraId="6A675056" w14:textId="77777777" w:rsidTr="00A00B5F">
        <w:trPr>
          <w:cantSplit/>
          <w:trHeight w:val="60"/>
        </w:trPr>
        <w:tc>
          <w:tcPr>
            <w:tcW w:w="1869" w:type="dxa"/>
          </w:tcPr>
          <w:p w14:paraId="51BC04D7" w14:textId="77777777" w:rsidR="00355257" w:rsidRDefault="00355257" w:rsidP="00A00B5F">
            <w:pPr>
              <w:pStyle w:val="TableSideHeading"/>
            </w:pPr>
          </w:p>
        </w:tc>
        <w:tc>
          <w:tcPr>
            <w:tcW w:w="624" w:type="dxa"/>
          </w:tcPr>
          <w:p w14:paraId="35128F63" w14:textId="77777777" w:rsidR="00355257" w:rsidRDefault="00355257" w:rsidP="00A00B5F">
            <w:pPr>
              <w:pStyle w:val="TableText"/>
            </w:pPr>
          </w:p>
        </w:tc>
        <w:tc>
          <w:tcPr>
            <w:tcW w:w="624" w:type="dxa"/>
          </w:tcPr>
          <w:p w14:paraId="2413964B" w14:textId="77777777" w:rsidR="00355257" w:rsidRDefault="00355257" w:rsidP="00A00B5F">
            <w:pPr>
              <w:pStyle w:val="TableText"/>
            </w:pPr>
          </w:p>
        </w:tc>
        <w:tc>
          <w:tcPr>
            <w:tcW w:w="624" w:type="dxa"/>
          </w:tcPr>
          <w:p w14:paraId="1E79801C" w14:textId="77777777" w:rsidR="00355257" w:rsidRDefault="00355257" w:rsidP="00A00B5F">
            <w:pPr>
              <w:pStyle w:val="TableText"/>
            </w:pPr>
          </w:p>
        </w:tc>
        <w:tc>
          <w:tcPr>
            <w:tcW w:w="624" w:type="dxa"/>
          </w:tcPr>
          <w:p w14:paraId="363462E0" w14:textId="77777777" w:rsidR="00355257" w:rsidRDefault="00355257" w:rsidP="00A00B5F">
            <w:pPr>
              <w:pStyle w:val="TableText"/>
            </w:pPr>
          </w:p>
        </w:tc>
        <w:tc>
          <w:tcPr>
            <w:tcW w:w="624" w:type="dxa"/>
          </w:tcPr>
          <w:p w14:paraId="12C207C4" w14:textId="77777777" w:rsidR="00355257" w:rsidRDefault="00355257" w:rsidP="00A00B5F">
            <w:pPr>
              <w:pStyle w:val="TableText"/>
            </w:pPr>
          </w:p>
        </w:tc>
        <w:tc>
          <w:tcPr>
            <w:tcW w:w="4649" w:type="dxa"/>
          </w:tcPr>
          <w:p w14:paraId="38B09C42" w14:textId="474A1B5D" w:rsidR="00355257" w:rsidRDefault="00355257" w:rsidP="00355257">
            <w:pPr>
              <w:pStyle w:val="TableBlock"/>
              <w:rPr>
                <w:rtl/>
              </w:rPr>
            </w:pPr>
            <w:r w:rsidRPr="00355257">
              <w:rPr>
                <w:rFonts w:hint="cs"/>
                <w:rtl/>
              </w:rPr>
              <w:t>(</w:t>
            </w:r>
            <w:r>
              <w:rPr>
                <w:rFonts w:hint="cs"/>
                <w:rtl/>
              </w:rPr>
              <w:t>ג</w:t>
            </w:r>
            <w:r w:rsidRPr="00355257">
              <w:rPr>
                <w:rFonts w:hint="cs"/>
                <w:rtl/>
              </w:rPr>
              <w:t>)</w:t>
            </w:r>
            <w:r w:rsidRPr="00355257">
              <w:rPr>
                <w:rtl/>
              </w:rPr>
              <w:tab/>
              <w:t>הורא</w:t>
            </w:r>
            <w:r>
              <w:rPr>
                <w:rFonts w:hint="cs"/>
                <w:rtl/>
              </w:rPr>
              <w:t>ו</w:t>
            </w:r>
            <w:r w:rsidRPr="00355257">
              <w:rPr>
                <w:rtl/>
              </w:rPr>
              <w:t>ת סעיף קטן</w:t>
            </w:r>
            <w:r>
              <w:rPr>
                <w:rFonts w:hint="cs"/>
                <w:rtl/>
              </w:rPr>
              <w:t xml:space="preserve"> (א)</w:t>
            </w:r>
            <w:r w:rsidRPr="00355257">
              <w:rPr>
                <w:rtl/>
              </w:rPr>
              <w:t xml:space="preserve"> </w:t>
            </w:r>
            <w:r>
              <w:rPr>
                <w:rFonts w:hint="cs"/>
                <w:rtl/>
              </w:rPr>
              <w:t>י</w:t>
            </w:r>
            <w:r w:rsidRPr="00355257">
              <w:rPr>
                <w:rtl/>
              </w:rPr>
              <w:t>חול</w:t>
            </w:r>
            <w:r>
              <w:rPr>
                <w:rFonts w:hint="cs"/>
                <w:rtl/>
              </w:rPr>
              <w:t>ו</w:t>
            </w:r>
            <w:r w:rsidRPr="00355257">
              <w:rPr>
                <w:rtl/>
              </w:rPr>
              <w:t xml:space="preserve"> לגבי חייל או חיילת בשירות קבע, העוברים טיפולים כאמור  לקראת שתי לידות לכל היותר, ואם עברו טיפולים כאמור לקראת הולדת ילדים מבני זוג קודמים – גם לקראת שתי לידות עם בן הזוג הנוכחי.</w:t>
            </w:r>
          </w:p>
        </w:tc>
      </w:tr>
      <w:tr w:rsidR="00A00B5F" w14:paraId="37C34210" w14:textId="77777777" w:rsidTr="00A00B5F">
        <w:trPr>
          <w:cantSplit/>
          <w:trHeight w:val="60"/>
        </w:trPr>
        <w:tc>
          <w:tcPr>
            <w:tcW w:w="1869" w:type="dxa"/>
          </w:tcPr>
          <w:p w14:paraId="105EDDDA" w14:textId="526AA7F0" w:rsidR="00A00B5F" w:rsidRDefault="00A00B5F" w:rsidP="00A00B5F">
            <w:pPr>
              <w:pStyle w:val="TableSideHeading"/>
              <w:rPr>
                <w:rtl/>
              </w:rPr>
            </w:pPr>
          </w:p>
        </w:tc>
        <w:tc>
          <w:tcPr>
            <w:tcW w:w="624" w:type="dxa"/>
          </w:tcPr>
          <w:p w14:paraId="2271BCF4" w14:textId="77777777" w:rsidR="00A00B5F" w:rsidRDefault="00A00B5F" w:rsidP="00347736">
            <w:pPr>
              <w:pStyle w:val="TableText"/>
            </w:pPr>
          </w:p>
        </w:tc>
        <w:tc>
          <w:tcPr>
            <w:tcW w:w="624" w:type="dxa"/>
          </w:tcPr>
          <w:p w14:paraId="006A9E6F" w14:textId="77777777" w:rsidR="00A00B5F" w:rsidRDefault="00A00B5F" w:rsidP="00A00B5F">
            <w:pPr>
              <w:pStyle w:val="TableText"/>
            </w:pPr>
          </w:p>
        </w:tc>
        <w:tc>
          <w:tcPr>
            <w:tcW w:w="624" w:type="dxa"/>
          </w:tcPr>
          <w:p w14:paraId="154CA7DF" w14:textId="77777777" w:rsidR="00A00B5F" w:rsidRDefault="00A00B5F" w:rsidP="00A00B5F">
            <w:pPr>
              <w:pStyle w:val="TableText"/>
            </w:pPr>
          </w:p>
        </w:tc>
        <w:tc>
          <w:tcPr>
            <w:tcW w:w="624" w:type="dxa"/>
          </w:tcPr>
          <w:p w14:paraId="38D0DB8C" w14:textId="77777777" w:rsidR="00A00B5F" w:rsidRDefault="00A00B5F" w:rsidP="00A00B5F">
            <w:pPr>
              <w:pStyle w:val="TableText"/>
            </w:pPr>
          </w:p>
        </w:tc>
        <w:tc>
          <w:tcPr>
            <w:tcW w:w="624" w:type="dxa"/>
          </w:tcPr>
          <w:p w14:paraId="3F835E6B" w14:textId="77777777" w:rsidR="00A00B5F" w:rsidRDefault="00A00B5F" w:rsidP="00A00B5F">
            <w:pPr>
              <w:pStyle w:val="TableText"/>
            </w:pPr>
          </w:p>
        </w:tc>
        <w:tc>
          <w:tcPr>
            <w:tcW w:w="4649" w:type="dxa"/>
          </w:tcPr>
          <w:p w14:paraId="2DC9F4DB" w14:textId="433B53A2" w:rsidR="00A00B5F" w:rsidRPr="00080255" w:rsidRDefault="00A00B5F" w:rsidP="00355257">
            <w:pPr>
              <w:pStyle w:val="TableBlock"/>
              <w:rPr>
                <w:rtl/>
              </w:rPr>
            </w:pPr>
            <w:r w:rsidRPr="00080255">
              <w:rPr>
                <w:rtl/>
              </w:rPr>
              <w:t>(</w:t>
            </w:r>
            <w:r w:rsidR="00355257">
              <w:rPr>
                <w:rFonts w:hint="cs"/>
                <w:rtl/>
              </w:rPr>
              <w:t>ד</w:t>
            </w:r>
            <w:r w:rsidRPr="00080255">
              <w:rPr>
                <w:rtl/>
              </w:rPr>
              <w:t>)</w:t>
            </w:r>
            <w:r w:rsidRPr="00080255">
              <w:rPr>
                <w:color w:val="auto"/>
                <w:rtl/>
              </w:rPr>
              <w:tab/>
              <w:t xml:space="preserve">הוראות </w:t>
            </w:r>
            <w:r w:rsidRPr="00080255">
              <w:rPr>
                <w:rFonts w:hint="eastAsia"/>
                <w:color w:val="auto"/>
                <w:rtl/>
              </w:rPr>
              <w:t>סעיף</w:t>
            </w:r>
            <w:r w:rsidRPr="00080255">
              <w:rPr>
                <w:color w:val="auto"/>
                <w:rtl/>
              </w:rPr>
              <w:t xml:space="preserve"> </w:t>
            </w:r>
            <w:r w:rsidRPr="00080255">
              <w:rPr>
                <w:rFonts w:hint="eastAsia"/>
                <w:color w:val="auto"/>
                <w:rtl/>
              </w:rPr>
              <w:t>קטן</w:t>
            </w:r>
            <w:r w:rsidRPr="00080255">
              <w:rPr>
                <w:color w:val="auto"/>
                <w:rtl/>
              </w:rPr>
              <w:t xml:space="preserve"> (א) יחולו גם על חייל או חיילת בשירות קבע, שלא נעדרו מהשירות</w:t>
            </w:r>
            <w:r w:rsidR="00D465CC" w:rsidRPr="00164444">
              <w:rPr>
                <w:rFonts w:hint="cs"/>
                <w:color w:val="auto"/>
                <w:rtl/>
              </w:rPr>
              <w:t>,</w:t>
            </w:r>
            <w:r w:rsidRPr="00080255">
              <w:rPr>
                <w:color w:val="auto"/>
                <w:rtl/>
              </w:rPr>
              <w:t xml:space="preserve"> בתקופת הטיפולים כאמור באות</w:t>
            </w:r>
            <w:r w:rsidRPr="00080255">
              <w:rPr>
                <w:rFonts w:hint="eastAsia"/>
                <w:color w:val="auto"/>
                <w:rtl/>
              </w:rPr>
              <w:t>ו</w:t>
            </w:r>
            <w:r w:rsidR="001A1BF9">
              <w:rPr>
                <w:rFonts w:hint="cs"/>
                <w:color w:val="auto"/>
                <w:rtl/>
              </w:rPr>
              <w:t xml:space="preserve"> סעיף קטן</w:t>
            </w:r>
            <w:r w:rsidRPr="00080255">
              <w:rPr>
                <w:color w:val="auto"/>
                <w:rtl/>
              </w:rPr>
              <w:t>, או במשך תקופה של 150 ימים לאחר מועד תחילת טיפולי הפוריות או טיפולי ההפריה החוץ-גופית, לפי המאוחר, כפי שאישר הרופא המטפל בכתב, ובלבד שהם הודיעו למפקדם על הטיפולים לא יאוחר מ</w:t>
            </w:r>
            <w:r w:rsidRPr="00080255">
              <w:rPr>
                <w:rFonts w:hint="eastAsia"/>
                <w:color w:val="auto"/>
                <w:rtl/>
              </w:rPr>
              <w:t>שבעה</w:t>
            </w:r>
            <w:r w:rsidRPr="00080255">
              <w:rPr>
                <w:color w:val="auto"/>
                <w:rtl/>
              </w:rPr>
              <w:t xml:space="preserve"> </w:t>
            </w:r>
            <w:r w:rsidRPr="00080255">
              <w:rPr>
                <w:rFonts w:hint="eastAsia"/>
                <w:color w:val="auto"/>
                <w:rtl/>
              </w:rPr>
              <w:t>ימים</w:t>
            </w:r>
            <w:r w:rsidRPr="00080255">
              <w:rPr>
                <w:color w:val="auto"/>
                <w:rtl/>
              </w:rPr>
              <w:t xml:space="preserve"> ממועד מתן </w:t>
            </w:r>
            <w:r w:rsidRPr="00347736">
              <w:rPr>
                <w:color w:val="auto"/>
                <w:rtl/>
              </w:rPr>
              <w:t xml:space="preserve">ההודעה </w:t>
            </w:r>
            <w:r w:rsidRPr="00347736">
              <w:rPr>
                <w:rFonts w:hint="eastAsia"/>
                <w:color w:val="auto"/>
                <w:rtl/>
              </w:rPr>
              <w:t>ע</w:t>
            </w:r>
            <w:r w:rsidRPr="00347736">
              <w:rPr>
                <w:color w:val="auto"/>
                <w:rtl/>
              </w:rPr>
              <w:t>ל שחרור מהתחייבות</w:t>
            </w:r>
            <w:r w:rsidRPr="00080255">
              <w:rPr>
                <w:color w:val="auto"/>
                <w:rtl/>
              </w:rPr>
              <w:t>, ומסרו למפקדם אישור רופא כאמור בתוך 14 ימים מאותו מועד.</w:t>
            </w:r>
          </w:p>
        </w:tc>
      </w:tr>
      <w:tr w:rsidR="00A00B5F" w14:paraId="5532C28E" w14:textId="77777777" w:rsidTr="00A00B5F">
        <w:trPr>
          <w:cantSplit/>
          <w:trHeight w:val="60"/>
        </w:trPr>
        <w:tc>
          <w:tcPr>
            <w:tcW w:w="1869" w:type="dxa"/>
          </w:tcPr>
          <w:p w14:paraId="133F1ADD" w14:textId="77777777" w:rsidR="00A00B5F" w:rsidRDefault="00A00B5F" w:rsidP="00A00B5F">
            <w:pPr>
              <w:pStyle w:val="TableSideHeading"/>
              <w:rPr>
                <w:rtl/>
              </w:rPr>
            </w:pPr>
          </w:p>
        </w:tc>
        <w:tc>
          <w:tcPr>
            <w:tcW w:w="624" w:type="dxa"/>
          </w:tcPr>
          <w:p w14:paraId="76F6428F" w14:textId="77777777" w:rsidR="00A00B5F" w:rsidRDefault="00A00B5F" w:rsidP="00A00B5F">
            <w:pPr>
              <w:pStyle w:val="TableText"/>
            </w:pPr>
          </w:p>
        </w:tc>
        <w:tc>
          <w:tcPr>
            <w:tcW w:w="624" w:type="dxa"/>
          </w:tcPr>
          <w:p w14:paraId="60646394" w14:textId="77777777" w:rsidR="00A00B5F" w:rsidRDefault="00A00B5F" w:rsidP="00A00B5F">
            <w:pPr>
              <w:pStyle w:val="TableText"/>
            </w:pPr>
          </w:p>
        </w:tc>
        <w:tc>
          <w:tcPr>
            <w:tcW w:w="624" w:type="dxa"/>
          </w:tcPr>
          <w:p w14:paraId="064D19E2" w14:textId="77777777" w:rsidR="00A00B5F" w:rsidRDefault="00A00B5F" w:rsidP="00A00B5F">
            <w:pPr>
              <w:pStyle w:val="TableText"/>
            </w:pPr>
          </w:p>
        </w:tc>
        <w:tc>
          <w:tcPr>
            <w:tcW w:w="624" w:type="dxa"/>
          </w:tcPr>
          <w:p w14:paraId="56E6A2E8" w14:textId="77777777" w:rsidR="00A00B5F" w:rsidRDefault="00A00B5F" w:rsidP="00A00B5F">
            <w:pPr>
              <w:pStyle w:val="TableText"/>
            </w:pPr>
          </w:p>
        </w:tc>
        <w:tc>
          <w:tcPr>
            <w:tcW w:w="624" w:type="dxa"/>
          </w:tcPr>
          <w:p w14:paraId="690473C6" w14:textId="77777777" w:rsidR="00A00B5F" w:rsidRDefault="00A00B5F" w:rsidP="00A00B5F">
            <w:pPr>
              <w:pStyle w:val="TableText"/>
            </w:pPr>
          </w:p>
        </w:tc>
        <w:tc>
          <w:tcPr>
            <w:tcW w:w="4649" w:type="dxa"/>
          </w:tcPr>
          <w:p w14:paraId="6ADA566F" w14:textId="2CA78F03" w:rsidR="00A00B5F" w:rsidRPr="00080255" w:rsidRDefault="00A00B5F" w:rsidP="00164444">
            <w:pPr>
              <w:pStyle w:val="TableBlock"/>
              <w:rPr>
                <w:rtl/>
              </w:rPr>
            </w:pPr>
            <w:r w:rsidRPr="00080255">
              <w:rPr>
                <w:rtl/>
              </w:rPr>
              <w:t>(</w:t>
            </w:r>
            <w:r w:rsidR="00D465CC">
              <w:rPr>
                <w:rFonts w:hint="cs"/>
                <w:rtl/>
              </w:rPr>
              <w:t>ה</w:t>
            </w:r>
            <w:r w:rsidRPr="00080255">
              <w:rPr>
                <w:rtl/>
              </w:rPr>
              <w:t>)</w:t>
            </w:r>
            <w:r w:rsidRPr="00080255">
              <w:rPr>
                <w:rtl/>
              </w:rPr>
              <w:tab/>
              <w:t xml:space="preserve">לא ייתן השר היתר </w:t>
            </w:r>
            <w:r w:rsidR="00D465CC">
              <w:rPr>
                <w:rFonts w:hint="cs"/>
                <w:rtl/>
              </w:rPr>
              <w:t xml:space="preserve">כאמור בסעיף קטן (א) </w:t>
            </w:r>
            <w:r w:rsidRPr="00080255">
              <w:rPr>
                <w:rtl/>
              </w:rPr>
              <w:t>אם השחרור מהתחייבות הוא לדעתו בקשר ל</w:t>
            </w:r>
            <w:r w:rsidRPr="00080255">
              <w:rPr>
                <w:rFonts w:hint="eastAsia"/>
                <w:rtl/>
              </w:rPr>
              <w:t>טיפולים</w:t>
            </w:r>
            <w:r w:rsidR="00D465CC">
              <w:rPr>
                <w:rtl/>
              </w:rPr>
              <w:t xml:space="preserve"> או להיעדרות כאמור ב</w:t>
            </w:r>
            <w:r w:rsidR="00D465CC">
              <w:rPr>
                <w:rFonts w:hint="cs"/>
                <w:rtl/>
              </w:rPr>
              <w:t xml:space="preserve">אותו </w:t>
            </w:r>
            <w:r w:rsidR="00D465CC">
              <w:rPr>
                <w:rtl/>
              </w:rPr>
              <w:t>סעיף קטן</w:t>
            </w:r>
            <w:r w:rsidR="00D465CC">
              <w:rPr>
                <w:rFonts w:hint="cs"/>
                <w:rtl/>
              </w:rPr>
              <w:t>.</w:t>
            </w:r>
          </w:p>
        </w:tc>
      </w:tr>
      <w:tr w:rsidR="00A00B5F" w14:paraId="163E696E" w14:textId="77777777" w:rsidTr="00A00B5F">
        <w:trPr>
          <w:cantSplit/>
          <w:trHeight w:val="60"/>
        </w:trPr>
        <w:tc>
          <w:tcPr>
            <w:tcW w:w="1869" w:type="dxa"/>
          </w:tcPr>
          <w:p w14:paraId="40F1FE62" w14:textId="77777777" w:rsidR="00A00B5F" w:rsidRDefault="00A00B5F" w:rsidP="00A00B5F">
            <w:pPr>
              <w:pStyle w:val="TableSideHeading"/>
              <w:rPr>
                <w:rtl/>
              </w:rPr>
            </w:pPr>
          </w:p>
        </w:tc>
        <w:tc>
          <w:tcPr>
            <w:tcW w:w="624" w:type="dxa"/>
          </w:tcPr>
          <w:p w14:paraId="1EB8CD32" w14:textId="77777777" w:rsidR="00A00B5F" w:rsidRDefault="00A00B5F" w:rsidP="00A00B5F">
            <w:pPr>
              <w:pStyle w:val="TableText"/>
            </w:pPr>
          </w:p>
        </w:tc>
        <w:tc>
          <w:tcPr>
            <w:tcW w:w="624" w:type="dxa"/>
          </w:tcPr>
          <w:p w14:paraId="32A4B79B" w14:textId="77777777" w:rsidR="00A00B5F" w:rsidRDefault="00A00B5F" w:rsidP="00A00B5F">
            <w:pPr>
              <w:pStyle w:val="TableText"/>
            </w:pPr>
          </w:p>
        </w:tc>
        <w:tc>
          <w:tcPr>
            <w:tcW w:w="624" w:type="dxa"/>
          </w:tcPr>
          <w:p w14:paraId="742470E0" w14:textId="77777777" w:rsidR="00A00B5F" w:rsidRDefault="00A00B5F" w:rsidP="00A00B5F">
            <w:pPr>
              <w:pStyle w:val="TableText"/>
            </w:pPr>
          </w:p>
        </w:tc>
        <w:tc>
          <w:tcPr>
            <w:tcW w:w="624" w:type="dxa"/>
          </w:tcPr>
          <w:p w14:paraId="350B2ABA" w14:textId="77777777" w:rsidR="00A00B5F" w:rsidRDefault="00A00B5F" w:rsidP="00A00B5F">
            <w:pPr>
              <w:pStyle w:val="TableText"/>
            </w:pPr>
          </w:p>
        </w:tc>
        <w:tc>
          <w:tcPr>
            <w:tcW w:w="624" w:type="dxa"/>
          </w:tcPr>
          <w:p w14:paraId="0872E409" w14:textId="77777777" w:rsidR="00A00B5F" w:rsidRDefault="00A00B5F" w:rsidP="00A00B5F">
            <w:pPr>
              <w:pStyle w:val="TableText"/>
            </w:pPr>
          </w:p>
        </w:tc>
        <w:tc>
          <w:tcPr>
            <w:tcW w:w="4649" w:type="dxa"/>
          </w:tcPr>
          <w:p w14:paraId="3AA2E52B" w14:textId="33261F90" w:rsidR="00A00B5F" w:rsidRDefault="00A00B5F" w:rsidP="00164444">
            <w:pPr>
              <w:pStyle w:val="TableBlock"/>
              <w:rPr>
                <w:rtl/>
              </w:rPr>
            </w:pPr>
            <w:r>
              <w:rPr>
                <w:rFonts w:hint="cs"/>
                <w:rtl/>
              </w:rPr>
              <w:t>(</w:t>
            </w:r>
            <w:r w:rsidR="00D465CC">
              <w:rPr>
                <w:rFonts w:hint="cs"/>
                <w:rtl/>
              </w:rPr>
              <w:t>ו</w:t>
            </w:r>
            <w:r>
              <w:rPr>
                <w:rFonts w:hint="cs"/>
                <w:rtl/>
              </w:rPr>
              <w:t>)</w:t>
            </w:r>
            <w:r>
              <w:rPr>
                <w:rtl/>
              </w:rPr>
              <w:tab/>
            </w:r>
            <w:r>
              <w:rPr>
                <w:rFonts w:hint="cs"/>
                <w:rtl/>
              </w:rPr>
              <w:t xml:space="preserve">הוראות סעיף 2(ג) ו-(ד) יחולו לעניין היתר לפי סעיף זה בשינויים </w:t>
            </w:r>
            <w:r w:rsidR="00EE1426">
              <w:rPr>
                <w:rFonts w:hint="cs"/>
                <w:rtl/>
              </w:rPr>
              <w:t>המחויבים</w:t>
            </w:r>
            <w:r>
              <w:rPr>
                <w:rFonts w:hint="cs"/>
                <w:rtl/>
              </w:rPr>
              <w:t>.</w:t>
            </w:r>
            <w:r w:rsidR="001A1BF9">
              <w:rPr>
                <w:rFonts w:hint="cs"/>
                <w:rtl/>
              </w:rPr>
              <w:t>"</w:t>
            </w:r>
          </w:p>
        </w:tc>
      </w:tr>
    </w:tbl>
    <w:p w14:paraId="065760E9" w14:textId="74EB659E" w:rsidR="00A00B5F" w:rsidRDefault="00A00B5F"/>
    <w:p w14:paraId="160C81CE" w14:textId="77777777" w:rsidR="00C86C73" w:rsidRDefault="00C86C73" w:rsidP="002D1EE3">
      <w:pPr>
        <w:pStyle w:val="HeadDivreiHesber"/>
        <w:rPr>
          <w:rtl/>
        </w:rPr>
      </w:pPr>
      <w:r>
        <w:rPr>
          <w:rtl/>
        </w:rPr>
        <w:br w:type="page"/>
      </w:r>
    </w:p>
    <w:p w14:paraId="54FE83CD" w14:textId="41EF57EA" w:rsidR="00C86C73" w:rsidRDefault="00C86C73" w:rsidP="002D1EE3">
      <w:pPr>
        <w:pStyle w:val="HeadDivreiHesber"/>
        <w:rPr>
          <w:rtl/>
        </w:rPr>
      </w:pPr>
    </w:p>
    <w:p w14:paraId="7F6961CA" w14:textId="77777777" w:rsidR="002D1EE3" w:rsidRDefault="002D1EE3" w:rsidP="002D1EE3">
      <w:pPr>
        <w:pStyle w:val="HeadDivreiHesber"/>
        <w:rPr>
          <w:rtl/>
        </w:rPr>
      </w:pPr>
      <w:r w:rsidRPr="0027450A">
        <w:rPr>
          <w:rFonts w:hint="cs"/>
          <w:rtl/>
        </w:rPr>
        <w:t>דברי הסבר</w:t>
      </w:r>
    </w:p>
    <w:p w14:paraId="24EF3068" w14:textId="33CC5F5B" w:rsidR="006A7C2F" w:rsidRPr="00347736" w:rsidRDefault="006A7C2F" w:rsidP="00D465CC">
      <w:pPr>
        <w:pStyle w:val="Hesber"/>
        <w:rPr>
          <w:rtl/>
        </w:rPr>
      </w:pPr>
      <w:r w:rsidRPr="00347736">
        <w:rPr>
          <w:rFonts w:hint="eastAsia"/>
          <w:rtl/>
        </w:rPr>
        <w:t>חוק</w:t>
      </w:r>
      <w:r w:rsidRPr="00347736">
        <w:rPr>
          <w:rtl/>
        </w:rPr>
        <w:t xml:space="preserve"> שירות הקבע בצבא </w:t>
      </w:r>
      <w:r w:rsidRPr="00347736">
        <w:rPr>
          <w:rFonts w:hint="eastAsia"/>
          <w:rtl/>
        </w:rPr>
        <w:t>הגנה</w:t>
      </w:r>
      <w:r w:rsidRPr="00347736">
        <w:rPr>
          <w:rtl/>
        </w:rPr>
        <w:t xml:space="preserve"> לישראל (חיילות בשרות קבע), </w:t>
      </w:r>
      <w:proofErr w:type="spellStart"/>
      <w:r w:rsidR="00312FFC">
        <w:rPr>
          <w:rFonts w:hint="cs"/>
          <w:rtl/>
        </w:rPr>
        <w:t>ה</w:t>
      </w:r>
      <w:r w:rsidRPr="00347736">
        <w:rPr>
          <w:rFonts w:hint="eastAsia"/>
          <w:rtl/>
        </w:rPr>
        <w:t>תשע</w:t>
      </w:r>
      <w:r w:rsidRPr="00347736">
        <w:rPr>
          <w:rtl/>
        </w:rPr>
        <w:t>"א</w:t>
      </w:r>
      <w:proofErr w:type="spellEnd"/>
      <w:r w:rsidR="00312FFC">
        <w:rPr>
          <w:rFonts w:hint="eastAsia"/>
          <w:rtl/>
        </w:rPr>
        <w:t>–</w:t>
      </w:r>
      <w:r w:rsidRPr="00347736">
        <w:rPr>
          <w:rtl/>
        </w:rPr>
        <w:t>2010</w:t>
      </w:r>
      <w:r w:rsidR="00D465CC">
        <w:rPr>
          <w:rFonts w:hint="cs"/>
          <w:rtl/>
        </w:rPr>
        <w:t xml:space="preserve"> (להלן </w:t>
      </w:r>
      <w:r w:rsidR="00D465CC">
        <w:rPr>
          <w:rFonts w:hint="eastAsia"/>
          <w:rtl/>
        </w:rPr>
        <w:t>–</w:t>
      </w:r>
      <w:r w:rsidR="00D465CC">
        <w:rPr>
          <w:rFonts w:hint="cs"/>
          <w:rtl/>
        </w:rPr>
        <w:t xml:space="preserve"> החוק)</w:t>
      </w:r>
      <w:r w:rsidR="00347736">
        <w:rPr>
          <w:rFonts w:hint="cs"/>
          <w:rtl/>
        </w:rPr>
        <w:t>,</w:t>
      </w:r>
      <w:r w:rsidRPr="00347736">
        <w:rPr>
          <w:rtl/>
        </w:rPr>
        <w:t xml:space="preserve"> החיל על חיילות בשירות קבע את ההגנה הניתנת מכוח חוק עבודת נשים, </w:t>
      </w:r>
      <w:proofErr w:type="spellStart"/>
      <w:r w:rsidR="00F00B0D">
        <w:rPr>
          <w:rFonts w:hint="cs"/>
          <w:rtl/>
        </w:rPr>
        <w:t>ה</w:t>
      </w:r>
      <w:r w:rsidRPr="00347736">
        <w:rPr>
          <w:rFonts w:hint="eastAsia"/>
          <w:rtl/>
        </w:rPr>
        <w:t>תשי</w:t>
      </w:r>
      <w:r w:rsidRPr="00347736">
        <w:rPr>
          <w:rtl/>
        </w:rPr>
        <w:t>"ד</w:t>
      </w:r>
      <w:proofErr w:type="spellEnd"/>
      <w:r w:rsidR="00F00B0D">
        <w:rPr>
          <w:rFonts w:hint="eastAsia"/>
          <w:rtl/>
        </w:rPr>
        <w:t>–</w:t>
      </w:r>
      <w:r w:rsidRPr="00347736">
        <w:rPr>
          <w:rtl/>
        </w:rPr>
        <w:t>1954</w:t>
      </w:r>
      <w:r w:rsidR="002C0B5E">
        <w:rPr>
          <w:rFonts w:hint="cs"/>
          <w:rtl/>
        </w:rPr>
        <w:t>,</w:t>
      </w:r>
      <w:r w:rsidRPr="00347736">
        <w:rPr>
          <w:rtl/>
        </w:rPr>
        <w:t xml:space="preserve"> לכלל הנשים</w:t>
      </w:r>
      <w:r w:rsidR="001A1BF9">
        <w:rPr>
          <w:rFonts w:hint="cs"/>
          <w:rtl/>
        </w:rPr>
        <w:t xml:space="preserve"> העובדות</w:t>
      </w:r>
      <w:r w:rsidR="00BB0B42">
        <w:rPr>
          <w:rtl/>
        </w:rPr>
        <w:t xml:space="preserve"> במדינת ישראל מפני פיטורים ו</w:t>
      </w:r>
      <w:r w:rsidR="00BB0B42">
        <w:rPr>
          <w:rFonts w:hint="cs"/>
          <w:rtl/>
        </w:rPr>
        <w:t>ה</w:t>
      </w:r>
      <w:r w:rsidR="00BB0B42">
        <w:rPr>
          <w:rtl/>
        </w:rPr>
        <w:t>פליה ב</w:t>
      </w:r>
      <w:r w:rsidR="00BB0B42">
        <w:rPr>
          <w:rFonts w:hint="cs"/>
          <w:rtl/>
        </w:rPr>
        <w:t>של</w:t>
      </w:r>
      <w:r w:rsidRPr="00347736">
        <w:rPr>
          <w:rtl/>
        </w:rPr>
        <w:t xml:space="preserve"> ה</w:t>
      </w:r>
      <w:r w:rsidR="00BB0B42">
        <w:rPr>
          <w:rFonts w:hint="cs"/>
          <w:rtl/>
        </w:rPr>
        <w:t>י</w:t>
      </w:r>
      <w:r w:rsidRPr="00347736">
        <w:rPr>
          <w:rtl/>
        </w:rPr>
        <w:t xml:space="preserve">ריון או חופשת לידה. החלת ההגנה על חיילות בשירות קבע נועדה </w:t>
      </w:r>
      <w:r w:rsidR="004600DC">
        <w:rPr>
          <w:rFonts w:hint="cs"/>
          <w:rtl/>
        </w:rPr>
        <w:t>לתת</w:t>
      </w:r>
      <w:r w:rsidR="004600DC" w:rsidRPr="00347736">
        <w:rPr>
          <w:rtl/>
        </w:rPr>
        <w:t xml:space="preserve"> </w:t>
      </w:r>
      <w:r w:rsidRPr="00347736">
        <w:rPr>
          <w:rFonts w:hint="eastAsia"/>
          <w:rtl/>
        </w:rPr>
        <w:t>ביטוי</w:t>
      </w:r>
      <w:r w:rsidRPr="00347736">
        <w:rPr>
          <w:rtl/>
        </w:rPr>
        <w:t xml:space="preserve"> לקידום השוויון בין גברים לנשים בהתאם לתפיסה החברתית הרווחת לעידוד הילודה, ומתן אפשרות לשילובן במסגרות השירות הצבאי תוך התחשבות בצרכיה המיוחדים של אשת הקבע. </w:t>
      </w:r>
    </w:p>
    <w:p w14:paraId="0720B943" w14:textId="34D91D07" w:rsidR="006A7C2F" w:rsidRPr="00347736" w:rsidRDefault="006A7C2F" w:rsidP="00347736">
      <w:pPr>
        <w:pStyle w:val="Hesber"/>
        <w:rPr>
          <w:rtl/>
        </w:rPr>
      </w:pPr>
      <w:r w:rsidRPr="00347736">
        <w:rPr>
          <w:rFonts w:hint="eastAsia"/>
          <w:rtl/>
        </w:rPr>
        <w:t>החוק</w:t>
      </w:r>
      <w:r w:rsidRPr="00347736">
        <w:rPr>
          <w:rtl/>
        </w:rPr>
        <w:t xml:space="preserve"> התנה את פיטוריה של חיילת בשירות קבע שהיא בה</w:t>
      </w:r>
      <w:r w:rsidR="00BB0B42">
        <w:rPr>
          <w:rFonts w:hint="cs"/>
          <w:rtl/>
        </w:rPr>
        <w:t>י</w:t>
      </w:r>
      <w:r w:rsidRPr="00347736">
        <w:rPr>
          <w:rtl/>
        </w:rPr>
        <w:t xml:space="preserve">ריון או בחופשת לידה או בתקופה המוגנת שלאחר חופשת לידה </w:t>
      </w:r>
      <w:r w:rsidR="00BB0B42">
        <w:rPr>
          <w:rFonts w:hint="eastAsia"/>
        </w:rPr>
        <w:t>–</w:t>
      </w:r>
      <w:r w:rsidR="00BB0B42">
        <w:rPr>
          <w:rFonts w:hint="cs"/>
          <w:rtl/>
        </w:rPr>
        <w:t xml:space="preserve"> </w:t>
      </w:r>
      <w:r w:rsidRPr="00347736">
        <w:rPr>
          <w:rtl/>
        </w:rPr>
        <w:t xml:space="preserve">בקבלת היתר מאת שר הביטחון. </w:t>
      </w:r>
    </w:p>
    <w:p w14:paraId="0D6FEAA7" w14:textId="4B07787A" w:rsidR="006A7C2F" w:rsidRPr="00347736" w:rsidRDefault="006A7C2F" w:rsidP="00347736">
      <w:pPr>
        <w:pStyle w:val="Hesber"/>
        <w:rPr>
          <w:rtl/>
        </w:rPr>
      </w:pPr>
      <w:r w:rsidRPr="00347736">
        <w:rPr>
          <w:rFonts w:hint="eastAsia"/>
          <w:rtl/>
        </w:rPr>
        <w:t>מאז</w:t>
      </w:r>
      <w:r w:rsidRPr="00347736">
        <w:rPr>
          <w:rtl/>
        </w:rPr>
        <w:t xml:space="preserve"> </w:t>
      </w:r>
      <w:r w:rsidRPr="00347736">
        <w:rPr>
          <w:rFonts w:hint="eastAsia"/>
          <w:rtl/>
        </w:rPr>
        <w:t>נכנס</w:t>
      </w:r>
      <w:r w:rsidRPr="00347736">
        <w:rPr>
          <w:rtl/>
        </w:rPr>
        <w:t xml:space="preserve"> </w:t>
      </w:r>
      <w:r w:rsidRPr="00347736">
        <w:rPr>
          <w:rFonts w:hint="eastAsia"/>
          <w:rtl/>
        </w:rPr>
        <w:t>החוק</w:t>
      </w:r>
      <w:r w:rsidRPr="00347736">
        <w:rPr>
          <w:rtl/>
        </w:rPr>
        <w:t xml:space="preserve"> </w:t>
      </w:r>
      <w:r w:rsidRPr="00347736">
        <w:rPr>
          <w:rFonts w:hint="eastAsia"/>
          <w:rtl/>
        </w:rPr>
        <w:t>לתוקף</w:t>
      </w:r>
      <w:r w:rsidRPr="00347736">
        <w:rPr>
          <w:rtl/>
        </w:rPr>
        <w:t xml:space="preserve">, </w:t>
      </w:r>
      <w:r w:rsidRPr="00347736">
        <w:rPr>
          <w:rFonts w:hint="eastAsia"/>
          <w:rtl/>
        </w:rPr>
        <w:t>ב</w:t>
      </w:r>
      <w:r w:rsidRPr="00347736">
        <w:rPr>
          <w:rtl/>
        </w:rPr>
        <w:t xml:space="preserve">-30% מהמקרים </w:t>
      </w:r>
      <w:r w:rsidR="00BB0B42">
        <w:rPr>
          <w:rFonts w:hint="cs"/>
          <w:rtl/>
        </w:rPr>
        <w:t>ש</w:t>
      </w:r>
      <w:r w:rsidRPr="00347736">
        <w:rPr>
          <w:rtl/>
        </w:rPr>
        <w:t>בהם אישר צה"ל פיטורי נשים בה</w:t>
      </w:r>
      <w:r w:rsidR="00BB0B42">
        <w:rPr>
          <w:rFonts w:hint="cs"/>
          <w:rtl/>
        </w:rPr>
        <w:t>י</w:t>
      </w:r>
      <w:r w:rsidRPr="00347736">
        <w:rPr>
          <w:rtl/>
        </w:rPr>
        <w:t xml:space="preserve">ריון, מנע שר הביטחון את פיטוריהן. </w:t>
      </w:r>
    </w:p>
    <w:p w14:paraId="7B9D1EE2" w14:textId="4F22AD00" w:rsidR="002C0B5E" w:rsidRDefault="006A7C2F" w:rsidP="00BB0B42">
      <w:pPr>
        <w:pStyle w:val="Hesber"/>
        <w:rPr>
          <w:rtl/>
        </w:rPr>
      </w:pPr>
      <w:r w:rsidRPr="00347736">
        <w:rPr>
          <w:rFonts w:hint="eastAsia"/>
          <w:rtl/>
        </w:rPr>
        <w:t>החוק</w:t>
      </w:r>
      <w:r w:rsidRPr="00347736">
        <w:rPr>
          <w:rtl/>
        </w:rPr>
        <w:t xml:space="preserve"> </w:t>
      </w:r>
      <w:r w:rsidRPr="00347736">
        <w:rPr>
          <w:rFonts w:hint="eastAsia"/>
          <w:rtl/>
        </w:rPr>
        <w:t>לא</w:t>
      </w:r>
      <w:r w:rsidRPr="00347736">
        <w:rPr>
          <w:rtl/>
        </w:rPr>
        <w:t xml:space="preserve"> </w:t>
      </w:r>
      <w:r w:rsidRPr="00347736">
        <w:rPr>
          <w:rFonts w:hint="eastAsia"/>
          <w:rtl/>
        </w:rPr>
        <w:t>הקנה</w:t>
      </w:r>
      <w:r w:rsidRPr="00347736">
        <w:rPr>
          <w:rtl/>
        </w:rPr>
        <w:t xml:space="preserve"> </w:t>
      </w:r>
      <w:r w:rsidRPr="00347736">
        <w:rPr>
          <w:rFonts w:hint="eastAsia"/>
          <w:rtl/>
        </w:rPr>
        <w:t>הגנה</w:t>
      </w:r>
      <w:r w:rsidRPr="00347736">
        <w:rPr>
          <w:rtl/>
        </w:rPr>
        <w:t xml:space="preserve"> </w:t>
      </w:r>
      <w:r w:rsidRPr="00347736">
        <w:rPr>
          <w:rFonts w:hint="eastAsia"/>
          <w:rtl/>
        </w:rPr>
        <w:t>זהה</w:t>
      </w:r>
      <w:r w:rsidRPr="00347736">
        <w:rPr>
          <w:rtl/>
        </w:rPr>
        <w:t xml:space="preserve"> </w:t>
      </w:r>
      <w:r w:rsidR="004644E6">
        <w:rPr>
          <w:rFonts w:hint="cs"/>
          <w:rtl/>
        </w:rPr>
        <w:t xml:space="preserve">לחיילים הזכאים לחופשת לידה או חופשת לידה מיוחדת לפי פקודות הצבא. </w:t>
      </w:r>
      <w:r w:rsidR="000B021B">
        <w:rPr>
          <w:rFonts w:hint="cs"/>
          <w:rtl/>
        </w:rPr>
        <w:t>החוק גם</w:t>
      </w:r>
      <w:r w:rsidR="004644E6">
        <w:rPr>
          <w:rFonts w:hint="cs"/>
          <w:rtl/>
        </w:rPr>
        <w:t xml:space="preserve"> לא הקנה הגנה </w:t>
      </w:r>
      <w:r w:rsidRPr="00347736">
        <w:rPr>
          <w:rFonts w:hint="eastAsia"/>
          <w:rtl/>
        </w:rPr>
        <w:t>לחיילים</w:t>
      </w:r>
      <w:r w:rsidRPr="00347736">
        <w:rPr>
          <w:rtl/>
        </w:rPr>
        <w:t xml:space="preserve"> </w:t>
      </w:r>
      <w:r w:rsidRPr="00347736">
        <w:rPr>
          <w:rFonts w:hint="eastAsia"/>
          <w:rtl/>
        </w:rPr>
        <w:t>ולחיילות</w:t>
      </w:r>
      <w:r w:rsidRPr="00347736">
        <w:rPr>
          <w:rtl/>
        </w:rPr>
        <w:t xml:space="preserve"> </w:t>
      </w:r>
      <w:r w:rsidRPr="00347736">
        <w:rPr>
          <w:rFonts w:hint="eastAsia"/>
          <w:rtl/>
        </w:rPr>
        <w:t>בשירות</w:t>
      </w:r>
      <w:r w:rsidRPr="00347736">
        <w:rPr>
          <w:rtl/>
        </w:rPr>
        <w:t xml:space="preserve"> </w:t>
      </w:r>
      <w:r w:rsidRPr="00347736">
        <w:rPr>
          <w:rFonts w:hint="eastAsia"/>
          <w:rtl/>
        </w:rPr>
        <w:t>קבע</w:t>
      </w:r>
      <w:r w:rsidRPr="00347736">
        <w:rPr>
          <w:rtl/>
        </w:rPr>
        <w:t xml:space="preserve"> </w:t>
      </w:r>
      <w:r w:rsidRPr="00347736">
        <w:rPr>
          <w:rFonts w:hint="eastAsia"/>
          <w:rtl/>
        </w:rPr>
        <w:t>הנמצאים</w:t>
      </w:r>
      <w:r w:rsidRPr="00347736">
        <w:rPr>
          <w:rtl/>
        </w:rPr>
        <w:t xml:space="preserve"> </w:t>
      </w:r>
      <w:r w:rsidRPr="00347736">
        <w:rPr>
          <w:rFonts w:hint="eastAsia"/>
          <w:rtl/>
        </w:rPr>
        <w:t>בטיפולי</w:t>
      </w:r>
      <w:r w:rsidRPr="00347736">
        <w:rPr>
          <w:rtl/>
        </w:rPr>
        <w:t xml:space="preserve"> </w:t>
      </w:r>
      <w:r w:rsidRPr="00347736">
        <w:rPr>
          <w:rFonts w:hint="eastAsia"/>
          <w:rtl/>
        </w:rPr>
        <w:t>פוריות</w:t>
      </w:r>
      <w:r w:rsidR="002C0B5E">
        <w:rPr>
          <w:rFonts w:hint="cs"/>
          <w:rtl/>
        </w:rPr>
        <w:t>,</w:t>
      </w:r>
      <w:r w:rsidRPr="00347736">
        <w:rPr>
          <w:rtl/>
        </w:rPr>
        <w:t xml:space="preserve"> </w:t>
      </w:r>
      <w:r w:rsidRPr="00347736">
        <w:rPr>
          <w:rFonts w:hint="eastAsia"/>
          <w:rtl/>
        </w:rPr>
        <w:t>או</w:t>
      </w:r>
      <w:r w:rsidRPr="00347736">
        <w:rPr>
          <w:rtl/>
        </w:rPr>
        <w:t xml:space="preserve"> </w:t>
      </w:r>
      <w:r w:rsidRPr="00347736">
        <w:rPr>
          <w:rFonts w:hint="eastAsia"/>
          <w:rtl/>
        </w:rPr>
        <w:t>לחיילות</w:t>
      </w:r>
      <w:r w:rsidRPr="00347736">
        <w:rPr>
          <w:rtl/>
        </w:rPr>
        <w:t xml:space="preserve"> </w:t>
      </w:r>
      <w:r w:rsidRPr="00347736">
        <w:rPr>
          <w:rFonts w:hint="eastAsia"/>
          <w:rtl/>
        </w:rPr>
        <w:t>בשירות</w:t>
      </w:r>
      <w:r w:rsidRPr="00347736">
        <w:rPr>
          <w:rtl/>
        </w:rPr>
        <w:t xml:space="preserve"> </w:t>
      </w:r>
      <w:r w:rsidRPr="00347736">
        <w:rPr>
          <w:rFonts w:hint="eastAsia"/>
          <w:rtl/>
        </w:rPr>
        <w:t>קבע</w:t>
      </w:r>
      <w:r w:rsidRPr="00347736">
        <w:rPr>
          <w:rtl/>
        </w:rPr>
        <w:t xml:space="preserve"> </w:t>
      </w:r>
      <w:r w:rsidRPr="00347736">
        <w:rPr>
          <w:rFonts w:hint="eastAsia"/>
          <w:rtl/>
        </w:rPr>
        <w:t>העוברות</w:t>
      </w:r>
      <w:r w:rsidRPr="00347736">
        <w:rPr>
          <w:rtl/>
        </w:rPr>
        <w:t xml:space="preserve"> </w:t>
      </w:r>
      <w:r w:rsidRPr="00347736">
        <w:rPr>
          <w:rFonts w:hint="eastAsia"/>
          <w:rtl/>
        </w:rPr>
        <w:t>טיפולי</w:t>
      </w:r>
      <w:r w:rsidRPr="00347736">
        <w:rPr>
          <w:rtl/>
        </w:rPr>
        <w:t xml:space="preserve"> </w:t>
      </w:r>
      <w:r w:rsidRPr="00347736">
        <w:rPr>
          <w:rFonts w:hint="eastAsia"/>
          <w:rtl/>
        </w:rPr>
        <w:t>הפריה</w:t>
      </w:r>
      <w:r w:rsidRPr="00347736">
        <w:rPr>
          <w:rtl/>
        </w:rPr>
        <w:t xml:space="preserve"> </w:t>
      </w:r>
      <w:r w:rsidRPr="00347736">
        <w:rPr>
          <w:rFonts w:hint="eastAsia"/>
          <w:rtl/>
        </w:rPr>
        <w:t>חוץ</w:t>
      </w:r>
      <w:r w:rsidR="00BB0B42">
        <w:rPr>
          <w:rFonts w:hint="cs"/>
          <w:rtl/>
        </w:rPr>
        <w:t>-</w:t>
      </w:r>
      <w:r w:rsidRPr="00347736">
        <w:rPr>
          <w:rFonts w:hint="eastAsia"/>
          <w:rtl/>
        </w:rPr>
        <w:t>גופית</w:t>
      </w:r>
      <w:r w:rsidR="004644E6">
        <w:rPr>
          <w:rFonts w:hint="cs"/>
          <w:rtl/>
        </w:rPr>
        <w:t xml:space="preserve">. לפי נתוני דובר צה"ל, בין השנים 2011 עד 2014 נכללו במפוטרים מצה"ל גם </w:t>
      </w:r>
      <w:r w:rsidR="002C0B5E">
        <w:rPr>
          <w:rtl/>
        </w:rPr>
        <w:t>80%</w:t>
      </w:r>
      <w:r w:rsidR="002C0B5E">
        <w:rPr>
          <w:rFonts w:hint="cs"/>
          <w:rtl/>
        </w:rPr>
        <w:t xml:space="preserve"> מ</w:t>
      </w:r>
      <w:r w:rsidRPr="00347736">
        <w:rPr>
          <w:rFonts w:hint="eastAsia"/>
          <w:rtl/>
        </w:rPr>
        <w:t>החיילים</w:t>
      </w:r>
      <w:r w:rsidRPr="00347736">
        <w:rPr>
          <w:rtl/>
        </w:rPr>
        <w:t xml:space="preserve"> </w:t>
      </w:r>
      <w:r w:rsidRPr="00347736">
        <w:rPr>
          <w:rFonts w:hint="eastAsia"/>
          <w:rtl/>
        </w:rPr>
        <w:t>בשירות</w:t>
      </w:r>
      <w:r w:rsidRPr="00347736">
        <w:rPr>
          <w:rtl/>
        </w:rPr>
        <w:t xml:space="preserve"> </w:t>
      </w:r>
      <w:r w:rsidRPr="00347736">
        <w:rPr>
          <w:rFonts w:hint="eastAsia"/>
          <w:rtl/>
        </w:rPr>
        <w:t>קבע</w:t>
      </w:r>
      <w:r w:rsidRPr="00347736">
        <w:rPr>
          <w:rtl/>
        </w:rPr>
        <w:t xml:space="preserve"> </w:t>
      </w:r>
      <w:r w:rsidR="004644E6">
        <w:rPr>
          <w:rFonts w:hint="cs"/>
          <w:rtl/>
        </w:rPr>
        <w:t xml:space="preserve">שהיו </w:t>
      </w:r>
      <w:r w:rsidRPr="00347736">
        <w:rPr>
          <w:rFonts w:hint="eastAsia"/>
          <w:rtl/>
        </w:rPr>
        <w:t>בטיפולי</w:t>
      </w:r>
      <w:r w:rsidRPr="00347736">
        <w:rPr>
          <w:rtl/>
        </w:rPr>
        <w:t xml:space="preserve"> </w:t>
      </w:r>
      <w:r w:rsidRPr="00347736">
        <w:rPr>
          <w:rFonts w:hint="eastAsia"/>
          <w:rtl/>
        </w:rPr>
        <w:t>פוריות</w:t>
      </w:r>
      <w:r w:rsidRPr="00347736">
        <w:rPr>
          <w:rtl/>
        </w:rPr>
        <w:t xml:space="preserve"> </w:t>
      </w:r>
      <w:r w:rsidR="004644E6">
        <w:rPr>
          <w:rFonts w:hint="cs"/>
          <w:rtl/>
        </w:rPr>
        <w:t>ו</w:t>
      </w:r>
      <w:r w:rsidRPr="00347736">
        <w:rPr>
          <w:rFonts w:hint="eastAsia"/>
          <w:rtl/>
        </w:rPr>
        <w:t>היו</w:t>
      </w:r>
      <w:r w:rsidRPr="00347736">
        <w:rPr>
          <w:rtl/>
        </w:rPr>
        <w:t xml:space="preserve"> </w:t>
      </w:r>
      <w:r w:rsidRPr="00347736">
        <w:rPr>
          <w:rFonts w:hint="eastAsia"/>
          <w:rtl/>
        </w:rPr>
        <w:t>מועמדים</w:t>
      </w:r>
      <w:r w:rsidRPr="00347736">
        <w:rPr>
          <w:rtl/>
        </w:rPr>
        <w:t xml:space="preserve"> </w:t>
      </w:r>
      <w:r w:rsidRPr="00347736">
        <w:rPr>
          <w:rFonts w:hint="eastAsia"/>
          <w:rtl/>
        </w:rPr>
        <w:t>לפיטורים</w:t>
      </w:r>
      <w:r w:rsidR="004600DC">
        <w:rPr>
          <w:rFonts w:hint="cs"/>
          <w:rtl/>
        </w:rPr>
        <w:t>.</w:t>
      </w:r>
      <w:r w:rsidRPr="00347736">
        <w:rPr>
          <w:rtl/>
        </w:rPr>
        <w:t xml:space="preserve"> </w:t>
      </w:r>
    </w:p>
    <w:p w14:paraId="6BE0F6EE" w14:textId="630F420D" w:rsidR="006A7C2F" w:rsidRPr="00347736" w:rsidRDefault="002C0B5E" w:rsidP="00BB0B42">
      <w:pPr>
        <w:pStyle w:val="Hesber"/>
        <w:rPr>
          <w:rtl/>
        </w:rPr>
      </w:pPr>
      <w:r>
        <w:rPr>
          <w:rFonts w:hint="cs"/>
          <w:rtl/>
        </w:rPr>
        <w:t xml:space="preserve">לפיכך, </w:t>
      </w:r>
      <w:r w:rsidR="006A7C2F" w:rsidRPr="00347736">
        <w:rPr>
          <w:rFonts w:hint="eastAsia"/>
          <w:rtl/>
        </w:rPr>
        <w:t>מוצע</w:t>
      </w:r>
      <w:r w:rsidR="006A7C2F" w:rsidRPr="00347736">
        <w:rPr>
          <w:rtl/>
        </w:rPr>
        <w:t xml:space="preserve"> </w:t>
      </w:r>
      <w:r w:rsidR="006A7C2F" w:rsidRPr="00347736">
        <w:rPr>
          <w:rFonts w:hint="eastAsia"/>
          <w:rtl/>
        </w:rPr>
        <w:t>להעניק</w:t>
      </w:r>
      <w:r w:rsidR="006A7C2F" w:rsidRPr="00347736">
        <w:rPr>
          <w:rtl/>
        </w:rPr>
        <w:t xml:space="preserve"> </w:t>
      </w:r>
      <w:r w:rsidR="006A7C2F" w:rsidRPr="00347736">
        <w:rPr>
          <w:rFonts w:hint="eastAsia"/>
          <w:rtl/>
        </w:rPr>
        <w:t>את</w:t>
      </w:r>
      <w:r w:rsidR="006A7C2F" w:rsidRPr="00347736">
        <w:rPr>
          <w:rtl/>
        </w:rPr>
        <w:t xml:space="preserve"> </w:t>
      </w:r>
      <w:r w:rsidR="006A7C2F" w:rsidRPr="00347736">
        <w:rPr>
          <w:rFonts w:hint="eastAsia"/>
          <w:rtl/>
        </w:rPr>
        <w:t>ההגנה</w:t>
      </w:r>
      <w:r w:rsidR="006A7C2F" w:rsidRPr="00347736">
        <w:rPr>
          <w:rtl/>
        </w:rPr>
        <w:t xml:space="preserve"> </w:t>
      </w:r>
      <w:r w:rsidR="006A7C2F" w:rsidRPr="00347736">
        <w:rPr>
          <w:rFonts w:hint="eastAsia"/>
          <w:rtl/>
        </w:rPr>
        <w:t>מפני</w:t>
      </w:r>
      <w:r w:rsidR="006A7C2F" w:rsidRPr="00347736">
        <w:rPr>
          <w:rtl/>
        </w:rPr>
        <w:t xml:space="preserve"> </w:t>
      </w:r>
      <w:r w:rsidR="006A7C2F" w:rsidRPr="00347736">
        <w:rPr>
          <w:rFonts w:hint="eastAsia"/>
          <w:rtl/>
        </w:rPr>
        <w:t>פיטורים</w:t>
      </w:r>
      <w:r w:rsidR="006A7C2F" w:rsidRPr="00347736">
        <w:rPr>
          <w:rtl/>
        </w:rPr>
        <w:t xml:space="preserve">, </w:t>
      </w:r>
      <w:r w:rsidR="00BB0B42">
        <w:rPr>
          <w:rFonts w:hint="eastAsia"/>
          <w:rtl/>
        </w:rPr>
        <w:t>ה</w:t>
      </w:r>
      <w:r w:rsidR="00BB0B42">
        <w:rPr>
          <w:rFonts w:hint="cs"/>
          <w:rtl/>
        </w:rPr>
        <w:t>קבוע</w:t>
      </w:r>
      <w:r w:rsidR="006A7C2F" w:rsidRPr="00347736">
        <w:rPr>
          <w:rFonts w:hint="eastAsia"/>
          <w:rtl/>
        </w:rPr>
        <w:t>ה</w:t>
      </w:r>
      <w:r w:rsidR="006A7C2F" w:rsidRPr="00347736">
        <w:rPr>
          <w:rtl/>
        </w:rPr>
        <w:t xml:space="preserve"> </w:t>
      </w:r>
      <w:r w:rsidR="006A7C2F" w:rsidRPr="00347736">
        <w:rPr>
          <w:rFonts w:hint="eastAsia"/>
          <w:rtl/>
        </w:rPr>
        <w:t>בחוק</w:t>
      </w:r>
      <w:r w:rsidR="006A7C2F" w:rsidRPr="00347736">
        <w:rPr>
          <w:rtl/>
        </w:rPr>
        <w:t xml:space="preserve"> </w:t>
      </w:r>
      <w:r w:rsidR="006A7C2F" w:rsidRPr="00347736">
        <w:rPr>
          <w:rFonts w:hint="eastAsia"/>
          <w:rtl/>
        </w:rPr>
        <w:t>בגין</w:t>
      </w:r>
      <w:r w:rsidR="006A7C2F" w:rsidRPr="00347736">
        <w:rPr>
          <w:rtl/>
        </w:rPr>
        <w:t xml:space="preserve"> </w:t>
      </w:r>
      <w:r w:rsidR="006A7C2F" w:rsidRPr="00347736">
        <w:rPr>
          <w:rFonts w:hint="eastAsia"/>
          <w:rtl/>
        </w:rPr>
        <w:t>ה</w:t>
      </w:r>
      <w:r w:rsidR="00BB0B42">
        <w:rPr>
          <w:rFonts w:hint="cs"/>
          <w:rtl/>
        </w:rPr>
        <w:t>י</w:t>
      </w:r>
      <w:r w:rsidR="006A7C2F" w:rsidRPr="00347736">
        <w:rPr>
          <w:rFonts w:hint="eastAsia"/>
          <w:rtl/>
        </w:rPr>
        <w:t>ריון</w:t>
      </w:r>
      <w:r w:rsidR="006A7C2F" w:rsidRPr="00347736">
        <w:rPr>
          <w:rtl/>
        </w:rPr>
        <w:t xml:space="preserve"> </w:t>
      </w:r>
      <w:r w:rsidR="006A7C2F" w:rsidRPr="00347736">
        <w:rPr>
          <w:rFonts w:hint="eastAsia"/>
          <w:rtl/>
        </w:rPr>
        <w:t>או</w:t>
      </w:r>
      <w:r w:rsidR="006A7C2F" w:rsidRPr="00347736">
        <w:rPr>
          <w:rtl/>
        </w:rPr>
        <w:t xml:space="preserve"> </w:t>
      </w:r>
      <w:r w:rsidR="006A7C2F" w:rsidRPr="00347736">
        <w:rPr>
          <w:rFonts w:hint="eastAsia"/>
          <w:rtl/>
        </w:rPr>
        <w:t>חופשת</w:t>
      </w:r>
      <w:r w:rsidR="006A7C2F" w:rsidRPr="00347736">
        <w:rPr>
          <w:rtl/>
        </w:rPr>
        <w:t xml:space="preserve"> </w:t>
      </w:r>
      <w:r w:rsidR="006A7C2F" w:rsidRPr="00347736">
        <w:rPr>
          <w:rFonts w:hint="eastAsia"/>
          <w:rtl/>
        </w:rPr>
        <w:t>לידה</w:t>
      </w:r>
      <w:r w:rsidR="004600DC">
        <w:rPr>
          <w:rFonts w:hint="cs"/>
          <w:rtl/>
        </w:rPr>
        <w:t>,</w:t>
      </w:r>
      <w:r w:rsidR="006A7C2F" w:rsidRPr="00347736">
        <w:rPr>
          <w:rtl/>
        </w:rPr>
        <w:t xml:space="preserve"> גם </w:t>
      </w:r>
      <w:r w:rsidR="006A7C2F" w:rsidRPr="00347736">
        <w:rPr>
          <w:rFonts w:hint="eastAsia"/>
          <w:rtl/>
        </w:rPr>
        <w:t>לחיילות</w:t>
      </w:r>
      <w:r w:rsidR="006A7C2F" w:rsidRPr="00347736">
        <w:rPr>
          <w:rtl/>
        </w:rPr>
        <w:t xml:space="preserve"> בשירות קבע העוב</w:t>
      </w:r>
      <w:r w:rsidR="00BB0B42">
        <w:rPr>
          <w:rtl/>
        </w:rPr>
        <w:t>רות טיפולי הפריה חוץ</w:t>
      </w:r>
      <w:r w:rsidR="00BB0B42">
        <w:rPr>
          <w:rFonts w:hint="cs"/>
          <w:rtl/>
        </w:rPr>
        <w:t>-</w:t>
      </w:r>
      <w:r w:rsidR="006A7C2F" w:rsidRPr="00347736">
        <w:rPr>
          <w:rtl/>
        </w:rPr>
        <w:t xml:space="preserve">גופית, וכן </w:t>
      </w:r>
      <w:r w:rsidR="006A7C2F" w:rsidRPr="00347736">
        <w:rPr>
          <w:rFonts w:hint="eastAsia"/>
          <w:rtl/>
        </w:rPr>
        <w:t>לחיילות</w:t>
      </w:r>
      <w:r w:rsidR="006A7C2F" w:rsidRPr="00347736">
        <w:rPr>
          <w:rtl/>
        </w:rPr>
        <w:t xml:space="preserve"> </w:t>
      </w:r>
      <w:r w:rsidR="006A7C2F" w:rsidRPr="00347736">
        <w:rPr>
          <w:rFonts w:hint="eastAsia"/>
          <w:rtl/>
        </w:rPr>
        <w:t>או</w:t>
      </w:r>
      <w:r w:rsidR="006A7C2F" w:rsidRPr="00347736">
        <w:rPr>
          <w:rtl/>
        </w:rPr>
        <w:t xml:space="preserve"> </w:t>
      </w:r>
      <w:r w:rsidR="006A7C2F" w:rsidRPr="00347736">
        <w:rPr>
          <w:rFonts w:hint="eastAsia"/>
          <w:rtl/>
        </w:rPr>
        <w:t>חיילים</w:t>
      </w:r>
      <w:r w:rsidR="006A7C2F" w:rsidRPr="00347736">
        <w:rPr>
          <w:rtl/>
        </w:rPr>
        <w:t xml:space="preserve"> </w:t>
      </w:r>
      <w:r w:rsidR="006A7C2F" w:rsidRPr="00347736">
        <w:rPr>
          <w:rFonts w:hint="eastAsia"/>
          <w:rtl/>
        </w:rPr>
        <w:t>בשירות</w:t>
      </w:r>
      <w:r w:rsidR="006A7C2F" w:rsidRPr="00347736">
        <w:rPr>
          <w:rtl/>
        </w:rPr>
        <w:t xml:space="preserve"> </w:t>
      </w:r>
      <w:r w:rsidR="006A7C2F" w:rsidRPr="00347736">
        <w:rPr>
          <w:rFonts w:hint="eastAsia"/>
          <w:rtl/>
        </w:rPr>
        <w:t>קבע</w:t>
      </w:r>
      <w:r w:rsidR="006A7C2F" w:rsidRPr="00347736">
        <w:rPr>
          <w:rtl/>
        </w:rPr>
        <w:t xml:space="preserve"> </w:t>
      </w:r>
      <w:r w:rsidR="006A7C2F" w:rsidRPr="00347736">
        <w:rPr>
          <w:rFonts w:hint="eastAsia"/>
          <w:rtl/>
        </w:rPr>
        <w:t>העוברים</w:t>
      </w:r>
      <w:r w:rsidR="006A7C2F" w:rsidRPr="00347736">
        <w:rPr>
          <w:rtl/>
        </w:rPr>
        <w:t xml:space="preserve"> </w:t>
      </w:r>
      <w:r w:rsidR="006A7C2F" w:rsidRPr="00347736">
        <w:rPr>
          <w:rFonts w:hint="eastAsia"/>
          <w:rtl/>
        </w:rPr>
        <w:t>טיפולי</w:t>
      </w:r>
      <w:r w:rsidR="006A7C2F" w:rsidRPr="00347736">
        <w:rPr>
          <w:rtl/>
        </w:rPr>
        <w:t xml:space="preserve"> </w:t>
      </w:r>
      <w:r w:rsidR="006A7C2F" w:rsidRPr="00347736">
        <w:rPr>
          <w:rFonts w:hint="eastAsia"/>
          <w:rtl/>
        </w:rPr>
        <w:t>פוריות</w:t>
      </w:r>
      <w:r w:rsidR="006A7C2F" w:rsidRPr="00347736">
        <w:rPr>
          <w:rtl/>
        </w:rPr>
        <w:t xml:space="preserve">, </w:t>
      </w:r>
      <w:r w:rsidR="006A7C2F" w:rsidRPr="00347736">
        <w:rPr>
          <w:rFonts w:hint="eastAsia"/>
          <w:rtl/>
        </w:rPr>
        <w:t>בדומה</w:t>
      </w:r>
      <w:r w:rsidR="006A7C2F" w:rsidRPr="00347736">
        <w:rPr>
          <w:rtl/>
        </w:rPr>
        <w:t xml:space="preserve"> </w:t>
      </w:r>
      <w:r w:rsidR="006A7C2F" w:rsidRPr="00347736">
        <w:rPr>
          <w:rFonts w:hint="eastAsia"/>
          <w:rtl/>
        </w:rPr>
        <w:t>להגנה</w:t>
      </w:r>
      <w:r w:rsidR="006A7C2F" w:rsidRPr="00347736">
        <w:rPr>
          <w:rtl/>
        </w:rPr>
        <w:t xml:space="preserve"> </w:t>
      </w:r>
      <w:r w:rsidR="006A7C2F" w:rsidRPr="00347736">
        <w:rPr>
          <w:rFonts w:hint="eastAsia"/>
          <w:rtl/>
        </w:rPr>
        <w:t>הקבועה</w:t>
      </w:r>
      <w:r w:rsidR="006A7C2F" w:rsidRPr="00347736">
        <w:rPr>
          <w:rtl/>
        </w:rPr>
        <w:t xml:space="preserve"> </w:t>
      </w:r>
      <w:r w:rsidR="006A7C2F" w:rsidRPr="00347736">
        <w:rPr>
          <w:rFonts w:hint="eastAsia"/>
          <w:rtl/>
        </w:rPr>
        <w:t>בסעיף</w:t>
      </w:r>
      <w:r w:rsidR="006A7C2F" w:rsidRPr="00347736">
        <w:rPr>
          <w:rtl/>
        </w:rPr>
        <w:t xml:space="preserve"> 9(ה) </w:t>
      </w:r>
      <w:r w:rsidR="006A7C2F" w:rsidRPr="00347736">
        <w:rPr>
          <w:rFonts w:hint="eastAsia"/>
          <w:rtl/>
        </w:rPr>
        <w:t>לחוק</w:t>
      </w:r>
      <w:r w:rsidR="006A7C2F" w:rsidRPr="00347736">
        <w:rPr>
          <w:rtl/>
        </w:rPr>
        <w:t xml:space="preserve"> </w:t>
      </w:r>
      <w:r w:rsidR="006A7C2F" w:rsidRPr="00347736">
        <w:rPr>
          <w:rFonts w:hint="eastAsia"/>
          <w:rtl/>
        </w:rPr>
        <w:t>עבודת</w:t>
      </w:r>
      <w:r w:rsidR="006A7C2F" w:rsidRPr="00347736">
        <w:rPr>
          <w:rtl/>
        </w:rPr>
        <w:t xml:space="preserve"> </w:t>
      </w:r>
      <w:r w:rsidR="006A7C2F" w:rsidRPr="00347736">
        <w:rPr>
          <w:rFonts w:hint="eastAsia"/>
          <w:rtl/>
        </w:rPr>
        <w:t>נשים</w:t>
      </w:r>
      <w:r w:rsidR="00F4069B">
        <w:rPr>
          <w:rFonts w:hint="cs"/>
          <w:rtl/>
        </w:rPr>
        <w:t xml:space="preserve">, </w:t>
      </w:r>
      <w:proofErr w:type="spellStart"/>
      <w:r w:rsidR="00F4069B">
        <w:rPr>
          <w:rFonts w:hint="cs"/>
          <w:rtl/>
        </w:rPr>
        <w:t>התשי"ד</w:t>
      </w:r>
      <w:proofErr w:type="spellEnd"/>
      <w:r w:rsidR="00F4069B">
        <w:rPr>
          <w:rFonts w:hint="eastAsia"/>
          <w:rtl/>
        </w:rPr>
        <w:t>–</w:t>
      </w:r>
      <w:r w:rsidR="00F4069B">
        <w:rPr>
          <w:rFonts w:hint="cs"/>
          <w:rtl/>
        </w:rPr>
        <w:t>1954</w:t>
      </w:r>
      <w:r w:rsidR="00BB0B42">
        <w:rPr>
          <w:rFonts w:hint="cs"/>
          <w:rtl/>
        </w:rPr>
        <w:t xml:space="preserve"> (להלן </w:t>
      </w:r>
      <w:r w:rsidR="00BB0B42">
        <w:rPr>
          <w:rtl/>
        </w:rPr>
        <w:t>–</w:t>
      </w:r>
      <w:r w:rsidR="00BB0B42">
        <w:rPr>
          <w:rFonts w:hint="cs"/>
          <w:rtl/>
        </w:rPr>
        <w:t xml:space="preserve"> חוק עבודת נשים); </w:t>
      </w:r>
      <w:r w:rsidR="006A7C2F" w:rsidRPr="00347736">
        <w:rPr>
          <w:rtl/>
        </w:rPr>
        <w:t xml:space="preserve">בכך </w:t>
      </w:r>
      <w:r w:rsidR="004644E6">
        <w:rPr>
          <w:rFonts w:hint="cs"/>
          <w:rtl/>
        </w:rPr>
        <w:t>יושווה</w:t>
      </w:r>
      <w:r w:rsidR="006A7C2F" w:rsidRPr="00347736">
        <w:rPr>
          <w:rtl/>
        </w:rPr>
        <w:t xml:space="preserve"> מצבם של החיילות והחיילים למצב הקיים </w:t>
      </w:r>
      <w:r w:rsidR="004644E6">
        <w:rPr>
          <w:rFonts w:hint="cs"/>
          <w:rtl/>
        </w:rPr>
        <w:t xml:space="preserve">לגבי </w:t>
      </w:r>
      <w:r w:rsidR="006A7C2F" w:rsidRPr="00347736">
        <w:rPr>
          <w:rtl/>
        </w:rPr>
        <w:t>אזרחי</w:t>
      </w:r>
      <w:r w:rsidR="004644E6">
        <w:rPr>
          <w:rFonts w:hint="cs"/>
          <w:rtl/>
        </w:rPr>
        <w:t>ם שאינם חיילים בשירות קבע</w:t>
      </w:r>
      <w:r w:rsidR="006A7C2F" w:rsidRPr="00347736">
        <w:rPr>
          <w:rtl/>
        </w:rPr>
        <w:t xml:space="preserve">, </w:t>
      </w:r>
      <w:r w:rsidR="003F374C">
        <w:rPr>
          <w:rFonts w:hint="cs"/>
          <w:rtl/>
        </w:rPr>
        <w:t>ה</w:t>
      </w:r>
      <w:r w:rsidR="006A7C2F" w:rsidRPr="00347736">
        <w:rPr>
          <w:rFonts w:hint="eastAsia"/>
          <w:rtl/>
        </w:rPr>
        <w:t>מאפשר</w:t>
      </w:r>
      <w:r w:rsidR="006A7C2F" w:rsidRPr="00347736">
        <w:rPr>
          <w:rtl/>
        </w:rPr>
        <w:t xml:space="preserve"> לעובדות</w:t>
      </w:r>
      <w:r w:rsidR="00BB0B42">
        <w:rPr>
          <w:rtl/>
        </w:rPr>
        <w:t xml:space="preserve"> ולעובדים הגנה מפני פיטורים ב</w:t>
      </w:r>
      <w:r w:rsidR="00BB0B42">
        <w:rPr>
          <w:rFonts w:hint="cs"/>
          <w:rtl/>
        </w:rPr>
        <w:t>של</w:t>
      </w:r>
      <w:r w:rsidR="006A7C2F" w:rsidRPr="00347736">
        <w:rPr>
          <w:rtl/>
        </w:rPr>
        <w:t xml:space="preserve"> </w:t>
      </w:r>
      <w:r w:rsidR="006A7C2F" w:rsidRPr="00347736">
        <w:rPr>
          <w:rFonts w:hint="eastAsia"/>
          <w:rtl/>
        </w:rPr>
        <w:t>ה</w:t>
      </w:r>
      <w:r w:rsidR="00BB0B42">
        <w:rPr>
          <w:rFonts w:hint="cs"/>
          <w:rtl/>
        </w:rPr>
        <w:t>י</w:t>
      </w:r>
      <w:r w:rsidR="006A7C2F" w:rsidRPr="00347736">
        <w:rPr>
          <w:rFonts w:hint="eastAsia"/>
          <w:rtl/>
        </w:rPr>
        <w:t>ריון</w:t>
      </w:r>
      <w:r w:rsidR="00F4069B">
        <w:rPr>
          <w:rFonts w:hint="cs"/>
          <w:rtl/>
        </w:rPr>
        <w:t xml:space="preserve">, </w:t>
      </w:r>
      <w:r w:rsidR="003F374C">
        <w:rPr>
          <w:rFonts w:hint="cs"/>
          <w:rtl/>
        </w:rPr>
        <w:t>תקופת לידה והורות</w:t>
      </w:r>
      <w:r w:rsidR="00F4069B">
        <w:rPr>
          <w:rFonts w:hint="cs"/>
          <w:rtl/>
        </w:rPr>
        <w:t>,</w:t>
      </w:r>
      <w:r w:rsidR="006A7C2F" w:rsidRPr="00347736">
        <w:rPr>
          <w:rtl/>
        </w:rPr>
        <w:t xml:space="preserve"> וטיפולי פו</w:t>
      </w:r>
      <w:r w:rsidR="006B144C" w:rsidRPr="00347736">
        <w:rPr>
          <w:rFonts w:hint="eastAsia"/>
          <w:rtl/>
        </w:rPr>
        <w:t>ריות</w:t>
      </w:r>
      <w:r w:rsidR="00F4069B">
        <w:rPr>
          <w:rFonts w:hint="cs"/>
          <w:rtl/>
        </w:rPr>
        <w:t xml:space="preserve"> או </w:t>
      </w:r>
      <w:r w:rsidR="006B144C" w:rsidRPr="00347736">
        <w:rPr>
          <w:rFonts w:hint="eastAsia"/>
          <w:rtl/>
        </w:rPr>
        <w:t>הפריה</w:t>
      </w:r>
      <w:r w:rsidR="006B144C" w:rsidRPr="00347736">
        <w:rPr>
          <w:rtl/>
        </w:rPr>
        <w:t xml:space="preserve"> </w:t>
      </w:r>
      <w:r w:rsidR="006B144C" w:rsidRPr="00347736">
        <w:rPr>
          <w:rFonts w:hint="eastAsia"/>
          <w:rtl/>
        </w:rPr>
        <w:t>חוץ</w:t>
      </w:r>
      <w:r w:rsidR="00BB0B42">
        <w:rPr>
          <w:rFonts w:hint="cs"/>
          <w:rtl/>
        </w:rPr>
        <w:t>-</w:t>
      </w:r>
      <w:r w:rsidR="006B144C" w:rsidRPr="00347736">
        <w:rPr>
          <w:rFonts w:hint="eastAsia"/>
          <w:rtl/>
        </w:rPr>
        <w:t>גופית</w:t>
      </w:r>
      <w:r w:rsidR="006B144C" w:rsidRPr="00347736">
        <w:rPr>
          <w:rtl/>
        </w:rPr>
        <w:t>.</w:t>
      </w:r>
      <w:r w:rsidR="004644E6">
        <w:rPr>
          <w:rFonts w:hint="cs"/>
          <w:rtl/>
        </w:rPr>
        <w:t xml:space="preserve"> </w:t>
      </w:r>
      <w:r w:rsidR="00BB0B42">
        <w:rPr>
          <w:rFonts w:hint="cs"/>
          <w:rtl/>
        </w:rPr>
        <w:t>כמו כן</w:t>
      </w:r>
      <w:r w:rsidR="004644E6">
        <w:rPr>
          <w:rFonts w:hint="cs"/>
          <w:rtl/>
        </w:rPr>
        <w:t>, מוצע כי ההגנה בעת חופשת לידה וחופשה מיוחדת לאחר לידה, ולאחריהן, תחול גם על חייל שזכאי לה לפי פקודות הצבא.</w:t>
      </w:r>
    </w:p>
    <w:p w14:paraId="5C2C9EFC" w14:textId="77777777" w:rsidR="008F238D" w:rsidRDefault="006A7C2F" w:rsidP="008F238D">
      <w:pPr>
        <w:pStyle w:val="Hesber"/>
        <w:rPr>
          <w:rtl/>
        </w:rPr>
      </w:pPr>
      <w:r w:rsidRPr="00347736">
        <w:rPr>
          <w:rFonts w:hint="eastAsia"/>
          <w:rtl/>
        </w:rPr>
        <w:t>ההתאמה</w:t>
      </w:r>
      <w:r w:rsidRPr="00347736">
        <w:rPr>
          <w:rtl/>
        </w:rPr>
        <w:t xml:space="preserve"> </w:t>
      </w:r>
      <w:r w:rsidR="004644E6">
        <w:rPr>
          <w:rFonts w:hint="cs"/>
          <w:rtl/>
        </w:rPr>
        <w:t xml:space="preserve">האמורה </w:t>
      </w:r>
      <w:r w:rsidRPr="00347736">
        <w:rPr>
          <w:rFonts w:hint="eastAsia"/>
          <w:rtl/>
        </w:rPr>
        <w:t>לחוק</w:t>
      </w:r>
      <w:r w:rsidRPr="00347736">
        <w:rPr>
          <w:rtl/>
        </w:rPr>
        <w:t xml:space="preserve"> </w:t>
      </w:r>
      <w:r w:rsidRPr="00347736">
        <w:rPr>
          <w:rFonts w:hint="eastAsia"/>
          <w:rtl/>
        </w:rPr>
        <w:t>עבודת</w:t>
      </w:r>
      <w:r w:rsidRPr="00347736">
        <w:rPr>
          <w:rtl/>
        </w:rPr>
        <w:t xml:space="preserve"> </w:t>
      </w:r>
      <w:r w:rsidRPr="00347736">
        <w:rPr>
          <w:rFonts w:hint="eastAsia"/>
          <w:rtl/>
        </w:rPr>
        <w:t>נשים</w:t>
      </w:r>
      <w:r w:rsidRPr="00347736">
        <w:rPr>
          <w:rtl/>
        </w:rPr>
        <w:t xml:space="preserve"> </w:t>
      </w:r>
      <w:r w:rsidR="004644E6">
        <w:rPr>
          <w:rFonts w:hint="cs"/>
          <w:rtl/>
        </w:rPr>
        <w:t xml:space="preserve">תיעשה </w:t>
      </w:r>
      <w:r w:rsidRPr="00347736">
        <w:rPr>
          <w:rFonts w:hint="eastAsia"/>
          <w:rtl/>
        </w:rPr>
        <w:t>בשינויים</w:t>
      </w:r>
      <w:r w:rsidRPr="00347736">
        <w:rPr>
          <w:rtl/>
        </w:rPr>
        <w:t xml:space="preserve"> </w:t>
      </w:r>
      <w:r w:rsidRPr="00347736">
        <w:rPr>
          <w:rFonts w:hint="eastAsia"/>
          <w:rtl/>
        </w:rPr>
        <w:t>המחויבים</w:t>
      </w:r>
      <w:r w:rsidRPr="00347736">
        <w:rPr>
          <w:rtl/>
        </w:rPr>
        <w:t xml:space="preserve"> לגבי משרתי הקבע. כך לדוגמא הודעה למפקד על הטיפולים מכוח סעיף </w:t>
      </w:r>
      <w:r w:rsidR="004644E6">
        <w:rPr>
          <w:rFonts w:hint="cs"/>
          <w:rtl/>
        </w:rPr>
        <w:t>2א(ג)</w:t>
      </w:r>
      <w:r w:rsidR="003F374C">
        <w:rPr>
          <w:rFonts w:hint="cs"/>
          <w:rtl/>
        </w:rPr>
        <w:t xml:space="preserve"> </w:t>
      </w:r>
      <w:r w:rsidR="000B021B">
        <w:rPr>
          <w:rFonts w:hint="cs"/>
          <w:rtl/>
        </w:rPr>
        <w:t>ל</w:t>
      </w:r>
      <w:r w:rsidR="003F374C">
        <w:rPr>
          <w:rFonts w:hint="cs"/>
          <w:rtl/>
        </w:rPr>
        <w:t>חוק</w:t>
      </w:r>
      <w:r w:rsidR="000B021B">
        <w:rPr>
          <w:rFonts w:hint="cs"/>
          <w:rtl/>
        </w:rPr>
        <w:t>,</w:t>
      </w:r>
      <w:r w:rsidRPr="00312FFC">
        <w:rPr>
          <w:rFonts w:hint="cs"/>
          <w:rtl/>
        </w:rPr>
        <w:t xml:space="preserve"> תימסר לא יאוחר משבעה ימים ממועד מתן ההודעה </w:t>
      </w:r>
      <w:r w:rsidR="004644E6">
        <w:rPr>
          <w:rFonts w:hint="cs"/>
          <w:rtl/>
        </w:rPr>
        <w:t>ע</w:t>
      </w:r>
      <w:r w:rsidRPr="00312FFC">
        <w:rPr>
          <w:rFonts w:hint="cs"/>
          <w:rtl/>
        </w:rPr>
        <w:t>ל</w:t>
      </w:r>
      <w:r w:rsidR="004644E6">
        <w:rPr>
          <w:rFonts w:hint="cs"/>
          <w:rtl/>
        </w:rPr>
        <w:t xml:space="preserve"> </w:t>
      </w:r>
      <w:r w:rsidRPr="00312FFC">
        <w:rPr>
          <w:rFonts w:hint="cs"/>
          <w:rtl/>
        </w:rPr>
        <w:t>שחרור מהתחייבות</w:t>
      </w:r>
      <w:r w:rsidR="000B021B">
        <w:rPr>
          <w:rFonts w:hint="cs"/>
          <w:rtl/>
        </w:rPr>
        <w:t>,</w:t>
      </w:r>
      <w:r w:rsidRPr="00312FFC">
        <w:rPr>
          <w:rFonts w:hint="cs"/>
          <w:rtl/>
        </w:rPr>
        <w:t xml:space="preserve"> במקום שלושה ימי עבודה שנקבעו בחוק עבודת נשים. מאחר שמדובר במשרתי קבע, שרבים מהם עומדים על משמרתם במשך כל ימי השבוע, תקופת ההודעה לגביהם עלולה להיות קצרה יותר מזו של עובדים רגילים. למעשה, </w:t>
      </w:r>
      <w:r w:rsidR="008F238D">
        <w:rPr>
          <w:rFonts w:hint="cs"/>
          <w:rtl/>
        </w:rPr>
        <w:t xml:space="preserve">ספירת </w:t>
      </w:r>
      <w:r w:rsidRPr="00312FFC">
        <w:rPr>
          <w:rFonts w:hint="cs"/>
          <w:rtl/>
        </w:rPr>
        <w:t>"ימי עבודה" לעובדים רגילים אינ</w:t>
      </w:r>
      <w:r w:rsidR="008F238D">
        <w:rPr>
          <w:rFonts w:hint="cs"/>
          <w:rtl/>
        </w:rPr>
        <w:t>ה</w:t>
      </w:r>
      <w:r w:rsidRPr="00312FFC">
        <w:rPr>
          <w:rFonts w:hint="cs"/>
          <w:rtl/>
        </w:rPr>
        <w:t xml:space="preserve"> כולל</w:t>
      </w:r>
      <w:r w:rsidR="008F238D">
        <w:rPr>
          <w:rFonts w:hint="cs"/>
          <w:rtl/>
        </w:rPr>
        <w:t>ת</w:t>
      </w:r>
      <w:r w:rsidRPr="00312FFC">
        <w:rPr>
          <w:rFonts w:hint="cs"/>
          <w:rtl/>
        </w:rPr>
        <w:t xml:space="preserve"> את ימי שישי ושבת כך שבדרך כלל תקופת ההודעה בימים ארוכה משלושה ימים, מה שאינו בהכרח לגבי משרתי הקבע. לפיכך בהקשר של משרתי הקבע, יש לשנות את המונח "ימי עבודה" ל"ימים</w:t>
      </w:r>
      <w:r w:rsidRPr="00F4069B">
        <w:rPr>
          <w:rFonts w:hint="cs"/>
          <w:rtl/>
        </w:rPr>
        <w:t>" ולהאריך את תקופת ההודעה לשבעה ימים כאמור, כדי שזכויותיהם של משרתי הקבע לא תיפגענה ביחס לעובדים במגזר האזרחי.</w:t>
      </w:r>
      <w:r w:rsidR="008F238D">
        <w:rPr>
          <w:rFonts w:hint="cs"/>
          <w:rtl/>
        </w:rPr>
        <w:t xml:space="preserve"> </w:t>
      </w:r>
    </w:p>
    <w:p w14:paraId="054B1FA3" w14:textId="5B65D9F7" w:rsidR="006A7C2F" w:rsidRPr="00347736" w:rsidRDefault="006A7C2F" w:rsidP="008F238D">
      <w:pPr>
        <w:pStyle w:val="Hesber"/>
        <w:rPr>
          <w:rtl/>
        </w:rPr>
      </w:pPr>
      <w:r w:rsidRPr="00347736">
        <w:rPr>
          <w:rFonts w:hint="eastAsia"/>
          <w:rtl/>
        </w:rPr>
        <w:t>הצעת</w:t>
      </w:r>
      <w:r w:rsidRPr="00347736">
        <w:rPr>
          <w:rtl/>
        </w:rPr>
        <w:t xml:space="preserve"> </w:t>
      </w:r>
      <w:r w:rsidRPr="00347736">
        <w:rPr>
          <w:rFonts w:hint="eastAsia"/>
          <w:rtl/>
        </w:rPr>
        <w:t>החוק</w:t>
      </w:r>
      <w:r w:rsidRPr="00347736">
        <w:rPr>
          <w:rtl/>
        </w:rPr>
        <w:t xml:space="preserve"> </w:t>
      </w:r>
      <w:r w:rsidRPr="00347736">
        <w:rPr>
          <w:rFonts w:hint="eastAsia"/>
          <w:rtl/>
        </w:rPr>
        <w:t>הוכנה</w:t>
      </w:r>
      <w:r w:rsidRPr="00347736">
        <w:rPr>
          <w:rtl/>
        </w:rPr>
        <w:t xml:space="preserve"> </w:t>
      </w:r>
      <w:r w:rsidRPr="00347736">
        <w:rPr>
          <w:rFonts w:hint="eastAsia"/>
          <w:rtl/>
        </w:rPr>
        <w:t>בסיוע</w:t>
      </w:r>
      <w:r w:rsidRPr="00347736">
        <w:rPr>
          <w:rtl/>
        </w:rPr>
        <w:t xml:space="preserve"> </w:t>
      </w:r>
      <w:r w:rsidRPr="00347736">
        <w:rPr>
          <w:rFonts w:hint="eastAsia"/>
          <w:rtl/>
        </w:rPr>
        <w:t>ועדת</w:t>
      </w:r>
      <w:r w:rsidRPr="00347736">
        <w:rPr>
          <w:rtl/>
        </w:rPr>
        <w:t xml:space="preserve"> </w:t>
      </w:r>
      <w:r w:rsidRPr="00347736">
        <w:rPr>
          <w:rFonts w:hint="eastAsia"/>
          <w:rtl/>
        </w:rPr>
        <w:t>צבא</w:t>
      </w:r>
      <w:r w:rsidRPr="00347736">
        <w:rPr>
          <w:rtl/>
        </w:rPr>
        <w:t xml:space="preserve"> </w:t>
      </w:r>
      <w:r w:rsidRPr="00347736">
        <w:rPr>
          <w:rFonts w:hint="eastAsia"/>
          <w:rtl/>
        </w:rPr>
        <w:t>וב</w:t>
      </w:r>
      <w:r w:rsidR="00BB0B42">
        <w:rPr>
          <w:rFonts w:hint="cs"/>
          <w:rtl/>
        </w:rPr>
        <w:t>י</w:t>
      </w:r>
      <w:r w:rsidRPr="00347736">
        <w:rPr>
          <w:rFonts w:hint="eastAsia"/>
          <w:rtl/>
        </w:rPr>
        <w:t>טחון</w:t>
      </w:r>
      <w:r w:rsidRPr="00347736">
        <w:rPr>
          <w:rtl/>
        </w:rPr>
        <w:t xml:space="preserve"> </w:t>
      </w:r>
      <w:r w:rsidRPr="00347736">
        <w:rPr>
          <w:rFonts w:hint="eastAsia"/>
          <w:rtl/>
        </w:rPr>
        <w:t>של</w:t>
      </w:r>
      <w:r w:rsidRPr="00347736">
        <w:rPr>
          <w:rtl/>
        </w:rPr>
        <w:t xml:space="preserve"> </w:t>
      </w:r>
      <w:r w:rsidRPr="00347736">
        <w:rPr>
          <w:rFonts w:hint="eastAsia"/>
          <w:rtl/>
        </w:rPr>
        <w:t>לשכת</w:t>
      </w:r>
      <w:r w:rsidRPr="00347736">
        <w:rPr>
          <w:rtl/>
        </w:rPr>
        <w:t xml:space="preserve"> </w:t>
      </w:r>
      <w:r w:rsidRPr="00347736">
        <w:rPr>
          <w:rFonts w:hint="eastAsia"/>
          <w:rtl/>
        </w:rPr>
        <w:t>עורכי</w:t>
      </w:r>
      <w:r w:rsidRPr="00347736">
        <w:rPr>
          <w:rtl/>
        </w:rPr>
        <w:t xml:space="preserve"> </w:t>
      </w:r>
      <w:r w:rsidRPr="00347736">
        <w:rPr>
          <w:rFonts w:hint="eastAsia"/>
          <w:rtl/>
        </w:rPr>
        <w:t>הדין</w:t>
      </w:r>
      <w:r w:rsidRPr="00347736">
        <w:rPr>
          <w:rtl/>
        </w:rPr>
        <w:t>.</w:t>
      </w:r>
    </w:p>
    <w:p w14:paraId="78DC6E7C" w14:textId="77777777" w:rsidR="00C86C73" w:rsidRPr="00D73212" w:rsidRDefault="00C86C73" w:rsidP="00C86C73">
      <w:pPr>
        <w:pStyle w:val="Hesber"/>
        <w:rPr>
          <w:color w:val="auto"/>
          <w:rtl/>
          <w:lang w:eastAsia="en-US"/>
        </w:rPr>
      </w:pPr>
      <w:r w:rsidRPr="00D73212">
        <w:rPr>
          <w:color w:val="auto"/>
          <w:rtl/>
          <w:lang w:eastAsia="en-US"/>
        </w:rPr>
        <w:t>---------------------------------</w:t>
      </w:r>
    </w:p>
    <w:p w14:paraId="3B878328" w14:textId="77777777" w:rsidR="00C86C73" w:rsidRPr="00D73212" w:rsidRDefault="00C86C73" w:rsidP="00C86C73">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58BF75F6" w14:textId="77777777" w:rsidR="00C86C73" w:rsidRPr="00D73212" w:rsidRDefault="00C86C73" w:rsidP="00C86C73">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7F6961CB" w14:textId="5E62DE98" w:rsidR="00E13C27" w:rsidRPr="00FA43B9" w:rsidRDefault="00C86C73" w:rsidP="00C86C73">
      <w:pPr>
        <w:pStyle w:val="Hesber"/>
        <w:rPr>
          <w:rtl/>
        </w:rPr>
      </w:pPr>
      <w:r>
        <w:rPr>
          <w:rFonts w:hint="cs"/>
          <w:color w:val="auto"/>
          <w:rtl/>
          <w:lang w:eastAsia="en-US"/>
        </w:rPr>
        <w:t>ד' בסיוון</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ז</w:t>
      </w:r>
      <w:proofErr w:type="spellEnd"/>
      <w:r w:rsidRPr="00D73212">
        <w:rPr>
          <w:color w:val="auto"/>
          <w:rtl/>
          <w:lang w:eastAsia="en-US"/>
        </w:rPr>
        <w:t xml:space="preserve"> – </w:t>
      </w:r>
      <w:r>
        <w:rPr>
          <w:rFonts w:hint="cs"/>
          <w:color w:val="auto"/>
          <w:rtl/>
          <w:lang w:eastAsia="en-US"/>
        </w:rPr>
        <w:t>29.5</w:t>
      </w:r>
      <w:r w:rsidRPr="00D73212">
        <w:rPr>
          <w:color w:val="auto"/>
          <w:rtl/>
          <w:lang w:eastAsia="en-US"/>
        </w:rPr>
        <w:t>.</w:t>
      </w:r>
      <w:r>
        <w:rPr>
          <w:rFonts w:hint="cs"/>
          <w:color w:val="auto"/>
          <w:rtl/>
          <w:lang w:eastAsia="en-US"/>
        </w:rPr>
        <w:t>17</w:t>
      </w:r>
    </w:p>
    <w:sectPr w:rsidR="00E13C27" w:rsidRPr="00FA43B9"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C46339" w14:textId="77777777" w:rsidR="00C15C6E" w:rsidRDefault="00C15C6E">
      <w:r>
        <w:separator/>
      </w:r>
    </w:p>
  </w:endnote>
  <w:endnote w:type="continuationSeparator" w:id="0">
    <w:p w14:paraId="53135B03" w14:textId="77777777" w:rsidR="00C15C6E" w:rsidRDefault="00C15C6E">
      <w:r>
        <w:continuationSeparator/>
      </w:r>
    </w:p>
  </w:endnote>
  <w:endnote w:type="continuationNotice" w:id="1">
    <w:p w14:paraId="54E4A625" w14:textId="77777777" w:rsidR="00C15C6E" w:rsidRDefault="00C15C6E">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0E3C94">
      <w:rPr>
        <w:rStyle w:val="ab"/>
        <w:noProof/>
        <w:rtl/>
      </w:rPr>
      <w:t>3</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8269A6" w14:textId="77777777" w:rsidR="00C15C6E" w:rsidRDefault="00C15C6E">
      <w:r>
        <w:separator/>
      </w:r>
    </w:p>
  </w:footnote>
  <w:footnote w:type="continuationSeparator" w:id="0">
    <w:p w14:paraId="0A640D1F" w14:textId="77777777" w:rsidR="00C15C6E" w:rsidRDefault="00C15C6E">
      <w:r>
        <w:continuationSeparator/>
      </w:r>
    </w:p>
  </w:footnote>
  <w:footnote w:type="continuationNotice" w:id="1">
    <w:p w14:paraId="3ED53880" w14:textId="77777777" w:rsidR="00C15C6E" w:rsidRDefault="00C15C6E"/>
  </w:footnote>
  <w:footnote w:id="2">
    <w:p w14:paraId="020FC655" w14:textId="797C8831" w:rsidR="006A7C2F" w:rsidRDefault="006A7C2F" w:rsidP="001E6223">
      <w:pPr>
        <w:pStyle w:val="a4"/>
        <w:rPr>
          <w:rtl/>
        </w:rPr>
      </w:pPr>
      <w:r>
        <w:rPr>
          <w:rStyle w:val="a6"/>
        </w:rPr>
        <w:footnoteRef/>
      </w:r>
      <w:r>
        <w:rPr>
          <w:rtl/>
        </w:rPr>
        <w:t xml:space="preserve"> </w:t>
      </w:r>
      <w:r>
        <w:rPr>
          <w:rFonts w:hint="cs"/>
          <w:rtl/>
        </w:rPr>
        <w:t xml:space="preserve">ס"ח </w:t>
      </w:r>
      <w:proofErr w:type="spellStart"/>
      <w:r w:rsidR="001E6223">
        <w:rPr>
          <w:rFonts w:hint="cs"/>
          <w:rtl/>
        </w:rPr>
        <w:t>ה</w:t>
      </w:r>
      <w:r>
        <w:rPr>
          <w:rFonts w:hint="cs"/>
          <w:rtl/>
        </w:rPr>
        <w:t>תשע"א</w:t>
      </w:r>
      <w:proofErr w:type="spellEnd"/>
      <w:r w:rsidR="001E6223">
        <w:rPr>
          <w:rFonts w:hint="cs"/>
          <w:rtl/>
        </w:rPr>
        <w:t>,</w:t>
      </w:r>
      <w:r>
        <w:rPr>
          <w:rFonts w:hint="cs"/>
          <w:rtl/>
        </w:rPr>
        <w:t xml:space="preserve"> עמ' 12.</w:t>
      </w:r>
    </w:p>
    <w:p w14:paraId="323849FA" w14:textId="77777777" w:rsidR="006A7C2F" w:rsidRDefault="006A7C2F" w:rsidP="006A7C2F">
      <w:pPr>
        <w:pStyle w:val="a4"/>
        <w:rPr>
          <w:rtl/>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142"/>
        </w:tabs>
        <w:ind w:left="142" w:firstLine="0"/>
      </w:pPr>
      <w:rPr>
        <w:rFonts w:hint="default"/>
      </w:rPr>
    </w:lvl>
    <w:lvl w:ilvl="1" w:tplc="D3D4E8B2">
      <w:start w:val="1"/>
      <w:numFmt w:val="decimal"/>
      <w:lvlText w:val="(%2)"/>
      <w:lvlJc w:val="left"/>
      <w:pPr>
        <w:tabs>
          <w:tab w:val="num" w:pos="766"/>
        </w:tabs>
        <w:ind w:left="142" w:firstLine="0"/>
      </w:pPr>
      <w:rPr>
        <w:rFonts w:hint="default"/>
      </w:rPr>
    </w:lvl>
    <w:lvl w:ilvl="2" w:tplc="5D2AB1E4">
      <w:start w:val="1"/>
      <w:numFmt w:val="hebrew1"/>
      <w:lvlText w:val="(%3)"/>
      <w:lvlJc w:val="left"/>
      <w:pPr>
        <w:tabs>
          <w:tab w:val="num" w:pos="766"/>
        </w:tabs>
        <w:ind w:left="142" w:firstLine="0"/>
      </w:pPr>
      <w:rPr>
        <w:rFonts w:hint="default"/>
      </w:rPr>
    </w:lvl>
    <w:lvl w:ilvl="3" w:tplc="1F820BA4">
      <w:start w:val="1"/>
      <w:numFmt w:val="hebrew1"/>
      <w:lvlRestart w:val="0"/>
      <w:lvlText w:val="(%4)"/>
      <w:lvlJc w:val="left"/>
      <w:pPr>
        <w:tabs>
          <w:tab w:val="num" w:pos="766"/>
        </w:tabs>
        <w:ind w:left="142" w:firstLine="0"/>
      </w:pPr>
      <w:rPr>
        <w:rFonts w:hint="default"/>
      </w:rPr>
    </w:lvl>
    <w:lvl w:ilvl="4" w:tplc="62C6E096">
      <w:start w:val="1"/>
      <w:numFmt w:val="decimal"/>
      <w:lvlRestart w:val="0"/>
      <w:lvlText w:val="(%5)"/>
      <w:lvlJc w:val="left"/>
      <w:pPr>
        <w:tabs>
          <w:tab w:val="num" w:pos="4006"/>
        </w:tabs>
        <w:ind w:left="3382" w:firstLine="0"/>
      </w:pPr>
      <w:rPr>
        <w:rFonts w:hint="default"/>
      </w:rPr>
    </w:lvl>
    <w:lvl w:ilvl="5" w:tplc="0409001B" w:tentative="1">
      <w:start w:val="1"/>
      <w:numFmt w:val="lowerRoman"/>
      <w:lvlText w:val="%6."/>
      <w:lvlJc w:val="right"/>
      <w:pPr>
        <w:tabs>
          <w:tab w:val="num" w:pos="4462"/>
        </w:tabs>
        <w:ind w:left="4462" w:hanging="180"/>
      </w:pPr>
    </w:lvl>
    <w:lvl w:ilvl="6" w:tplc="0409000F" w:tentative="1">
      <w:start w:val="1"/>
      <w:numFmt w:val="decimal"/>
      <w:lvlText w:val="%7."/>
      <w:lvlJc w:val="left"/>
      <w:pPr>
        <w:tabs>
          <w:tab w:val="num" w:pos="5182"/>
        </w:tabs>
        <w:ind w:left="5182" w:hanging="360"/>
      </w:pPr>
    </w:lvl>
    <w:lvl w:ilvl="7" w:tplc="04090019" w:tentative="1">
      <w:start w:val="1"/>
      <w:numFmt w:val="lowerLetter"/>
      <w:lvlText w:val="%8."/>
      <w:lvlJc w:val="left"/>
      <w:pPr>
        <w:tabs>
          <w:tab w:val="num" w:pos="5902"/>
        </w:tabs>
        <w:ind w:left="5902" w:hanging="360"/>
      </w:pPr>
    </w:lvl>
    <w:lvl w:ilvl="8" w:tplc="0409001B" w:tentative="1">
      <w:start w:val="1"/>
      <w:numFmt w:val="lowerRoman"/>
      <w:lvlText w:val="%9."/>
      <w:lvlJc w:val="right"/>
      <w:pPr>
        <w:tabs>
          <w:tab w:val="num" w:pos="6622"/>
        </w:tabs>
        <w:ind w:left="6622"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5596C"/>
    <w:rsid w:val="00056908"/>
    <w:rsid w:val="00063A3E"/>
    <w:rsid w:val="00072CAC"/>
    <w:rsid w:val="0007681A"/>
    <w:rsid w:val="00080255"/>
    <w:rsid w:val="000A542E"/>
    <w:rsid w:val="000B021B"/>
    <w:rsid w:val="000E3C94"/>
    <w:rsid w:val="00102B6B"/>
    <w:rsid w:val="001052D4"/>
    <w:rsid w:val="0010644B"/>
    <w:rsid w:val="001207F8"/>
    <w:rsid w:val="00121924"/>
    <w:rsid w:val="001279A8"/>
    <w:rsid w:val="0014195F"/>
    <w:rsid w:val="00152609"/>
    <w:rsid w:val="00153E1B"/>
    <w:rsid w:val="00164444"/>
    <w:rsid w:val="001A0623"/>
    <w:rsid w:val="001A1BF9"/>
    <w:rsid w:val="001C23B0"/>
    <w:rsid w:val="001D7AAF"/>
    <w:rsid w:val="001E6223"/>
    <w:rsid w:val="00203A7F"/>
    <w:rsid w:val="0021633A"/>
    <w:rsid w:val="002200A1"/>
    <w:rsid w:val="00232E9A"/>
    <w:rsid w:val="002362BF"/>
    <w:rsid w:val="00241B97"/>
    <w:rsid w:val="002425D1"/>
    <w:rsid w:val="00246756"/>
    <w:rsid w:val="00251E58"/>
    <w:rsid w:val="00254605"/>
    <w:rsid w:val="00266D86"/>
    <w:rsid w:val="002728B4"/>
    <w:rsid w:val="0027600C"/>
    <w:rsid w:val="00292712"/>
    <w:rsid w:val="002A487D"/>
    <w:rsid w:val="002C0B5E"/>
    <w:rsid w:val="002C2E29"/>
    <w:rsid w:val="002C3041"/>
    <w:rsid w:val="002D1EE3"/>
    <w:rsid w:val="002F1D80"/>
    <w:rsid w:val="00312FFC"/>
    <w:rsid w:val="003232A2"/>
    <w:rsid w:val="00325C14"/>
    <w:rsid w:val="00347736"/>
    <w:rsid w:val="00355257"/>
    <w:rsid w:val="0036422C"/>
    <w:rsid w:val="003710F6"/>
    <w:rsid w:val="00386E88"/>
    <w:rsid w:val="00396585"/>
    <w:rsid w:val="003D6E38"/>
    <w:rsid w:val="003D74A0"/>
    <w:rsid w:val="003F374C"/>
    <w:rsid w:val="004033D8"/>
    <w:rsid w:val="004073F0"/>
    <w:rsid w:val="00412A7D"/>
    <w:rsid w:val="00416B4D"/>
    <w:rsid w:val="00417CFC"/>
    <w:rsid w:val="004600DC"/>
    <w:rsid w:val="004644E6"/>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A7C2F"/>
    <w:rsid w:val="006B144C"/>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31A8D"/>
    <w:rsid w:val="00843EB2"/>
    <w:rsid w:val="00865572"/>
    <w:rsid w:val="00874BBC"/>
    <w:rsid w:val="00892135"/>
    <w:rsid w:val="00895449"/>
    <w:rsid w:val="00897879"/>
    <w:rsid w:val="008A6870"/>
    <w:rsid w:val="008C2DDC"/>
    <w:rsid w:val="008C7516"/>
    <w:rsid w:val="008D3299"/>
    <w:rsid w:val="008E6EC7"/>
    <w:rsid w:val="008F0D63"/>
    <w:rsid w:val="008F1308"/>
    <w:rsid w:val="008F238D"/>
    <w:rsid w:val="008F2C35"/>
    <w:rsid w:val="008F6665"/>
    <w:rsid w:val="00904591"/>
    <w:rsid w:val="00905E5F"/>
    <w:rsid w:val="0091204F"/>
    <w:rsid w:val="009203DB"/>
    <w:rsid w:val="00923CD4"/>
    <w:rsid w:val="00930EFE"/>
    <w:rsid w:val="009344EC"/>
    <w:rsid w:val="00943386"/>
    <w:rsid w:val="009456B6"/>
    <w:rsid w:val="00957589"/>
    <w:rsid w:val="00966D06"/>
    <w:rsid w:val="00982412"/>
    <w:rsid w:val="00983A8D"/>
    <w:rsid w:val="009A0DB8"/>
    <w:rsid w:val="009A7257"/>
    <w:rsid w:val="009D6E0A"/>
    <w:rsid w:val="009E1E33"/>
    <w:rsid w:val="00A00B5F"/>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B0B42"/>
    <w:rsid w:val="00BC45FB"/>
    <w:rsid w:val="00BF148D"/>
    <w:rsid w:val="00C15C6E"/>
    <w:rsid w:val="00C23B1A"/>
    <w:rsid w:val="00C24968"/>
    <w:rsid w:val="00C310EB"/>
    <w:rsid w:val="00C86C73"/>
    <w:rsid w:val="00C9176A"/>
    <w:rsid w:val="00CF1AA2"/>
    <w:rsid w:val="00D17774"/>
    <w:rsid w:val="00D465CC"/>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E1426"/>
    <w:rsid w:val="00EF3A3A"/>
    <w:rsid w:val="00F00B0D"/>
    <w:rsid w:val="00F4069B"/>
    <w:rsid w:val="00F628D6"/>
    <w:rsid w:val="00F67051"/>
    <w:rsid w:val="00F86A1E"/>
    <w:rsid w:val="00FA43B9"/>
    <w:rsid w:val="00FA5E88"/>
    <w:rsid w:val="00FE62B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144C"/>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6B144C"/>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6B144C"/>
    <w:rPr>
      <w:sz w:val="36"/>
      <w:szCs w:val="52"/>
    </w:rPr>
  </w:style>
  <w:style w:type="paragraph" w:customStyle="1" w:styleId="Cover3-Haknesset">
    <w:name w:val="Cover 3-Haknesset"/>
    <w:basedOn w:val="Cover1-Reshumot"/>
    <w:rsid w:val="006B144C"/>
    <w:rPr>
      <w:b/>
      <w:bCs/>
      <w:spacing w:val="60"/>
    </w:rPr>
  </w:style>
  <w:style w:type="paragraph" w:customStyle="1" w:styleId="Cover4-Date">
    <w:name w:val="Cover 4-Date"/>
    <w:basedOn w:val="a"/>
    <w:rsid w:val="006B144C"/>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6B144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6B144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6B144C"/>
    <w:pPr>
      <w:spacing w:before="120" w:after="120"/>
    </w:pPr>
    <w:rPr>
      <w:color w:val="FF0000"/>
      <w:w w:val="80"/>
    </w:rPr>
  </w:style>
  <w:style w:type="paragraph" w:styleId="a3">
    <w:name w:val="endnote text"/>
    <w:basedOn w:val="a"/>
    <w:semiHidden/>
    <w:rsid w:val="006B144C"/>
    <w:pPr>
      <w:ind w:left="227" w:hanging="227"/>
    </w:pPr>
    <w:rPr>
      <w:sz w:val="14"/>
      <w:szCs w:val="22"/>
    </w:rPr>
  </w:style>
  <w:style w:type="paragraph" w:customStyle="1" w:styleId="TableText">
    <w:name w:val="Table Text"/>
    <w:basedOn w:val="a"/>
    <w:rsid w:val="006B144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6B144C"/>
  </w:style>
  <w:style w:type="paragraph" w:customStyle="1" w:styleId="TableBlock">
    <w:name w:val="Table Block"/>
    <w:basedOn w:val="TableText"/>
    <w:rsid w:val="006B144C"/>
    <w:pPr>
      <w:ind w:right="0"/>
      <w:jc w:val="both"/>
    </w:pPr>
  </w:style>
  <w:style w:type="paragraph" w:customStyle="1" w:styleId="TableHead">
    <w:name w:val="Table Head"/>
    <w:basedOn w:val="TableText"/>
    <w:rsid w:val="006B144C"/>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6B144C"/>
  </w:style>
  <w:style w:type="paragraph" w:customStyle="1" w:styleId="Hesber">
    <w:name w:val="Hesber"/>
    <w:basedOn w:val="a"/>
    <w:rsid w:val="006B144C"/>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6B144C"/>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6B144C"/>
    <w:rPr>
      <w:vertAlign w:val="superscript"/>
    </w:rPr>
  </w:style>
  <w:style w:type="paragraph" w:customStyle="1" w:styleId="HesberHeading">
    <w:name w:val="Hesber Heading"/>
    <w:basedOn w:val="Hesber"/>
    <w:rsid w:val="006B144C"/>
    <w:pPr>
      <w:tabs>
        <w:tab w:val="left" w:pos="624"/>
        <w:tab w:val="left" w:pos="1247"/>
      </w:tabs>
      <w:ind w:firstLine="0"/>
    </w:pPr>
    <w:rPr>
      <w:b/>
      <w:bCs/>
    </w:rPr>
  </w:style>
  <w:style w:type="paragraph" w:customStyle="1" w:styleId="HesberWriters">
    <w:name w:val="Hesber Writers"/>
    <w:basedOn w:val="Hesber"/>
    <w:rsid w:val="006B144C"/>
    <w:pPr>
      <w:spacing w:before="120" w:after="6000"/>
      <w:ind w:left="1418" w:firstLine="0"/>
      <w:jc w:val="right"/>
    </w:pPr>
    <w:rPr>
      <w:b/>
      <w:bCs/>
    </w:rPr>
  </w:style>
  <w:style w:type="paragraph" w:customStyle="1" w:styleId="Hesber1st">
    <w:name w:val="Hesber 1st"/>
    <w:basedOn w:val="Hesber"/>
    <w:rsid w:val="006B144C"/>
    <w:pPr>
      <w:tabs>
        <w:tab w:val="left" w:pos="680"/>
        <w:tab w:val="left" w:pos="1020"/>
      </w:tabs>
      <w:ind w:firstLine="0"/>
    </w:pPr>
  </w:style>
  <w:style w:type="character" w:styleId="a7">
    <w:name w:val="endnote reference"/>
    <w:basedOn w:val="a0"/>
    <w:semiHidden/>
    <w:rsid w:val="006B144C"/>
    <w:rPr>
      <w:vertAlign w:val="superscript"/>
    </w:rPr>
  </w:style>
  <w:style w:type="paragraph" w:customStyle="1" w:styleId="TableBlockOutdent">
    <w:name w:val="Table BlockOutdent"/>
    <w:basedOn w:val="TableBlock"/>
    <w:rsid w:val="006B144C"/>
    <w:pPr>
      <w:ind w:left="624" w:hanging="624"/>
    </w:pPr>
  </w:style>
  <w:style w:type="paragraph" w:styleId="a8">
    <w:name w:val="header"/>
    <w:basedOn w:val="a"/>
    <w:rsid w:val="006B144C"/>
    <w:pPr>
      <w:tabs>
        <w:tab w:val="center" w:pos="4153"/>
        <w:tab w:val="right" w:pos="8306"/>
      </w:tabs>
    </w:pPr>
  </w:style>
  <w:style w:type="paragraph" w:styleId="a9">
    <w:name w:val="footer"/>
    <w:basedOn w:val="a"/>
    <w:rsid w:val="006B144C"/>
    <w:pPr>
      <w:tabs>
        <w:tab w:val="center" w:pos="4153"/>
        <w:tab w:val="right" w:pos="8306"/>
      </w:tabs>
    </w:pPr>
  </w:style>
  <w:style w:type="paragraph" w:customStyle="1" w:styleId="HeadDivreiHesber">
    <w:name w:val="Head DivreiHesber"/>
    <w:basedOn w:val="a"/>
    <w:rsid w:val="006B144C"/>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6B144C"/>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6B144C"/>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locked/>
    <w:rsid w:val="006A7C2F"/>
    <w:rPr>
      <w:rFonts w:ascii="Arial" w:eastAsia="Arial Unicode MS" w:hAnsi="Arial" w:cs="David"/>
      <w:snapToGrid w:val="0"/>
      <w:color w:val="000000"/>
      <w:sz w:val="14"/>
      <w:lang w:eastAsia="ja-JP"/>
    </w:rPr>
  </w:style>
  <w:style w:type="character" w:customStyle="1" w:styleId="default">
    <w:name w:val="default"/>
    <w:basedOn w:val="a0"/>
    <w:rsid w:val="006A7C2F"/>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6A1FF-0FD8-4B00-A7EC-95E298426160}"/>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ED2A9452-81D1-40B3-B8A0-8E86E5D2B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834</Words>
  <Characters>4174</Characters>
  <Application>Microsoft Office Word</Application>
  <DocSecurity>0</DocSecurity>
  <Lines>34</Lines>
  <Paragraphs>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4999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שי גרשון מאיר</cp:lastModifiedBy>
  <cp:revision>2</cp:revision>
  <cp:lastPrinted>2017-05-25T07:19:00Z</cp:lastPrinted>
  <dcterms:created xsi:type="dcterms:W3CDTF">2017-11-07T16:19:00Z</dcterms:created>
  <dcterms:modified xsi:type="dcterms:W3CDTF">2017-11-07T16:19:00Z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2022793</vt:r8>
  </property>
</Properties>
</file>