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F3A2F" w:rsidRPr="007369EC" w:rsidRDefault="00BF41D2" w:rsidP="007369EC">
      <w:pPr>
        <w:spacing w:after="120" w:line="240" w:lineRule="auto"/>
        <w:jc w:val="center"/>
        <w:rPr>
          <w:rFonts w:ascii="Tahoma" w:hAnsi="Tahoma" w:cs="Tahoma"/>
          <w:b/>
          <w:bCs/>
          <w:sz w:val="26"/>
          <w:szCs w:val="26"/>
          <w:u w:val="single"/>
          <w:rtl/>
        </w:rPr>
      </w:pPr>
      <w:r w:rsidRPr="00BF41D2">
        <w:rPr>
          <w:rFonts w:ascii="Tahoma" w:hAnsi="Tahoma" w:cs="Tahoma"/>
          <w:b/>
          <w:bCs/>
          <w:sz w:val="26"/>
          <w:szCs w:val="26"/>
          <w:u w:val="single"/>
          <w:rtl/>
        </w:rPr>
        <w:t>נייר עמדה</w:t>
      </w:r>
      <w:r w:rsidR="007369EC">
        <w:rPr>
          <w:rFonts w:ascii="Tahoma" w:hAnsi="Tahoma" w:cs="Tahoma" w:hint="cs"/>
          <w:b/>
          <w:bCs/>
          <w:sz w:val="26"/>
          <w:szCs w:val="26"/>
          <w:u w:val="single"/>
          <w:rtl/>
        </w:rPr>
        <w:t xml:space="preserve"> -</w:t>
      </w:r>
      <w:r w:rsidR="00B26E20">
        <w:rPr>
          <w:rFonts w:ascii="Tahoma" w:hAnsi="Tahoma" w:cs="Tahoma" w:hint="cs"/>
          <w:b/>
          <w:bCs/>
          <w:sz w:val="26"/>
          <w:szCs w:val="26"/>
          <w:u w:val="single"/>
          <w:rtl/>
        </w:rPr>
        <w:t xml:space="preserve"> </w:t>
      </w:r>
      <w:r w:rsidR="00CF3A2F" w:rsidRPr="007369EC">
        <w:rPr>
          <w:rFonts w:ascii="Tahoma" w:hAnsi="Tahoma" w:cs="Tahoma"/>
          <w:b/>
          <w:bCs/>
          <w:sz w:val="26"/>
          <w:szCs w:val="26"/>
          <w:u w:val="single"/>
          <w:rtl/>
        </w:rPr>
        <w:t>זנות וניצול קטינים, חינוך מיני לבני הנוער בבתי הספר</w:t>
      </w:r>
    </w:p>
    <w:p w:rsidR="00BF41D2" w:rsidRPr="00160D72" w:rsidRDefault="00BF41D2" w:rsidP="00B95175">
      <w:pPr>
        <w:spacing w:after="240" w:line="240" w:lineRule="auto"/>
        <w:jc w:val="center"/>
        <w:rPr>
          <w:rFonts w:ascii="Tahoma" w:hAnsi="Tahoma" w:cs="Tahoma"/>
          <w:b/>
          <w:bCs/>
          <w:rtl/>
        </w:rPr>
      </w:pPr>
      <w:r w:rsidRPr="00160D72">
        <w:rPr>
          <w:rFonts w:ascii="Tahoma" w:hAnsi="Tahoma" w:cs="Tahoma"/>
          <w:b/>
          <w:bCs/>
          <w:rtl/>
        </w:rPr>
        <w:t xml:space="preserve">דיון </w:t>
      </w:r>
      <w:r w:rsidR="00F6127C">
        <w:rPr>
          <w:rFonts w:ascii="Tahoma" w:hAnsi="Tahoma" w:cs="Tahoma" w:hint="cs"/>
          <w:b/>
          <w:bCs/>
          <w:rtl/>
        </w:rPr>
        <w:t>משותף של ו</w:t>
      </w:r>
      <w:r w:rsidR="00160D72">
        <w:rPr>
          <w:rFonts w:ascii="Tahoma" w:hAnsi="Tahoma" w:cs="Tahoma" w:hint="cs"/>
          <w:b/>
          <w:bCs/>
          <w:rtl/>
        </w:rPr>
        <w:t>ועד</w:t>
      </w:r>
      <w:r w:rsidR="00CF3A2F">
        <w:rPr>
          <w:rFonts w:ascii="Tahoma" w:hAnsi="Tahoma" w:cs="Tahoma" w:hint="cs"/>
          <w:b/>
          <w:bCs/>
          <w:rtl/>
        </w:rPr>
        <w:t>ת המשנה למאבק בסחר בנשים ובזנות</w:t>
      </w:r>
      <w:r w:rsidR="00F6127C">
        <w:rPr>
          <w:rFonts w:ascii="Tahoma" w:hAnsi="Tahoma" w:cs="Tahoma" w:hint="cs"/>
          <w:b/>
          <w:bCs/>
          <w:rtl/>
        </w:rPr>
        <w:t xml:space="preserve"> והוועדה המיוחדת לזכויות הילד</w:t>
      </w:r>
      <w:r w:rsidR="00CF3A2F">
        <w:rPr>
          <w:rFonts w:ascii="Tahoma" w:hAnsi="Tahoma" w:cs="Tahoma" w:hint="cs"/>
          <w:b/>
          <w:bCs/>
          <w:rtl/>
        </w:rPr>
        <w:t xml:space="preserve"> ב</w:t>
      </w:r>
      <w:r w:rsidR="00160D72">
        <w:rPr>
          <w:rFonts w:ascii="Tahoma" w:hAnsi="Tahoma" w:cs="Tahoma" w:hint="cs"/>
          <w:b/>
          <w:bCs/>
          <w:rtl/>
        </w:rPr>
        <w:t xml:space="preserve">- </w:t>
      </w:r>
      <w:r w:rsidR="00734A89">
        <w:rPr>
          <w:rFonts w:ascii="Tahoma" w:hAnsi="Tahoma" w:cs="Tahoma" w:hint="cs"/>
          <w:b/>
          <w:bCs/>
          <w:rtl/>
        </w:rPr>
        <w:t>13</w:t>
      </w:r>
      <w:r w:rsidRPr="00160D72">
        <w:rPr>
          <w:rFonts w:ascii="Tahoma" w:hAnsi="Tahoma" w:cs="Tahoma"/>
          <w:b/>
          <w:bCs/>
          <w:rtl/>
        </w:rPr>
        <w:t>.</w:t>
      </w:r>
      <w:r w:rsidR="00CF3A2F">
        <w:rPr>
          <w:rFonts w:ascii="Tahoma" w:hAnsi="Tahoma" w:cs="Tahoma" w:hint="cs"/>
          <w:b/>
          <w:bCs/>
          <w:rtl/>
        </w:rPr>
        <w:t>1</w:t>
      </w:r>
      <w:r w:rsidRPr="00160D72">
        <w:rPr>
          <w:rFonts w:ascii="Tahoma" w:hAnsi="Tahoma" w:cs="Tahoma"/>
          <w:b/>
          <w:bCs/>
          <w:rtl/>
        </w:rPr>
        <w:t>1.201</w:t>
      </w:r>
      <w:r w:rsidR="00CF3A2F">
        <w:rPr>
          <w:rFonts w:ascii="Tahoma" w:hAnsi="Tahoma" w:cs="Tahoma" w:hint="cs"/>
          <w:b/>
          <w:bCs/>
          <w:rtl/>
        </w:rPr>
        <w:t>7</w:t>
      </w:r>
    </w:p>
    <w:p w:rsidR="00082404" w:rsidRPr="00160D72" w:rsidRDefault="00BE29C0" w:rsidP="00160D72">
      <w:pPr>
        <w:spacing w:after="120" w:line="360" w:lineRule="auto"/>
        <w:rPr>
          <w:rFonts w:ascii="Tahoma" w:hAnsi="Tahoma" w:cs="Tahoma"/>
          <w:b/>
          <w:bCs/>
          <w:u w:val="single"/>
          <w:rtl/>
        </w:rPr>
      </w:pPr>
      <w:r>
        <w:rPr>
          <w:rFonts w:ascii="Tahoma" w:hAnsi="Tahoma" w:cs="Tahoma" w:hint="cs"/>
          <w:b/>
          <w:bCs/>
          <w:u w:val="single"/>
          <w:rtl/>
        </w:rPr>
        <w:t>נתונים כללים על אכיפת זנות קטינים:</w:t>
      </w:r>
    </w:p>
    <w:p w:rsidR="00A71875" w:rsidRDefault="00A71875" w:rsidP="00A71875">
      <w:pPr>
        <w:pStyle w:val="a9"/>
        <w:numPr>
          <w:ilvl w:val="0"/>
          <w:numId w:val="2"/>
        </w:numPr>
        <w:spacing w:after="120" w:line="360" w:lineRule="auto"/>
        <w:rPr>
          <w:rFonts w:ascii="Tahoma" w:hAnsi="Tahoma" w:cs="Tahoma"/>
        </w:rPr>
      </w:pPr>
      <w:r w:rsidRPr="00A71875">
        <w:rPr>
          <w:rFonts w:ascii="Tahoma" w:hAnsi="Tahoma" w:cs="Tahoma"/>
          <w:rtl/>
        </w:rPr>
        <w:t>בישראל יש הרבה יותר מ- 1,300 קטינים בזנות. הסקר הלאומי של משרד הרווחה שמונה את המספר הנ"ל קובע כי מדובר בנתונים חלקיים בלבד, המבוסס רק על נתונים שנאספו ברווחה ובעלם.</w:t>
      </w:r>
    </w:p>
    <w:p w:rsidR="00BE29C0" w:rsidRPr="00A71875" w:rsidRDefault="00BE29C0" w:rsidP="00A71875">
      <w:pPr>
        <w:pStyle w:val="a9"/>
        <w:numPr>
          <w:ilvl w:val="0"/>
          <w:numId w:val="2"/>
        </w:numPr>
        <w:spacing w:after="120" w:line="360" w:lineRule="auto"/>
        <w:rPr>
          <w:rFonts w:ascii="Tahoma" w:hAnsi="Tahoma" w:cs="Tahoma"/>
          <w:rtl/>
        </w:rPr>
      </w:pPr>
      <w:r w:rsidRPr="00A71875">
        <w:rPr>
          <w:rFonts w:ascii="Tahoma" w:hAnsi="Tahoma" w:cs="Tahoma" w:hint="cs"/>
          <w:rtl/>
        </w:rPr>
        <w:t xml:space="preserve">עד כה בשנת 2017, שעומדת להסתיים, הוגשו </w:t>
      </w:r>
      <w:r w:rsidRPr="00A71875">
        <w:rPr>
          <w:rFonts w:ascii="Tahoma" w:hAnsi="Tahoma" w:cs="Tahoma" w:hint="cs"/>
          <w:b/>
          <w:bCs/>
          <w:rtl/>
        </w:rPr>
        <w:t>0</w:t>
      </w:r>
      <w:r w:rsidRPr="00A71875">
        <w:rPr>
          <w:rFonts w:ascii="Tahoma" w:hAnsi="Tahoma" w:cs="Tahoma"/>
          <w:b/>
          <w:bCs/>
          <w:rtl/>
        </w:rPr>
        <w:t xml:space="preserve"> כתבי אישום </w:t>
      </w:r>
      <w:r w:rsidRPr="00A71875">
        <w:rPr>
          <w:rFonts w:ascii="Tahoma" w:hAnsi="Tahoma" w:cs="Tahoma" w:hint="cs"/>
          <w:b/>
          <w:bCs/>
          <w:rtl/>
        </w:rPr>
        <w:t>בגין צריכת זנות מקטינים</w:t>
      </w:r>
      <w:r w:rsidRPr="00A71875">
        <w:rPr>
          <w:rFonts w:ascii="Tahoma" w:hAnsi="Tahoma" w:cs="Tahoma" w:hint="cs"/>
          <w:rtl/>
        </w:rPr>
        <w:t>.</w:t>
      </w:r>
    </w:p>
    <w:p w:rsidR="00BE29C0" w:rsidRPr="00BE29C0" w:rsidRDefault="00BE29C0" w:rsidP="00AF66AD">
      <w:pPr>
        <w:pStyle w:val="a9"/>
        <w:numPr>
          <w:ilvl w:val="0"/>
          <w:numId w:val="2"/>
        </w:numPr>
        <w:spacing w:after="120" w:line="360" w:lineRule="auto"/>
        <w:rPr>
          <w:rFonts w:ascii="Tahoma" w:hAnsi="Tahoma" w:cs="Tahoma"/>
        </w:rPr>
      </w:pPr>
      <w:r w:rsidRPr="00BE29C0">
        <w:rPr>
          <w:rFonts w:ascii="Tahoma" w:hAnsi="Tahoma" w:cs="Tahoma"/>
          <w:rtl/>
        </w:rPr>
        <w:t>20 כתבי אישום הוגשו נגד לקוחות של קטינים בזנות מתחילת 2013 ועד תום 2015</w:t>
      </w:r>
      <w:r w:rsidRPr="00BE29C0">
        <w:rPr>
          <w:rFonts w:ascii="Tahoma" w:hAnsi="Tahoma" w:cs="Tahoma"/>
        </w:rPr>
        <w:t>.</w:t>
      </w:r>
      <w:r w:rsidRPr="00BE29C0">
        <w:rPr>
          <w:rFonts w:ascii="Tahoma" w:hAnsi="Tahoma" w:cs="Tahoma" w:hint="cs"/>
          <w:rtl/>
        </w:rPr>
        <w:t xml:space="preserve"> </w:t>
      </w:r>
      <w:r w:rsidRPr="00BE29C0">
        <w:rPr>
          <w:rFonts w:ascii="Tahoma" w:hAnsi="Tahoma" w:cs="Tahoma"/>
          <w:rtl/>
        </w:rPr>
        <w:t>בשנת 2016 הוגשו מספר כתבי אישום ספורים.</w:t>
      </w:r>
      <w:r w:rsidR="00E77929">
        <w:rPr>
          <w:rFonts w:ascii="Tahoma" w:hAnsi="Tahoma" w:cs="Tahoma" w:hint="cs"/>
          <w:rtl/>
        </w:rPr>
        <w:t xml:space="preserve"> </w:t>
      </w:r>
    </w:p>
    <w:p w:rsidR="00BE29C0" w:rsidRPr="00AF66AD" w:rsidRDefault="00BE29C0" w:rsidP="00B26E20">
      <w:pPr>
        <w:pStyle w:val="a9"/>
        <w:numPr>
          <w:ilvl w:val="0"/>
          <w:numId w:val="2"/>
        </w:numPr>
        <w:spacing w:after="120" w:line="360" w:lineRule="auto"/>
        <w:rPr>
          <w:rFonts w:ascii="Tahoma" w:hAnsi="Tahoma" w:cs="Tahoma"/>
          <w:color w:val="FF0000"/>
        </w:rPr>
      </w:pPr>
      <w:r w:rsidRPr="00BE29C0">
        <w:rPr>
          <w:rFonts w:ascii="Tahoma" w:hAnsi="Tahoma" w:cs="Tahoma"/>
          <w:rtl/>
        </w:rPr>
        <w:t xml:space="preserve">ב-2016 אימצה הכנסת את הצעת החוק שמחמירה את הענישה על מקבלי שירותי זנות מקטינים, משלוש שנות מאסר לחמש שנים. </w:t>
      </w:r>
      <w:r w:rsidR="00934C34">
        <w:rPr>
          <w:rFonts w:ascii="Tahoma" w:hAnsi="Tahoma" w:cs="Tahoma" w:hint="cs"/>
          <w:rtl/>
        </w:rPr>
        <w:t>זאת</w:t>
      </w:r>
      <w:r w:rsidR="00300BA6">
        <w:rPr>
          <w:rFonts w:ascii="Tahoma" w:hAnsi="Tahoma" w:cs="Tahoma" w:hint="cs"/>
          <w:rtl/>
        </w:rPr>
        <w:t>.</w:t>
      </w:r>
      <w:bookmarkStart w:id="0" w:name="_GoBack"/>
      <w:bookmarkEnd w:id="0"/>
    </w:p>
    <w:p w:rsidR="00BE29C0" w:rsidRDefault="00BE29C0" w:rsidP="005E007C">
      <w:pPr>
        <w:pStyle w:val="a9"/>
        <w:numPr>
          <w:ilvl w:val="0"/>
          <w:numId w:val="2"/>
        </w:numPr>
        <w:spacing w:after="120" w:line="360" w:lineRule="auto"/>
        <w:rPr>
          <w:rFonts w:ascii="Tahoma" w:hAnsi="Tahoma" w:cs="Tahoma"/>
        </w:rPr>
      </w:pPr>
      <w:r w:rsidRPr="00934C34">
        <w:rPr>
          <w:rFonts w:ascii="Tahoma" w:hAnsi="Tahoma" w:cs="Tahoma" w:hint="cs"/>
          <w:b/>
          <w:bCs/>
          <w:rtl/>
        </w:rPr>
        <w:t>רוב הנשים נכנסו למעגל הזנות כקטינות.</w:t>
      </w:r>
      <w:r>
        <w:rPr>
          <w:rFonts w:ascii="Tahoma" w:hAnsi="Tahoma" w:cs="Tahoma" w:hint="cs"/>
          <w:rtl/>
        </w:rPr>
        <w:t xml:space="preserve"> במציאות בה היציאה מזוועות הזנות קשה במיוחד </w:t>
      </w:r>
      <w:r>
        <w:rPr>
          <w:rFonts w:ascii="Tahoma" w:hAnsi="Tahoma" w:cs="Tahoma"/>
          <w:rtl/>
        </w:rPr>
        <w:t>–</w:t>
      </w:r>
      <w:r>
        <w:rPr>
          <w:rFonts w:ascii="Tahoma" w:hAnsi="Tahoma" w:cs="Tahoma" w:hint="cs"/>
          <w:rtl/>
        </w:rPr>
        <w:t xml:space="preserve"> היה מצופה כי תהיה פעולה משמעותית ורחבה יותר בכל המישורים:</w:t>
      </w:r>
    </w:p>
    <w:p w:rsidR="00BE29C0" w:rsidRDefault="00BE29C0" w:rsidP="00BE29C0">
      <w:pPr>
        <w:pStyle w:val="a9"/>
        <w:numPr>
          <w:ilvl w:val="1"/>
          <w:numId w:val="2"/>
        </w:numPr>
        <w:spacing w:after="120" w:line="360" w:lineRule="auto"/>
        <w:rPr>
          <w:rFonts w:ascii="Tahoma" w:hAnsi="Tahoma" w:cs="Tahoma"/>
        </w:rPr>
      </w:pPr>
      <w:r>
        <w:rPr>
          <w:rFonts w:ascii="Tahoma" w:hAnsi="Tahoma" w:cs="Tahoma" w:hint="cs"/>
          <w:rtl/>
        </w:rPr>
        <w:t xml:space="preserve">אכיפה והפללה של לקוחו </w:t>
      </w:r>
      <w:r w:rsidR="00DF3D6A">
        <w:rPr>
          <w:rFonts w:ascii="Tahoma" w:hAnsi="Tahoma" w:cs="Tahoma" w:hint="cs"/>
          <w:rtl/>
        </w:rPr>
        <w:t>של קטין</w:t>
      </w:r>
      <w:r>
        <w:rPr>
          <w:rFonts w:ascii="Tahoma" w:hAnsi="Tahoma" w:cs="Tahoma" w:hint="cs"/>
          <w:rtl/>
        </w:rPr>
        <w:t>.</w:t>
      </w:r>
    </w:p>
    <w:p w:rsidR="00BE29C0" w:rsidRDefault="00BE29C0" w:rsidP="00AF66AD">
      <w:pPr>
        <w:pStyle w:val="a9"/>
        <w:numPr>
          <w:ilvl w:val="1"/>
          <w:numId w:val="2"/>
        </w:numPr>
        <w:spacing w:after="120" w:line="360" w:lineRule="auto"/>
        <w:rPr>
          <w:rFonts w:ascii="Tahoma" w:hAnsi="Tahoma" w:cs="Tahoma"/>
        </w:rPr>
      </w:pPr>
      <w:r>
        <w:rPr>
          <w:rFonts w:ascii="Tahoma" w:hAnsi="Tahoma" w:cs="Tahoma" w:hint="cs"/>
          <w:rtl/>
        </w:rPr>
        <w:t xml:space="preserve">פעולות מניעה של </w:t>
      </w:r>
      <w:r w:rsidR="00934C34">
        <w:rPr>
          <w:rFonts w:ascii="Tahoma" w:hAnsi="Tahoma" w:cs="Tahoma" w:hint="cs"/>
          <w:rtl/>
        </w:rPr>
        <w:t>כלל הרשויות</w:t>
      </w:r>
      <w:r>
        <w:rPr>
          <w:rFonts w:ascii="Tahoma" w:hAnsi="Tahoma" w:cs="Tahoma" w:hint="cs"/>
          <w:rtl/>
        </w:rPr>
        <w:t>.</w:t>
      </w:r>
      <w:r w:rsidR="00AF66AD">
        <w:rPr>
          <w:rFonts w:ascii="Tahoma" w:hAnsi="Tahoma" w:cs="Tahoma" w:hint="cs"/>
          <w:rtl/>
        </w:rPr>
        <w:t xml:space="preserve"> </w:t>
      </w:r>
    </w:p>
    <w:p w:rsidR="00A334DE" w:rsidRDefault="00A334DE" w:rsidP="00083434">
      <w:pPr>
        <w:pStyle w:val="a9"/>
        <w:numPr>
          <w:ilvl w:val="1"/>
          <w:numId w:val="2"/>
        </w:numPr>
        <w:spacing w:after="120" w:line="360" w:lineRule="auto"/>
        <w:rPr>
          <w:rFonts w:ascii="Tahoma" w:hAnsi="Tahoma" w:cs="Tahoma"/>
        </w:rPr>
      </w:pPr>
      <w:r w:rsidRPr="00934C34">
        <w:rPr>
          <w:rFonts w:ascii="Tahoma" w:hAnsi="Tahoma" w:cs="Tahoma" w:hint="cs"/>
          <w:rtl/>
        </w:rPr>
        <w:t>מעורבות משמעותית של מערכת החינוך</w:t>
      </w:r>
      <w:r w:rsidR="00934C34" w:rsidRPr="00934C34">
        <w:rPr>
          <w:rFonts w:ascii="Tahoma" w:hAnsi="Tahoma" w:cs="Tahoma" w:hint="cs"/>
          <w:rtl/>
        </w:rPr>
        <w:t>.</w:t>
      </w:r>
      <w:r w:rsidRPr="00934C34">
        <w:rPr>
          <w:rFonts w:ascii="Tahoma" w:hAnsi="Tahoma" w:cs="Tahoma" w:hint="cs"/>
          <w:rtl/>
        </w:rPr>
        <w:t xml:space="preserve"> </w:t>
      </w:r>
    </w:p>
    <w:p w:rsidR="00934C34" w:rsidRPr="00934C34" w:rsidRDefault="00934C34" w:rsidP="00934C34">
      <w:pPr>
        <w:pStyle w:val="a9"/>
        <w:spacing w:after="120" w:line="360" w:lineRule="auto"/>
        <w:ind w:left="1440"/>
        <w:rPr>
          <w:rFonts w:ascii="Tahoma" w:hAnsi="Tahoma" w:cs="Tahoma"/>
        </w:rPr>
      </w:pPr>
    </w:p>
    <w:p w:rsidR="00082404" w:rsidRDefault="00696682" w:rsidP="00160D72">
      <w:pPr>
        <w:spacing w:after="120" w:line="360" w:lineRule="auto"/>
        <w:jc w:val="both"/>
        <w:rPr>
          <w:rFonts w:ascii="Tahoma" w:hAnsi="Tahoma" w:cs="Tahoma"/>
          <w:b/>
          <w:bCs/>
          <w:u w:val="single"/>
          <w:rtl/>
        </w:rPr>
      </w:pPr>
      <w:r>
        <w:rPr>
          <w:rFonts w:ascii="Tahoma" w:hAnsi="Tahoma" w:cs="Tahoma" w:hint="cs"/>
          <w:b/>
          <w:bCs/>
          <w:u w:val="single"/>
          <w:rtl/>
        </w:rPr>
        <w:t>תשובות לטענות על קשיי אכיפה</w:t>
      </w:r>
      <w:r w:rsidR="00082404" w:rsidRPr="00160D72">
        <w:rPr>
          <w:rFonts w:ascii="Tahoma" w:hAnsi="Tahoma" w:cs="Tahoma" w:hint="cs"/>
          <w:b/>
          <w:bCs/>
          <w:u w:val="single"/>
          <w:rtl/>
        </w:rPr>
        <w:t>:</w:t>
      </w:r>
    </w:p>
    <w:p w:rsidR="00BE29C0" w:rsidRDefault="00BE29C0" w:rsidP="006070A9">
      <w:pPr>
        <w:pStyle w:val="a9"/>
        <w:numPr>
          <w:ilvl w:val="0"/>
          <w:numId w:val="1"/>
        </w:numPr>
        <w:spacing w:after="120" w:line="360" w:lineRule="auto"/>
        <w:jc w:val="both"/>
        <w:rPr>
          <w:rFonts w:ascii="Tahoma" w:hAnsi="Tahoma" w:cs="Tahoma"/>
          <w:b/>
          <w:bCs/>
        </w:rPr>
      </w:pPr>
      <w:r w:rsidRPr="00BE29C0">
        <w:rPr>
          <w:rFonts w:ascii="Tahoma" w:hAnsi="Tahoma" w:cs="Tahoma" w:hint="cs"/>
          <w:b/>
          <w:bCs/>
          <w:rtl/>
        </w:rPr>
        <w:t xml:space="preserve">טענת המשטרה על הקושי </w:t>
      </w:r>
      <w:r>
        <w:rPr>
          <w:rFonts w:ascii="Tahoma" w:hAnsi="Tahoma" w:cs="Tahoma" w:hint="cs"/>
          <w:b/>
          <w:bCs/>
          <w:rtl/>
        </w:rPr>
        <w:t>הראייתי לאור הרצון שלא לתשאל צעירות:</w:t>
      </w:r>
    </w:p>
    <w:p w:rsidR="00BE29C0" w:rsidRDefault="00BE29C0" w:rsidP="0014451D">
      <w:pPr>
        <w:pStyle w:val="a9"/>
        <w:spacing w:after="120" w:line="360" w:lineRule="auto"/>
        <w:jc w:val="both"/>
        <w:rPr>
          <w:rFonts w:ascii="Tahoma" w:hAnsi="Tahoma" w:cs="Tahoma"/>
          <w:rtl/>
        </w:rPr>
      </w:pPr>
      <w:r>
        <w:rPr>
          <w:rFonts w:ascii="Tahoma" w:hAnsi="Tahoma" w:cs="Tahoma" w:hint="cs"/>
          <w:b/>
          <w:bCs/>
          <w:rtl/>
        </w:rPr>
        <w:t xml:space="preserve">פתרון </w:t>
      </w:r>
      <w:r>
        <w:rPr>
          <w:rFonts w:ascii="Tahoma" w:hAnsi="Tahoma" w:cs="Tahoma"/>
          <w:b/>
          <w:bCs/>
          <w:rtl/>
        </w:rPr>
        <w:t>–</w:t>
      </w:r>
      <w:r>
        <w:rPr>
          <w:rFonts w:ascii="Tahoma" w:hAnsi="Tahoma" w:cs="Tahoma" w:hint="cs"/>
          <w:b/>
          <w:bCs/>
          <w:rtl/>
        </w:rPr>
        <w:t xml:space="preserve"> הרשעה בעבירת נ</w:t>
      </w:r>
      <w:r w:rsidR="00DF3D6A">
        <w:rPr>
          <w:rFonts w:ascii="Tahoma" w:hAnsi="Tahoma" w:cs="Tahoma" w:hint="cs"/>
          <w:b/>
          <w:bCs/>
          <w:rtl/>
        </w:rPr>
        <w:t>י</w:t>
      </w:r>
      <w:r>
        <w:rPr>
          <w:rFonts w:ascii="Tahoma" w:hAnsi="Tahoma" w:cs="Tahoma" w:hint="cs"/>
          <w:b/>
          <w:bCs/>
          <w:rtl/>
        </w:rPr>
        <w:t>סיון:</w:t>
      </w:r>
      <w:r w:rsidR="00696682">
        <w:rPr>
          <w:rFonts w:ascii="Tahoma" w:hAnsi="Tahoma" w:cs="Tahoma" w:hint="cs"/>
          <w:b/>
          <w:bCs/>
          <w:rtl/>
        </w:rPr>
        <w:t xml:space="preserve"> </w:t>
      </w:r>
      <w:r>
        <w:rPr>
          <w:rFonts w:ascii="Tahoma" w:hAnsi="Tahoma" w:cs="Tahoma" w:hint="cs"/>
          <w:rtl/>
        </w:rPr>
        <w:t>החוק הישראלי מאפשר הרשעה בעבירה של ניסיון לביצוע פשע, אשר העונש עליה יכול להיות זהה לעבירה עצמה. למשטרת ישראל מחלקת סייבר מפותחת</w:t>
      </w:r>
      <w:r w:rsidR="00B26E20">
        <w:rPr>
          <w:rFonts w:ascii="Tahoma" w:hAnsi="Tahoma" w:cs="Tahoma" w:hint="cs"/>
          <w:rtl/>
        </w:rPr>
        <w:t xml:space="preserve">. </w:t>
      </w:r>
      <w:r>
        <w:rPr>
          <w:rFonts w:ascii="Tahoma" w:hAnsi="Tahoma" w:cs="Tahoma" w:hint="cs"/>
          <w:rtl/>
        </w:rPr>
        <w:t xml:space="preserve">יש להגביר את המאמץ </w:t>
      </w:r>
      <w:r w:rsidRPr="00696682">
        <w:rPr>
          <w:rFonts w:ascii="Tahoma" w:hAnsi="Tahoma" w:cs="Tahoma"/>
          <w:rtl/>
        </w:rPr>
        <w:t xml:space="preserve">סביב פעילות המשטרה במרחב זה, ולפעול להביא כמה שיותר תיקים של </w:t>
      </w:r>
      <w:r w:rsidR="00B26E20">
        <w:rPr>
          <w:rFonts w:ascii="Tahoma" w:hAnsi="Tahoma" w:cs="Tahoma" w:hint="cs"/>
          <w:rtl/>
        </w:rPr>
        <w:t xml:space="preserve">אלו המנסים </w:t>
      </w:r>
      <w:r w:rsidR="00DF3D6A">
        <w:rPr>
          <w:rFonts w:ascii="Tahoma" w:hAnsi="Tahoma" w:cs="Tahoma" w:hint="cs"/>
          <w:rtl/>
        </w:rPr>
        <w:t>לצרוך זנות מ</w:t>
      </w:r>
      <w:r w:rsidR="00B26E20">
        <w:rPr>
          <w:rFonts w:ascii="Tahoma" w:hAnsi="Tahoma" w:cs="Tahoma" w:hint="cs"/>
          <w:rtl/>
        </w:rPr>
        <w:t>קטינים</w:t>
      </w:r>
      <w:r w:rsidRPr="00696682">
        <w:rPr>
          <w:rFonts w:ascii="Tahoma" w:hAnsi="Tahoma" w:cs="Tahoma"/>
          <w:rtl/>
        </w:rPr>
        <w:t>. דוגמא לכך היתה ב</w:t>
      </w:r>
      <w:hyperlink r:id="rId7" w:tgtFrame="_blank" w:history="1">
        <w:r w:rsidRPr="00696682">
          <w:rPr>
            <w:rStyle w:val="Hyperlink"/>
            <w:rFonts w:ascii="Tahoma" w:hAnsi="Tahoma" w:cs="Tahoma"/>
            <w:b/>
            <w:bCs/>
            <w:color w:val="1155CC"/>
            <w:rtl/>
          </w:rPr>
          <w:t>מדינת ישראל פרקליטות מחוז מרכז נ' אבי אזולאי</w:t>
        </w:r>
        <w:r w:rsidRPr="00696682">
          <w:rPr>
            <w:rStyle w:val="Hyperlink"/>
            <w:rFonts w:ascii="Tahoma" w:hAnsi="Tahoma" w:cs="Tahoma"/>
            <w:color w:val="1155CC"/>
            <w:rtl/>
          </w:rPr>
          <w:t> </w:t>
        </w:r>
      </w:hyperlink>
      <w:r w:rsidR="008A78C3" w:rsidRPr="00696682">
        <w:rPr>
          <w:rFonts w:ascii="Tahoma" w:hAnsi="Tahoma" w:cs="Tahoma"/>
          <w:color w:val="222222"/>
          <w:rtl/>
        </w:rPr>
        <w:t>,</w:t>
      </w:r>
      <w:r w:rsidR="00696682">
        <w:rPr>
          <w:rFonts w:ascii="Tahoma" w:hAnsi="Tahoma" w:cs="Tahoma" w:hint="cs"/>
          <w:color w:val="222222"/>
          <w:rtl/>
        </w:rPr>
        <w:t xml:space="preserve"> </w:t>
      </w:r>
      <w:r w:rsidR="008A78C3" w:rsidRPr="00696682">
        <w:rPr>
          <w:rFonts w:ascii="Tahoma" w:hAnsi="Tahoma" w:cs="Tahoma"/>
          <w:rtl/>
        </w:rPr>
        <w:t>שם פעלה המשטרה באינטרנט, עת שוטר הציג עצמו כצעירה בת 13. במהלך ההתכתבות הציע הנאשם לקטינה</w:t>
      </w:r>
      <w:r w:rsidR="008A78C3" w:rsidRPr="008A78C3">
        <w:rPr>
          <w:rFonts w:ascii="Tahoma" w:hAnsi="Tahoma" w:cs="Tahoma" w:hint="cs"/>
          <w:rtl/>
        </w:rPr>
        <w:t xml:space="preserve"> (השוטר) תשלום עבור </w:t>
      </w:r>
      <w:r w:rsidR="00DF3D6A">
        <w:rPr>
          <w:rFonts w:ascii="Tahoma" w:hAnsi="Tahoma" w:cs="Tahoma" w:hint="cs"/>
          <w:rtl/>
        </w:rPr>
        <w:t>פעולות</w:t>
      </w:r>
      <w:r w:rsidR="00DF3D6A" w:rsidRPr="008A78C3">
        <w:rPr>
          <w:rFonts w:ascii="Tahoma" w:hAnsi="Tahoma" w:cs="Tahoma" w:hint="cs"/>
          <w:rtl/>
        </w:rPr>
        <w:t xml:space="preserve"> </w:t>
      </w:r>
      <w:r w:rsidR="008A78C3" w:rsidRPr="008A78C3">
        <w:rPr>
          <w:rFonts w:ascii="Tahoma" w:hAnsi="Tahoma" w:cs="Tahoma" w:hint="cs"/>
          <w:rtl/>
        </w:rPr>
        <w:t>בעלות אופי מיני</w:t>
      </w:r>
      <w:r w:rsidR="0014451D">
        <w:rPr>
          <w:rFonts w:ascii="Tahoma" w:hAnsi="Tahoma" w:cs="Tahoma" w:hint="cs"/>
          <w:rtl/>
        </w:rPr>
        <w:t>.</w:t>
      </w:r>
      <w:r w:rsidR="0014451D" w:rsidRPr="008A78C3">
        <w:rPr>
          <w:rFonts w:ascii="Tahoma" w:hAnsi="Tahoma" w:cs="Tahoma" w:hint="cs"/>
          <w:rtl/>
        </w:rPr>
        <w:t xml:space="preserve"> </w:t>
      </w:r>
      <w:r w:rsidR="008A78C3" w:rsidRPr="008A78C3">
        <w:rPr>
          <w:rFonts w:ascii="Tahoma" w:hAnsi="Tahoma" w:cs="Tahoma" w:hint="cs"/>
          <w:rtl/>
        </w:rPr>
        <w:t>בעקבות ההתכתבות נקבע מפגש, אליו הגיע הנאשם מצויד בשני קונדומים. הנאשם נעצר במקום, והורשע בנ</w:t>
      </w:r>
      <w:r w:rsidR="008A78C3">
        <w:rPr>
          <w:rFonts w:ascii="Tahoma" w:hAnsi="Tahoma" w:cs="Tahoma" w:hint="cs"/>
          <w:rtl/>
        </w:rPr>
        <w:t>י</w:t>
      </w:r>
      <w:r w:rsidR="008A78C3" w:rsidRPr="008A78C3">
        <w:rPr>
          <w:rFonts w:ascii="Tahoma" w:hAnsi="Tahoma" w:cs="Tahoma" w:hint="cs"/>
          <w:rtl/>
        </w:rPr>
        <w:t>סיון לדין לקוחו של קטין.</w:t>
      </w:r>
    </w:p>
    <w:p w:rsidR="008A78C3" w:rsidRDefault="008A78C3" w:rsidP="0014451D">
      <w:pPr>
        <w:pStyle w:val="a9"/>
        <w:numPr>
          <w:ilvl w:val="0"/>
          <w:numId w:val="7"/>
        </w:numPr>
        <w:spacing w:after="120" w:line="360" w:lineRule="auto"/>
        <w:jc w:val="both"/>
        <w:rPr>
          <w:rFonts w:ascii="Tahoma" w:hAnsi="Tahoma" w:cs="Tahoma"/>
        </w:rPr>
      </w:pPr>
      <w:r w:rsidRPr="008A78C3">
        <w:rPr>
          <w:rFonts w:ascii="Tahoma" w:hAnsi="Tahoma" w:cs="Tahoma" w:hint="cs"/>
          <w:rtl/>
        </w:rPr>
        <w:t>בשבוע שעבר פורסמה כתבה ב</w:t>
      </w:r>
      <w:r w:rsidR="00696682">
        <w:rPr>
          <w:rFonts w:ascii="Tahoma" w:hAnsi="Tahoma" w:cs="Tahoma" w:hint="cs"/>
          <w:rtl/>
        </w:rPr>
        <w:t xml:space="preserve">- </w:t>
      </w:r>
      <w:r w:rsidRPr="008A78C3">
        <w:rPr>
          <w:rFonts w:ascii="Tahoma" w:hAnsi="Tahoma" w:cs="Tahoma"/>
        </w:rPr>
        <w:t>ynet</w:t>
      </w:r>
      <w:r w:rsidRPr="008A78C3">
        <w:rPr>
          <w:rFonts w:ascii="Tahoma" w:hAnsi="Tahoma" w:cs="Tahoma" w:hint="cs"/>
          <w:rtl/>
        </w:rPr>
        <w:t xml:space="preserve"> על הקלות בה נכנס כתב </w:t>
      </w:r>
      <w:r w:rsidR="0014451D">
        <w:rPr>
          <w:rFonts w:ascii="Tahoma" w:hAnsi="Tahoma" w:cs="Tahoma" w:hint="cs"/>
          <w:rtl/>
        </w:rPr>
        <w:t xml:space="preserve">עיתונות </w:t>
      </w:r>
      <w:r w:rsidRPr="008A78C3">
        <w:rPr>
          <w:rFonts w:ascii="Tahoma" w:hAnsi="Tahoma" w:cs="Tahoma" w:hint="cs"/>
          <w:rtl/>
        </w:rPr>
        <w:t xml:space="preserve">לפורומים הסגורים של צרכני זנות </w:t>
      </w:r>
      <w:r w:rsidR="0014451D">
        <w:rPr>
          <w:rFonts w:ascii="Tahoma" w:hAnsi="Tahoma" w:cs="Tahoma" w:hint="cs"/>
          <w:rtl/>
        </w:rPr>
        <w:t>מ</w:t>
      </w:r>
      <w:r w:rsidR="0014451D" w:rsidRPr="008A78C3">
        <w:rPr>
          <w:rFonts w:ascii="Tahoma" w:hAnsi="Tahoma" w:cs="Tahoma" w:hint="cs"/>
          <w:rtl/>
        </w:rPr>
        <w:t>קטינים</w:t>
      </w:r>
      <w:r w:rsidRPr="008A78C3">
        <w:rPr>
          <w:rFonts w:ascii="Tahoma" w:hAnsi="Tahoma" w:cs="Tahoma" w:hint="cs"/>
          <w:rtl/>
        </w:rPr>
        <w:t xml:space="preserve">. אם כתב בלא הכשרה עשה זאת בכזו קלות, </w:t>
      </w:r>
      <w:r w:rsidR="0014451D">
        <w:rPr>
          <w:rFonts w:ascii="Tahoma" w:hAnsi="Tahoma" w:cs="Tahoma" w:hint="cs"/>
          <w:rtl/>
        </w:rPr>
        <w:t xml:space="preserve">ודאי תוכל לעשות זאת גם </w:t>
      </w:r>
      <w:r w:rsidRPr="008A78C3">
        <w:rPr>
          <w:rFonts w:ascii="Tahoma" w:hAnsi="Tahoma" w:cs="Tahoma" w:hint="cs"/>
          <w:rtl/>
        </w:rPr>
        <w:t>משטרת ישראל</w:t>
      </w:r>
      <w:r w:rsidR="0014451D">
        <w:rPr>
          <w:rFonts w:ascii="Tahoma" w:hAnsi="Tahoma" w:cs="Tahoma" w:hint="cs"/>
          <w:rtl/>
        </w:rPr>
        <w:t xml:space="preserve"> בכלים שברשותה</w:t>
      </w:r>
      <w:r w:rsidRPr="008A78C3">
        <w:rPr>
          <w:rFonts w:ascii="Tahoma" w:hAnsi="Tahoma" w:cs="Tahoma" w:hint="cs"/>
          <w:rtl/>
        </w:rPr>
        <w:t xml:space="preserve">. </w:t>
      </w:r>
      <w:r w:rsidR="00696682">
        <w:rPr>
          <w:rFonts w:ascii="Tahoma" w:hAnsi="Tahoma" w:cs="Tahoma" w:hint="cs"/>
          <w:rtl/>
        </w:rPr>
        <w:t xml:space="preserve">מצ"ב </w:t>
      </w:r>
      <w:hyperlink r:id="rId8" w:history="1">
        <w:r w:rsidRPr="00696682">
          <w:rPr>
            <w:rStyle w:val="Hyperlink"/>
            <w:rFonts w:ascii="Tahoma" w:hAnsi="Tahoma" w:cs="Tahoma" w:hint="cs"/>
            <w:rtl/>
          </w:rPr>
          <w:t>קישור לכתבה</w:t>
        </w:r>
      </w:hyperlink>
      <w:r w:rsidRPr="008A78C3">
        <w:rPr>
          <w:rFonts w:ascii="Tahoma" w:hAnsi="Tahoma" w:cs="Tahoma" w:hint="cs"/>
          <w:rtl/>
        </w:rPr>
        <w:t>.</w:t>
      </w:r>
    </w:p>
    <w:p w:rsidR="00197CDE" w:rsidRPr="0014451D" w:rsidRDefault="00197CDE" w:rsidP="00197CDE">
      <w:pPr>
        <w:pStyle w:val="a9"/>
        <w:spacing w:after="120" w:line="360" w:lineRule="auto"/>
        <w:ind w:left="1440"/>
        <w:jc w:val="both"/>
        <w:rPr>
          <w:rFonts w:ascii="Tahoma" w:hAnsi="Tahoma" w:cs="Tahoma"/>
        </w:rPr>
      </w:pPr>
    </w:p>
    <w:p w:rsidR="00696682" w:rsidRPr="00BB7D0C" w:rsidRDefault="00696682" w:rsidP="00696682">
      <w:pPr>
        <w:pStyle w:val="a9"/>
        <w:numPr>
          <w:ilvl w:val="0"/>
          <w:numId w:val="1"/>
        </w:numPr>
        <w:spacing w:after="120" w:line="360" w:lineRule="auto"/>
        <w:jc w:val="both"/>
        <w:rPr>
          <w:rFonts w:ascii="Tahoma" w:hAnsi="Tahoma" w:cs="Tahoma"/>
          <w:b/>
          <w:bCs/>
        </w:rPr>
      </w:pPr>
      <w:r w:rsidRPr="00BB7D0C">
        <w:rPr>
          <w:rFonts w:ascii="Tahoma" w:hAnsi="Tahoma" w:cs="Tahoma" w:hint="cs"/>
          <w:b/>
          <w:bCs/>
          <w:rtl/>
        </w:rPr>
        <w:t>טענה כי יש קושי להוכיח כי הצרכנים ידעו כי מדובר בקטינות:</w:t>
      </w:r>
    </w:p>
    <w:p w:rsidR="00696682" w:rsidRPr="00BB7D0C" w:rsidRDefault="00696682" w:rsidP="00696682">
      <w:pPr>
        <w:pStyle w:val="a9"/>
        <w:spacing w:after="120" w:line="360" w:lineRule="auto"/>
        <w:jc w:val="both"/>
        <w:rPr>
          <w:rFonts w:ascii="Tahoma" w:hAnsi="Tahoma" w:cs="Tahoma"/>
          <w:rtl/>
        </w:rPr>
      </w:pPr>
      <w:r w:rsidRPr="00BB7D0C">
        <w:rPr>
          <w:rFonts w:ascii="Tahoma" w:hAnsi="Tahoma" w:cs="Tahoma" w:hint="cs"/>
          <w:rtl/>
        </w:rPr>
        <w:t>חוק העונשין קובע מפורשות:</w:t>
      </w:r>
    </w:p>
    <w:p w:rsidR="00696682" w:rsidRPr="00BB7D0C" w:rsidRDefault="00696682" w:rsidP="00197CDE">
      <w:pPr>
        <w:pStyle w:val="p00"/>
        <w:bidi/>
        <w:spacing w:before="72" w:beforeAutospacing="0" w:after="0" w:afterAutospacing="0"/>
        <w:ind w:left="1440" w:right="1134"/>
        <w:rPr>
          <w:color w:val="000000"/>
          <w:sz w:val="20"/>
          <w:szCs w:val="20"/>
        </w:rPr>
      </w:pPr>
      <w:r w:rsidRPr="00BB7D0C">
        <w:rPr>
          <w:rStyle w:val="default"/>
          <w:rFonts w:ascii="FrankRuehl" w:hAnsi="FrankRuehl" w:cs="FrankRuehl" w:hint="cs"/>
          <w:color w:val="000000"/>
          <w:sz w:val="26"/>
          <w:szCs w:val="26"/>
          <w:rtl/>
        </w:rPr>
        <w:t>"</w:t>
      </w:r>
      <w:r w:rsidRPr="00BB7D0C">
        <w:rPr>
          <w:rStyle w:val="big-number"/>
          <w:rFonts w:ascii="Time New Roman" w:hAnsi="Time New Roman"/>
          <w:b/>
          <w:bCs/>
          <w:color w:val="008000"/>
          <w:sz w:val="27"/>
          <w:szCs w:val="27"/>
          <w:rtl/>
        </w:rPr>
        <w:t>דין לקוחו של קטין (תיקון מס' 56)  תש"ס-2000 (תיקון מס' 127) תשע"ז-2016</w:t>
      </w:r>
    </w:p>
    <w:p w:rsidR="00696682" w:rsidRPr="00BB7D0C" w:rsidRDefault="00696682" w:rsidP="00197CDE">
      <w:pPr>
        <w:pStyle w:val="p00"/>
        <w:bidi/>
        <w:spacing w:before="72" w:beforeAutospacing="0" w:after="0" w:afterAutospacing="0"/>
        <w:ind w:left="1440" w:right="1134"/>
        <w:jc w:val="both"/>
        <w:rPr>
          <w:color w:val="000000"/>
          <w:sz w:val="20"/>
          <w:szCs w:val="20"/>
          <w:rtl/>
        </w:rPr>
      </w:pPr>
      <w:r w:rsidRPr="00BB7D0C">
        <w:rPr>
          <w:rStyle w:val="big-number"/>
          <w:rFonts w:ascii="Miriam" w:hAnsi="Miriam" w:cs="Miriam"/>
          <w:color w:val="000000"/>
          <w:sz w:val="32"/>
          <w:szCs w:val="32"/>
          <w:rtl/>
        </w:rPr>
        <w:t>203</w:t>
      </w:r>
      <w:r w:rsidRPr="00BB7D0C">
        <w:rPr>
          <w:rStyle w:val="default"/>
          <w:rFonts w:ascii="FrankRuehl" w:hAnsi="FrankRuehl" w:cs="FrankRuehl"/>
          <w:color w:val="000000"/>
          <w:sz w:val="26"/>
          <w:szCs w:val="26"/>
          <w:rtl/>
        </w:rPr>
        <w:t>ג. המקבל שירות של מעשה זנות של קטין, דינו – מאסר חמש שנים.</w:t>
      </w:r>
    </w:p>
    <w:p w:rsidR="00696682" w:rsidRPr="00BB7D0C" w:rsidRDefault="00696682" w:rsidP="00197CDE">
      <w:pPr>
        <w:pStyle w:val="p00"/>
        <w:bidi/>
        <w:spacing w:before="72" w:beforeAutospacing="0" w:after="0" w:afterAutospacing="0"/>
        <w:ind w:left="1440" w:right="1134"/>
        <w:rPr>
          <w:color w:val="000000"/>
          <w:sz w:val="20"/>
          <w:szCs w:val="20"/>
          <w:rtl/>
        </w:rPr>
      </w:pPr>
      <w:bookmarkStart w:id="1" w:name="Rov1097"/>
      <w:bookmarkStart w:id="2" w:name="Seif439"/>
      <w:bookmarkEnd w:id="1"/>
      <w:bookmarkEnd w:id="2"/>
      <w:r w:rsidRPr="00BB7D0C">
        <w:rPr>
          <w:rStyle w:val="big-number"/>
          <w:rFonts w:ascii="Time New Roman" w:hAnsi="Time New Roman"/>
          <w:b/>
          <w:bCs/>
          <w:color w:val="008000"/>
          <w:sz w:val="27"/>
          <w:szCs w:val="27"/>
          <w:rtl/>
        </w:rPr>
        <w:t>נטל ההוכחה (תיקון מס' 56)  תש"ס-2000</w:t>
      </w:r>
    </w:p>
    <w:p w:rsidR="00696682" w:rsidRPr="00BB7D0C" w:rsidRDefault="00696682" w:rsidP="00197CDE">
      <w:pPr>
        <w:pStyle w:val="p00"/>
        <w:bidi/>
        <w:spacing w:before="72" w:beforeAutospacing="0" w:after="0" w:afterAutospacing="0"/>
        <w:ind w:left="1440" w:right="1134"/>
        <w:jc w:val="both"/>
        <w:rPr>
          <w:color w:val="000000"/>
          <w:sz w:val="20"/>
          <w:szCs w:val="20"/>
          <w:rtl/>
        </w:rPr>
      </w:pPr>
      <w:r w:rsidRPr="00BB7D0C">
        <w:rPr>
          <w:rStyle w:val="big-number"/>
          <w:rFonts w:ascii="Miriam" w:hAnsi="Miriam" w:cs="Miriam"/>
          <w:color w:val="000000"/>
          <w:sz w:val="32"/>
          <w:szCs w:val="32"/>
          <w:rtl/>
        </w:rPr>
        <w:lastRenderedPageBreak/>
        <w:t>203</w:t>
      </w:r>
      <w:r w:rsidRPr="00BB7D0C">
        <w:rPr>
          <w:rStyle w:val="default"/>
          <w:rFonts w:ascii="FrankRuehl" w:hAnsi="FrankRuehl" w:cs="FrankRuehl"/>
          <w:color w:val="000000"/>
          <w:sz w:val="26"/>
          <w:szCs w:val="26"/>
          <w:rtl/>
        </w:rPr>
        <w:t xml:space="preserve">ד. הטוען שלא ידע את גילו של האדם שבו או שלגביו נעברה עבירה לפי סימן זה - </w:t>
      </w:r>
      <w:r w:rsidRPr="00BB7D0C">
        <w:rPr>
          <w:rStyle w:val="default"/>
          <w:rFonts w:ascii="FrankRuehl" w:hAnsi="FrankRuehl" w:cs="FrankRuehl"/>
          <w:b/>
          <w:bCs/>
          <w:color w:val="000000"/>
          <w:sz w:val="26"/>
          <w:szCs w:val="26"/>
          <w:u w:val="single"/>
          <w:rtl/>
        </w:rPr>
        <w:t>עליו הראיה</w:t>
      </w:r>
      <w:r w:rsidRPr="00BB7D0C">
        <w:rPr>
          <w:rStyle w:val="default"/>
          <w:rFonts w:ascii="FrankRuehl" w:hAnsi="FrankRuehl" w:cs="FrankRuehl"/>
          <w:color w:val="000000"/>
          <w:sz w:val="26"/>
          <w:szCs w:val="26"/>
          <w:rtl/>
        </w:rPr>
        <w:t>;</w:t>
      </w:r>
      <w:r w:rsidRPr="00BB7D0C">
        <w:rPr>
          <w:rStyle w:val="default"/>
          <w:rFonts w:ascii="FrankRuehl" w:hAnsi="FrankRuehl" w:cs="FrankRuehl" w:hint="cs"/>
          <w:color w:val="000000"/>
          <w:sz w:val="26"/>
          <w:szCs w:val="26"/>
          <w:rtl/>
        </w:rPr>
        <w:t>"</w:t>
      </w:r>
    </w:p>
    <w:p w:rsidR="00BB7D0C" w:rsidRDefault="00BB7D0C" w:rsidP="00AD1A24">
      <w:pPr>
        <w:pStyle w:val="a9"/>
        <w:spacing w:after="120" w:line="360" w:lineRule="auto"/>
        <w:jc w:val="both"/>
        <w:rPr>
          <w:rFonts w:ascii="Arial" w:hAnsi="Arial" w:cs="Arial"/>
          <w:color w:val="222222"/>
          <w:highlight w:val="yellow"/>
          <w:rtl/>
        </w:rPr>
      </w:pPr>
    </w:p>
    <w:p w:rsidR="00BB7D0C" w:rsidRPr="00BB7D0C" w:rsidRDefault="00BB7D0C" w:rsidP="00BB7D0C">
      <w:pPr>
        <w:pStyle w:val="a9"/>
        <w:spacing w:after="120" w:line="360" w:lineRule="auto"/>
        <w:jc w:val="both"/>
        <w:rPr>
          <w:rFonts w:ascii="Tahoma" w:hAnsi="Tahoma" w:cs="Tahoma"/>
          <w:rtl/>
        </w:rPr>
      </w:pPr>
      <w:r w:rsidRPr="00BB7D0C">
        <w:rPr>
          <w:rFonts w:ascii="Tahoma" w:hAnsi="Tahoma" w:cs="Tahoma"/>
          <w:rtl/>
        </w:rPr>
        <w:t>החזקה הקבועה בחוק נועדה להקל משמעותית על רשויות האכיפה ולהעניק להם כלי אפקטיבי להלחם בצריכת הזנ</w:t>
      </w:r>
      <w:r>
        <w:rPr>
          <w:rFonts w:ascii="Tahoma" w:hAnsi="Tahoma" w:cs="Tahoma" w:hint="cs"/>
          <w:rtl/>
        </w:rPr>
        <w:t>ו</w:t>
      </w:r>
      <w:r w:rsidRPr="00BB7D0C">
        <w:rPr>
          <w:rFonts w:ascii="Tahoma" w:hAnsi="Tahoma" w:cs="Tahoma"/>
          <w:rtl/>
        </w:rPr>
        <w:t>ת מקטינים. החוק קובע כי הצרכנים הם אלה שיידרשו להוכיח שלא ידעו את גיל הנער/ה ממנו/ה צרכו שירותי מין, ועל כן התביעה רק נדרשת להוכיח שהתקבל ה"שירות" או שהיה נסיון לקבלו.</w:t>
      </w:r>
    </w:p>
    <w:p w:rsidR="00DF3D6A" w:rsidRDefault="00BB7D0C" w:rsidP="00BB7D0C">
      <w:pPr>
        <w:pStyle w:val="a9"/>
        <w:spacing w:after="120" w:line="360" w:lineRule="auto"/>
        <w:jc w:val="both"/>
        <w:rPr>
          <w:rFonts w:ascii="Tahoma" w:hAnsi="Tahoma" w:cs="Tahoma"/>
          <w:rtl/>
        </w:rPr>
      </w:pPr>
      <w:r w:rsidRPr="00BB7D0C">
        <w:rPr>
          <w:rFonts w:ascii="Tahoma" w:hAnsi="Tahoma" w:cs="Tahoma"/>
          <w:rtl/>
        </w:rPr>
        <w:t xml:space="preserve">לכן, כאשר עולה חשד לצריכת זנות מקטינים, אין מקום </w:t>
      </w:r>
      <w:r w:rsidR="00DF3D6A">
        <w:rPr>
          <w:rFonts w:ascii="Tahoma" w:hAnsi="Tahoma" w:cs="Tahoma" w:hint="cs"/>
          <w:rtl/>
        </w:rPr>
        <w:t>ל</w:t>
      </w:r>
      <w:r w:rsidR="00DF3D6A" w:rsidRPr="00BB7D0C">
        <w:rPr>
          <w:rFonts w:ascii="Tahoma" w:hAnsi="Tahoma" w:cs="Tahoma"/>
          <w:rtl/>
        </w:rPr>
        <w:t>טענ</w:t>
      </w:r>
      <w:r w:rsidR="00DF3D6A">
        <w:rPr>
          <w:rFonts w:ascii="Tahoma" w:hAnsi="Tahoma" w:cs="Tahoma" w:hint="cs"/>
          <w:rtl/>
        </w:rPr>
        <w:t>ות</w:t>
      </w:r>
      <w:r w:rsidR="00DF3D6A" w:rsidRPr="00BB7D0C">
        <w:rPr>
          <w:rFonts w:ascii="Tahoma" w:hAnsi="Tahoma" w:cs="Tahoma"/>
          <w:rtl/>
        </w:rPr>
        <w:t xml:space="preserve"> </w:t>
      </w:r>
      <w:r w:rsidRPr="00BB7D0C">
        <w:rPr>
          <w:rFonts w:ascii="Tahoma" w:hAnsi="Tahoma" w:cs="Tahoma"/>
          <w:rtl/>
        </w:rPr>
        <w:t xml:space="preserve">בדבר קשיי הוכחה הנוגעים לגיל – </w:t>
      </w:r>
      <w:r w:rsidR="00DF3D6A">
        <w:rPr>
          <w:rFonts w:ascii="Tahoma" w:hAnsi="Tahoma" w:cs="Tahoma" w:hint="cs"/>
          <w:rtl/>
        </w:rPr>
        <w:t>ודאי לא</w:t>
      </w:r>
      <w:r w:rsidR="00DF3D6A" w:rsidRPr="00BB7D0C">
        <w:rPr>
          <w:rFonts w:ascii="Tahoma" w:hAnsi="Tahoma" w:cs="Tahoma"/>
          <w:rtl/>
        </w:rPr>
        <w:t xml:space="preserve"> </w:t>
      </w:r>
      <w:r w:rsidRPr="00BB7D0C">
        <w:rPr>
          <w:rFonts w:ascii="Tahoma" w:hAnsi="Tahoma" w:cs="Tahoma"/>
          <w:rtl/>
        </w:rPr>
        <w:t>בעת ההחלטה על פתיחה בחקירה.</w:t>
      </w:r>
    </w:p>
    <w:p w:rsidR="00197CDE" w:rsidRDefault="00197CDE" w:rsidP="00BB7D0C">
      <w:pPr>
        <w:pStyle w:val="a9"/>
        <w:spacing w:after="120" w:line="360" w:lineRule="auto"/>
        <w:jc w:val="both"/>
        <w:rPr>
          <w:rFonts w:ascii="Tahoma" w:hAnsi="Tahoma" w:cs="Tahoma"/>
          <w:rtl/>
        </w:rPr>
      </w:pPr>
    </w:p>
    <w:p w:rsidR="005323B9" w:rsidRDefault="005323B9" w:rsidP="00BB7D0C">
      <w:pPr>
        <w:pStyle w:val="a9"/>
        <w:spacing w:after="120" w:line="360" w:lineRule="auto"/>
        <w:jc w:val="both"/>
        <w:rPr>
          <w:rFonts w:ascii="Tahoma" w:hAnsi="Tahoma" w:cs="Tahoma"/>
          <w:b/>
          <w:bCs/>
          <w:rtl/>
        </w:rPr>
      </w:pPr>
      <w:r>
        <w:rPr>
          <w:rFonts w:ascii="Tahoma" w:hAnsi="Tahoma" w:cs="Tahoma" w:hint="cs"/>
          <w:b/>
          <w:bCs/>
          <w:rtl/>
        </w:rPr>
        <w:t xml:space="preserve">ויודגש, תופעת זנות הקטינים רחבה במיוחד, וזירות רבות בה מוכרות, החל מזירות רחוב </w:t>
      </w:r>
      <w:r w:rsidR="00AD1A24">
        <w:rPr>
          <w:rFonts w:ascii="Tahoma" w:hAnsi="Tahoma" w:cs="Tahoma" w:hint="cs"/>
          <w:b/>
          <w:bCs/>
          <w:rtl/>
        </w:rPr>
        <w:t xml:space="preserve">ידועות בהן ברור </w:t>
      </w:r>
      <w:r>
        <w:rPr>
          <w:rFonts w:ascii="Tahoma" w:hAnsi="Tahoma" w:cs="Tahoma" w:hint="cs"/>
          <w:b/>
          <w:bCs/>
          <w:rtl/>
        </w:rPr>
        <w:t xml:space="preserve">לכל </w:t>
      </w:r>
      <w:r>
        <w:rPr>
          <w:rFonts w:ascii="Tahoma" w:hAnsi="Tahoma" w:cs="Tahoma"/>
          <w:b/>
          <w:bCs/>
          <w:rtl/>
        </w:rPr>
        <w:t>–</w:t>
      </w:r>
      <w:r>
        <w:rPr>
          <w:rFonts w:ascii="Tahoma" w:hAnsi="Tahoma" w:cs="Tahoma" w:hint="cs"/>
          <w:b/>
          <w:bCs/>
          <w:rtl/>
        </w:rPr>
        <w:t xml:space="preserve"> לצרכן ולכל מי שעומד ומשקיף על הזירה </w:t>
      </w:r>
      <w:r w:rsidR="0014451D">
        <w:rPr>
          <w:rFonts w:ascii="Tahoma" w:hAnsi="Tahoma" w:cs="Tahoma" w:hint="cs"/>
          <w:b/>
          <w:bCs/>
          <w:rtl/>
        </w:rPr>
        <w:t xml:space="preserve">- </w:t>
      </w:r>
      <w:r>
        <w:rPr>
          <w:rFonts w:ascii="Tahoma" w:hAnsi="Tahoma" w:cs="Tahoma" w:hint="cs"/>
          <w:b/>
          <w:bCs/>
          <w:rtl/>
        </w:rPr>
        <w:t>כי הנמצאות בה הן קטינות</w:t>
      </w:r>
      <w:r w:rsidR="0014451D">
        <w:rPr>
          <w:rFonts w:ascii="Tahoma" w:hAnsi="Tahoma" w:cs="Tahoma" w:hint="cs"/>
          <w:b/>
          <w:bCs/>
          <w:rtl/>
        </w:rPr>
        <w:t>,</w:t>
      </w:r>
      <w:r>
        <w:rPr>
          <w:rFonts w:ascii="Tahoma" w:hAnsi="Tahoma" w:cs="Tahoma" w:hint="cs"/>
          <w:b/>
          <w:bCs/>
          <w:rtl/>
        </w:rPr>
        <w:t xml:space="preserve"> וכלה בממשקי אינטרנט יעודיים, אשר ברור שהיו מוכרים </w:t>
      </w:r>
      <w:r w:rsidR="00BB7D0C">
        <w:rPr>
          <w:rFonts w:ascii="Tahoma" w:hAnsi="Tahoma" w:cs="Tahoma" w:hint="cs"/>
          <w:b/>
          <w:bCs/>
          <w:rtl/>
        </w:rPr>
        <w:t xml:space="preserve">לרשויות האכיפה </w:t>
      </w:r>
      <w:r>
        <w:rPr>
          <w:rFonts w:ascii="Tahoma" w:hAnsi="Tahoma" w:cs="Tahoma" w:hint="cs"/>
          <w:b/>
          <w:bCs/>
          <w:rtl/>
        </w:rPr>
        <w:t xml:space="preserve">עוד </w:t>
      </w:r>
      <w:r w:rsidR="00BB7D0C">
        <w:rPr>
          <w:rFonts w:ascii="Tahoma" w:hAnsi="Tahoma" w:cs="Tahoma" w:hint="cs"/>
          <w:b/>
          <w:bCs/>
          <w:rtl/>
        </w:rPr>
        <w:t>ב</w:t>
      </w:r>
      <w:r>
        <w:rPr>
          <w:rFonts w:ascii="Tahoma" w:hAnsi="Tahoma" w:cs="Tahoma" w:hint="cs"/>
          <w:b/>
          <w:bCs/>
          <w:rtl/>
        </w:rPr>
        <w:t>טרם החשיפה ב</w:t>
      </w:r>
      <w:r>
        <w:rPr>
          <w:rFonts w:ascii="Tahoma" w:hAnsi="Tahoma" w:cs="Tahoma"/>
          <w:b/>
          <w:bCs/>
        </w:rPr>
        <w:t>ynet</w:t>
      </w:r>
      <w:r>
        <w:rPr>
          <w:rFonts w:ascii="Tahoma" w:hAnsi="Tahoma" w:cs="Tahoma" w:hint="cs"/>
          <w:b/>
          <w:bCs/>
          <w:rtl/>
        </w:rPr>
        <w:t>.</w:t>
      </w:r>
    </w:p>
    <w:p w:rsidR="005323B9" w:rsidRDefault="005323B9" w:rsidP="005323B9">
      <w:pPr>
        <w:pStyle w:val="a9"/>
        <w:spacing w:after="120" w:line="360" w:lineRule="auto"/>
        <w:jc w:val="both"/>
        <w:rPr>
          <w:rFonts w:ascii="Tahoma" w:hAnsi="Tahoma" w:cs="Tahoma"/>
          <w:b/>
          <w:bCs/>
          <w:rtl/>
        </w:rPr>
      </w:pPr>
    </w:p>
    <w:p w:rsidR="00197CDE" w:rsidRPr="00934C34" w:rsidRDefault="00934C34" w:rsidP="00934C34">
      <w:pPr>
        <w:spacing w:after="120" w:line="360" w:lineRule="auto"/>
        <w:jc w:val="both"/>
        <w:rPr>
          <w:rFonts w:ascii="Tahoma" w:hAnsi="Tahoma" w:cs="Tahoma"/>
          <w:rtl/>
        </w:rPr>
      </w:pPr>
      <w:r>
        <w:rPr>
          <w:rFonts w:ascii="Tahoma" w:hAnsi="Tahoma" w:cs="Tahoma" w:hint="cs"/>
          <w:b/>
          <w:bCs/>
          <w:u w:val="single"/>
          <w:rtl/>
        </w:rPr>
        <w:t>סוגיית ה</w:t>
      </w:r>
      <w:r w:rsidRPr="00934C34">
        <w:rPr>
          <w:rFonts w:ascii="Tahoma" w:hAnsi="Tahoma" w:cs="Tahoma" w:hint="cs"/>
          <w:b/>
          <w:bCs/>
          <w:u w:val="single"/>
          <w:rtl/>
        </w:rPr>
        <w:t xml:space="preserve">חינוך </w:t>
      </w:r>
      <w:r>
        <w:rPr>
          <w:rFonts w:ascii="Tahoma" w:hAnsi="Tahoma" w:cs="Tahoma" w:hint="cs"/>
          <w:b/>
          <w:bCs/>
          <w:u w:val="single"/>
          <w:rtl/>
        </w:rPr>
        <w:t>:</w:t>
      </w:r>
      <w:r w:rsidRPr="00934C34">
        <w:rPr>
          <w:rFonts w:ascii="Tahoma" w:hAnsi="Tahoma" w:cs="Tahoma" w:hint="cs"/>
          <w:rtl/>
        </w:rPr>
        <w:t xml:space="preserve"> </w:t>
      </w:r>
    </w:p>
    <w:p w:rsidR="00934C34" w:rsidRPr="00934C34" w:rsidRDefault="00934C34" w:rsidP="00934C34">
      <w:pPr>
        <w:pStyle w:val="a9"/>
        <w:spacing w:after="120" w:line="360" w:lineRule="auto"/>
        <w:jc w:val="both"/>
        <w:rPr>
          <w:rFonts w:ascii="Tahoma" w:hAnsi="Tahoma" w:cs="Tahoma"/>
        </w:rPr>
      </w:pPr>
      <w:r w:rsidRPr="00934C34">
        <w:rPr>
          <w:rFonts w:ascii="Tahoma" w:hAnsi="Tahoma" w:cs="Tahoma" w:hint="cs"/>
          <w:rtl/>
        </w:rPr>
        <w:t xml:space="preserve"> הבשילה השעה לנקיטת עמדה ברורה ביחס לחינוך לנוער בנושא זנות ולסיום ההתחמקות מהטיפול בו. כיום הארגונים המציעים הסברה בנושא גם מממנים את הפעילות באופן עצמאי וגם נתקלים בדלת סגורה מצד המשרד להכנסת התכנים למערכת החינוך באופן מוסדר. מתן מענים רווחתיים למניעת כניסת צעירות וצעירים למעגל הזנות וכן מענים לאלו שכבר נכנסו.</w:t>
      </w:r>
    </w:p>
    <w:p w:rsidR="00934C34" w:rsidRPr="00934C34" w:rsidRDefault="00934C34" w:rsidP="00197CDE">
      <w:pPr>
        <w:pStyle w:val="a9"/>
        <w:spacing w:after="120" w:line="360" w:lineRule="auto"/>
        <w:jc w:val="both"/>
        <w:rPr>
          <w:rFonts w:ascii="Tahoma" w:hAnsi="Tahoma" w:cs="Tahoma"/>
          <w:rtl/>
        </w:rPr>
      </w:pPr>
    </w:p>
    <w:sectPr w:rsidR="00934C34" w:rsidRPr="00934C34" w:rsidSect="007B5FA4">
      <w:headerReference w:type="default" r:id="rId9"/>
      <w:pgSz w:w="11906" w:h="16838"/>
      <w:pgMar w:top="1521" w:right="720" w:bottom="284" w:left="720" w:header="1247"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C6EC5" w:rsidRDefault="007C6EC5" w:rsidP="00BF41D2">
      <w:pPr>
        <w:spacing w:after="0" w:line="240" w:lineRule="auto"/>
      </w:pPr>
      <w:r>
        <w:separator/>
      </w:r>
    </w:p>
  </w:endnote>
  <w:endnote w:type="continuationSeparator" w:id="0">
    <w:p w:rsidR="007C6EC5" w:rsidRDefault="007C6EC5" w:rsidP="00BF41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FrankRuehl">
    <w:panose1 w:val="020E0503060101010101"/>
    <w:charset w:val="00"/>
    <w:family w:val="swiss"/>
    <w:pitch w:val="variable"/>
    <w:sig w:usb0="00000803" w:usb1="00000000" w:usb2="00000000" w:usb3="00000000" w:csb0="00000021" w:csb1="00000000"/>
  </w:font>
  <w:font w:name="Time New Roman">
    <w:panose1 w:val="00000000000000000000"/>
    <w:charset w:val="00"/>
    <w:family w:val="roman"/>
    <w:notTrueType/>
    <w:pitch w:val="default"/>
  </w:font>
  <w:font w:name="Miriam">
    <w:panose1 w:val="020B0502050101010101"/>
    <w:charset w:val="00"/>
    <w:family w:val="swiss"/>
    <w:pitch w:val="variable"/>
    <w:sig w:usb0="00000803" w:usb1="00000000" w:usb2="00000000" w:usb3="00000000" w:csb0="0000002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C6EC5" w:rsidRDefault="007C6EC5" w:rsidP="00BF41D2">
      <w:pPr>
        <w:spacing w:after="0" w:line="240" w:lineRule="auto"/>
      </w:pPr>
      <w:r>
        <w:separator/>
      </w:r>
    </w:p>
  </w:footnote>
  <w:footnote w:type="continuationSeparator" w:id="0">
    <w:p w:rsidR="007C6EC5" w:rsidRDefault="007C6EC5" w:rsidP="00BF41D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97CDE" w:rsidRDefault="00197CDE" w:rsidP="000D176B">
    <w:pPr>
      <w:pStyle w:val="a3"/>
      <w:jc w:val="center"/>
    </w:pPr>
    <w:r>
      <w:rPr>
        <w:rFonts w:hint="cs"/>
        <w:noProof/>
      </w:rPr>
      <w:drawing>
        <wp:anchor distT="0" distB="0" distL="114300" distR="114300" simplePos="0" relativeHeight="251661312" behindDoc="0" locked="0" layoutInCell="1" allowOverlap="1">
          <wp:simplePos x="0" y="0"/>
          <wp:positionH relativeFrom="column">
            <wp:posOffset>2217420</wp:posOffset>
          </wp:positionH>
          <wp:positionV relativeFrom="paragraph">
            <wp:posOffset>-641350</wp:posOffset>
          </wp:positionV>
          <wp:extent cx="2209800" cy="807085"/>
          <wp:effectExtent l="0" t="0" r="0" b="0"/>
          <wp:wrapTopAndBottom/>
          <wp:docPr id="1" name="Picture 1" descr="לוגו הקואליציה ללא שמות הארגונים"/>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לוגו הקואליציה ללא שמות הארגונים"/>
                  <pic:cNvPicPr>
                    <a:picLocks noChangeAspect="1" noChangeArrowheads="1"/>
                  </pic:cNvPicPr>
                </pic:nvPicPr>
                <pic:blipFill>
                  <a:blip r:embed="rId1"/>
                  <a:srcRect/>
                  <a:stretch>
                    <a:fillRect/>
                  </a:stretch>
                </pic:blipFill>
                <pic:spPr bwMode="auto">
                  <a:xfrm>
                    <a:off x="0" y="0"/>
                    <a:ext cx="2209800" cy="807085"/>
                  </a:xfrm>
                  <a:prstGeom prst="rect">
                    <a:avLst/>
                  </a:prstGeom>
                  <a:noFill/>
                  <a:ln w="9525">
                    <a:noFill/>
                    <a:miter lim="800000"/>
                    <a:headEnd/>
                    <a:tailEnd/>
                  </a:ln>
                </pic:spPr>
              </pic:pic>
            </a:graphicData>
          </a:graphic>
        </wp:anchor>
      </w:drawing>
    </w:r>
  </w:p>
  <w:p w:rsidR="00BF41D2" w:rsidRDefault="00BF41D2" w:rsidP="000D176B">
    <w:pPr>
      <w:pStyle w:val="a3"/>
      <w:jc w:val="center"/>
      <w:rPr>
        <w:rt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84755F"/>
    <w:multiLevelType w:val="hybridMultilevel"/>
    <w:tmpl w:val="645E01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1AE3800"/>
    <w:multiLevelType w:val="hybridMultilevel"/>
    <w:tmpl w:val="2F32DA4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32801829"/>
    <w:multiLevelType w:val="hybridMultilevel"/>
    <w:tmpl w:val="C5608CD8"/>
    <w:lvl w:ilvl="0" w:tplc="02DCED3C">
      <w:numFmt w:val="bullet"/>
      <w:lvlText w:val=""/>
      <w:lvlJc w:val="left"/>
      <w:pPr>
        <w:ind w:left="720" w:hanging="360"/>
      </w:pPr>
      <w:rPr>
        <w:rFonts w:ascii="Symbol" w:eastAsiaTheme="minorHAnsi" w:hAnsi="Symbol"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9A91561"/>
    <w:multiLevelType w:val="hybridMultilevel"/>
    <w:tmpl w:val="3984D0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D110476"/>
    <w:multiLevelType w:val="hybridMultilevel"/>
    <w:tmpl w:val="27CE566E"/>
    <w:lvl w:ilvl="0" w:tplc="E31653C6">
      <w:numFmt w:val="bullet"/>
      <w:lvlText w:val=""/>
      <w:lvlJc w:val="left"/>
      <w:pPr>
        <w:ind w:left="720" w:hanging="360"/>
      </w:pPr>
      <w:rPr>
        <w:rFonts w:ascii="Symbol" w:eastAsiaTheme="minorHAnsi" w:hAnsi="Symbol" w:cs="Tahoma"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FB37C3F"/>
    <w:multiLevelType w:val="hybridMultilevel"/>
    <w:tmpl w:val="AA32BF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3B65A6E"/>
    <w:multiLevelType w:val="hybridMultilevel"/>
    <w:tmpl w:val="7A4E99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4"/>
  </w:num>
  <w:num w:numId="3">
    <w:abstractNumId w:val="6"/>
  </w:num>
  <w:num w:numId="4">
    <w:abstractNumId w:val="3"/>
  </w:num>
  <w:num w:numId="5">
    <w:abstractNumId w:val="0"/>
  </w:num>
  <w:num w:numId="6">
    <w:abstractNumId w:val="5"/>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BC2EE0"/>
    <w:rsid w:val="00004565"/>
    <w:rsid w:val="0002298B"/>
    <w:rsid w:val="00027C44"/>
    <w:rsid w:val="00036B86"/>
    <w:rsid w:val="00061368"/>
    <w:rsid w:val="000730CC"/>
    <w:rsid w:val="00082404"/>
    <w:rsid w:val="000D176B"/>
    <w:rsid w:val="0014451D"/>
    <w:rsid w:val="00160D72"/>
    <w:rsid w:val="00197CDE"/>
    <w:rsid w:val="002376DB"/>
    <w:rsid w:val="00300BA6"/>
    <w:rsid w:val="00326431"/>
    <w:rsid w:val="00400235"/>
    <w:rsid w:val="00462A40"/>
    <w:rsid w:val="004F359B"/>
    <w:rsid w:val="005323B9"/>
    <w:rsid w:val="005E007C"/>
    <w:rsid w:val="005F1F19"/>
    <w:rsid w:val="006070A9"/>
    <w:rsid w:val="00621D6A"/>
    <w:rsid w:val="00652ECE"/>
    <w:rsid w:val="00696682"/>
    <w:rsid w:val="00701080"/>
    <w:rsid w:val="00734A89"/>
    <w:rsid w:val="007369EC"/>
    <w:rsid w:val="00760CD4"/>
    <w:rsid w:val="007B5FA4"/>
    <w:rsid w:val="007C6EC5"/>
    <w:rsid w:val="0083663F"/>
    <w:rsid w:val="008514F6"/>
    <w:rsid w:val="008A78C3"/>
    <w:rsid w:val="00934C34"/>
    <w:rsid w:val="00944214"/>
    <w:rsid w:val="00990D64"/>
    <w:rsid w:val="009C4EA4"/>
    <w:rsid w:val="009C5910"/>
    <w:rsid w:val="009C63F0"/>
    <w:rsid w:val="00A334DE"/>
    <w:rsid w:val="00A71875"/>
    <w:rsid w:val="00AA4011"/>
    <w:rsid w:val="00AD1A24"/>
    <w:rsid w:val="00AF66AD"/>
    <w:rsid w:val="00B26E20"/>
    <w:rsid w:val="00B55979"/>
    <w:rsid w:val="00B95175"/>
    <w:rsid w:val="00BB5396"/>
    <w:rsid w:val="00BB7D0C"/>
    <w:rsid w:val="00BC2EE0"/>
    <w:rsid w:val="00BE29C0"/>
    <w:rsid w:val="00BF41D2"/>
    <w:rsid w:val="00C307B1"/>
    <w:rsid w:val="00CF3A2F"/>
    <w:rsid w:val="00D15717"/>
    <w:rsid w:val="00D242A2"/>
    <w:rsid w:val="00D44E54"/>
    <w:rsid w:val="00D961E2"/>
    <w:rsid w:val="00DC5149"/>
    <w:rsid w:val="00DD1FFB"/>
    <w:rsid w:val="00DF3D6A"/>
    <w:rsid w:val="00E533FA"/>
    <w:rsid w:val="00E57127"/>
    <w:rsid w:val="00E65D31"/>
    <w:rsid w:val="00E77929"/>
    <w:rsid w:val="00E92678"/>
    <w:rsid w:val="00EB7B67"/>
    <w:rsid w:val="00F6127C"/>
    <w:rsid w:val="00F96F82"/>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BEC5E57"/>
  <w15:docId w15:val="{EA5750D8-3CC3-4CBE-A11F-EDB2DB912F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400235"/>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F41D2"/>
    <w:pPr>
      <w:tabs>
        <w:tab w:val="center" w:pos="4153"/>
        <w:tab w:val="right" w:pos="8306"/>
      </w:tabs>
      <w:spacing w:after="0" w:line="240" w:lineRule="auto"/>
    </w:pPr>
  </w:style>
  <w:style w:type="character" w:customStyle="1" w:styleId="a4">
    <w:name w:val="כותרת עליונה תו"/>
    <w:basedOn w:val="a0"/>
    <w:link w:val="a3"/>
    <w:uiPriority w:val="99"/>
    <w:rsid w:val="00BF41D2"/>
  </w:style>
  <w:style w:type="paragraph" w:styleId="a5">
    <w:name w:val="footer"/>
    <w:basedOn w:val="a"/>
    <w:link w:val="a6"/>
    <w:uiPriority w:val="99"/>
    <w:unhideWhenUsed/>
    <w:rsid w:val="00BF41D2"/>
    <w:pPr>
      <w:tabs>
        <w:tab w:val="center" w:pos="4153"/>
        <w:tab w:val="right" w:pos="8306"/>
      </w:tabs>
      <w:spacing w:after="0" w:line="240" w:lineRule="auto"/>
    </w:pPr>
  </w:style>
  <w:style w:type="character" w:customStyle="1" w:styleId="a6">
    <w:name w:val="כותרת תחתונה תו"/>
    <w:basedOn w:val="a0"/>
    <w:link w:val="a5"/>
    <w:uiPriority w:val="99"/>
    <w:rsid w:val="00BF41D2"/>
  </w:style>
  <w:style w:type="character" w:styleId="Hyperlink">
    <w:name w:val="Hyperlink"/>
    <w:basedOn w:val="a0"/>
    <w:uiPriority w:val="99"/>
    <w:unhideWhenUsed/>
    <w:rsid w:val="00D242A2"/>
    <w:rPr>
      <w:color w:val="0563C1" w:themeColor="hyperlink"/>
      <w:u w:val="single"/>
    </w:rPr>
  </w:style>
  <w:style w:type="paragraph" w:styleId="a7">
    <w:name w:val="Balloon Text"/>
    <w:basedOn w:val="a"/>
    <w:link w:val="a8"/>
    <w:uiPriority w:val="99"/>
    <w:semiHidden/>
    <w:unhideWhenUsed/>
    <w:rsid w:val="000D176B"/>
    <w:pPr>
      <w:spacing w:after="0" w:line="240" w:lineRule="auto"/>
    </w:pPr>
    <w:rPr>
      <w:rFonts w:ascii="Tahoma" w:hAnsi="Tahoma" w:cs="Tahoma"/>
      <w:sz w:val="16"/>
      <w:szCs w:val="16"/>
    </w:rPr>
  </w:style>
  <w:style w:type="character" w:customStyle="1" w:styleId="a8">
    <w:name w:val="טקסט בלונים תו"/>
    <w:basedOn w:val="a0"/>
    <w:link w:val="a7"/>
    <w:uiPriority w:val="99"/>
    <w:semiHidden/>
    <w:rsid w:val="000D176B"/>
    <w:rPr>
      <w:rFonts w:ascii="Tahoma" w:hAnsi="Tahoma" w:cs="Tahoma"/>
      <w:sz w:val="16"/>
      <w:szCs w:val="16"/>
    </w:rPr>
  </w:style>
  <w:style w:type="paragraph" w:styleId="a9">
    <w:name w:val="List Paragraph"/>
    <w:basedOn w:val="a"/>
    <w:uiPriority w:val="34"/>
    <w:qFormat/>
    <w:rsid w:val="00082404"/>
    <w:pPr>
      <w:ind w:left="720"/>
      <w:contextualSpacing/>
    </w:pPr>
  </w:style>
  <w:style w:type="character" w:styleId="FollowedHyperlink">
    <w:name w:val="FollowedHyperlink"/>
    <w:basedOn w:val="a0"/>
    <w:uiPriority w:val="99"/>
    <w:semiHidden/>
    <w:unhideWhenUsed/>
    <w:rsid w:val="00944214"/>
    <w:rPr>
      <w:color w:val="954F72" w:themeColor="followedHyperlink"/>
      <w:u w:val="single"/>
    </w:rPr>
  </w:style>
  <w:style w:type="character" w:customStyle="1" w:styleId="apple-converted-space">
    <w:name w:val="apple-converted-space"/>
    <w:basedOn w:val="a0"/>
    <w:rsid w:val="009C5910"/>
  </w:style>
  <w:style w:type="table" w:styleId="aa">
    <w:name w:val="Table Grid"/>
    <w:basedOn w:val="a1"/>
    <w:uiPriority w:val="39"/>
    <w:rsid w:val="009C59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
    <w:name w:val="אזכור לא מזוהה1"/>
    <w:basedOn w:val="a0"/>
    <w:uiPriority w:val="99"/>
    <w:semiHidden/>
    <w:unhideWhenUsed/>
    <w:rsid w:val="00696682"/>
    <w:rPr>
      <w:color w:val="808080"/>
      <w:shd w:val="clear" w:color="auto" w:fill="E6E6E6"/>
    </w:rPr>
  </w:style>
  <w:style w:type="paragraph" w:customStyle="1" w:styleId="p00">
    <w:name w:val="p00"/>
    <w:basedOn w:val="a"/>
    <w:rsid w:val="00696682"/>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ig-number">
    <w:name w:val="big-number"/>
    <w:basedOn w:val="a0"/>
    <w:rsid w:val="00696682"/>
  </w:style>
  <w:style w:type="character" w:customStyle="1" w:styleId="default">
    <w:name w:val="default"/>
    <w:basedOn w:val="a0"/>
    <w:rsid w:val="006966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87768256">
      <w:bodyDiv w:val="1"/>
      <w:marLeft w:val="0"/>
      <w:marRight w:val="0"/>
      <w:marTop w:val="0"/>
      <w:marBottom w:val="0"/>
      <w:divBdr>
        <w:top w:val="none" w:sz="0" w:space="0" w:color="auto"/>
        <w:left w:val="none" w:sz="0" w:space="0" w:color="auto"/>
        <w:bottom w:val="none" w:sz="0" w:space="0" w:color="auto"/>
        <w:right w:val="none" w:sz="0" w:space="0" w:color="auto"/>
      </w:divBdr>
    </w:div>
    <w:div w:id="1131291037">
      <w:bodyDiv w:val="1"/>
      <w:marLeft w:val="0"/>
      <w:marRight w:val="0"/>
      <w:marTop w:val="0"/>
      <w:marBottom w:val="0"/>
      <w:divBdr>
        <w:top w:val="none" w:sz="0" w:space="0" w:color="auto"/>
        <w:left w:val="none" w:sz="0" w:space="0" w:color="auto"/>
        <w:bottom w:val="none" w:sz="0" w:space="0" w:color="auto"/>
        <w:right w:val="none" w:sz="0" w:space="0" w:color="auto"/>
      </w:divBdr>
      <w:divsChild>
        <w:div w:id="563876838">
          <w:marLeft w:val="0"/>
          <w:marRight w:val="0"/>
          <w:marTop w:val="0"/>
          <w:marBottom w:val="0"/>
          <w:divBdr>
            <w:top w:val="none" w:sz="0" w:space="0" w:color="auto"/>
            <w:left w:val="none" w:sz="0" w:space="0" w:color="auto"/>
            <w:bottom w:val="none" w:sz="0" w:space="0" w:color="auto"/>
            <w:right w:val="none" w:sz="0" w:space="0" w:color="auto"/>
          </w:divBdr>
        </w:div>
        <w:div w:id="166732297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net.co.il/articles/0,7340,L-5038827,00.html" TargetMode="Externa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hyperlink" Target="https://www.nevo.co.il/psika_html/shalom/SH-15-03-62485-117.htm" TargetMode="Externa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CF9009C-18FC-45C1-9755-4D7A8B7B5E00}"/>
</file>

<file path=customXml/itemProps2.xml><?xml version="1.0" encoding="utf-8"?>
<ds:datastoreItem xmlns:ds="http://schemas.openxmlformats.org/officeDocument/2006/customXml" ds:itemID="{DF37170D-C333-4B6F-BFAF-4129C6CA15D3}"/>
</file>

<file path=customXml/itemProps3.xml><?xml version="1.0" encoding="utf-8"?>
<ds:datastoreItem xmlns:ds="http://schemas.openxmlformats.org/officeDocument/2006/customXml" ds:itemID="{1FBD6B10-D8B6-4010-B344-7F124B32C7D0}"/>
</file>

<file path=docProps/app.xml><?xml version="1.0" encoding="utf-8"?>
<Properties xmlns="http://schemas.openxmlformats.org/officeDocument/2006/extended-properties" xmlns:vt="http://schemas.openxmlformats.org/officeDocument/2006/docPropsVTypes">
  <Template>Normal</Template>
  <TotalTime>212</TotalTime>
  <Pages>2</Pages>
  <Words>542</Words>
  <Characters>2713</Characters>
  <Application>Microsoft Office Word</Application>
  <DocSecurity>0</DocSecurity>
  <Lines>22</Lines>
  <Paragraphs>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degreerec</dc:creator>
  <cp:lastModifiedBy>אייל מנחם בן סעדון</cp:lastModifiedBy>
  <cp:revision>7</cp:revision>
  <cp:lastPrinted>2016-01-19T10:22:00Z</cp:lastPrinted>
  <dcterms:created xsi:type="dcterms:W3CDTF">2017-11-09T02:53:00Z</dcterms:created>
  <dcterms:modified xsi:type="dcterms:W3CDTF">2017-11-09T15:40:00Z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2022232</vt:r8>
  </property>
</Properties>
</file>