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0BCF" w:rsidRPr="00D26793" w:rsidRDefault="006769AC" w:rsidP="006769AC">
      <w:pPr>
        <w:spacing w:after="0" w:line="240" w:lineRule="auto"/>
        <w:jc w:val="right"/>
        <w:rPr>
          <w:rFonts w:cs="David"/>
          <w:rtl/>
        </w:rPr>
      </w:pPr>
      <w:bookmarkStart w:id="0" w:name="_GoBack"/>
      <w:bookmarkEnd w:id="0"/>
      <w:r>
        <w:rPr>
          <w:rFonts w:cs="David" w:hint="cs"/>
          <w:rtl/>
        </w:rPr>
        <w:t xml:space="preserve">כ"ד בחשוון </w:t>
      </w:r>
      <w:r w:rsidR="00E70BCF" w:rsidRPr="00D26793">
        <w:rPr>
          <w:rFonts w:cs="David" w:hint="cs"/>
          <w:rtl/>
        </w:rPr>
        <w:t>התשע"</w:t>
      </w:r>
      <w:r>
        <w:rPr>
          <w:rFonts w:cs="David" w:hint="cs"/>
          <w:rtl/>
        </w:rPr>
        <w:t>ח</w:t>
      </w:r>
    </w:p>
    <w:p w:rsidR="00E70BCF" w:rsidRPr="00D26793" w:rsidRDefault="006769AC" w:rsidP="006769AC">
      <w:pPr>
        <w:spacing w:after="0" w:line="240" w:lineRule="auto"/>
        <w:jc w:val="right"/>
        <w:rPr>
          <w:rFonts w:cs="David"/>
          <w:rtl/>
        </w:rPr>
      </w:pPr>
      <w:r>
        <w:rPr>
          <w:rFonts w:cs="David" w:hint="cs"/>
          <w:rtl/>
        </w:rPr>
        <w:t xml:space="preserve">13 בנובמבר </w:t>
      </w:r>
      <w:r w:rsidR="00E70BCF" w:rsidRPr="00D26793">
        <w:rPr>
          <w:rFonts w:cs="David" w:hint="cs"/>
          <w:rtl/>
        </w:rPr>
        <w:t>2017</w:t>
      </w:r>
    </w:p>
    <w:p w:rsidR="00E70BCF" w:rsidRPr="00D26793" w:rsidRDefault="00E70BCF" w:rsidP="00E70BCF">
      <w:pPr>
        <w:spacing w:after="0" w:line="240" w:lineRule="auto"/>
        <w:jc w:val="both"/>
        <w:rPr>
          <w:rFonts w:cs="David"/>
          <w:sz w:val="24"/>
          <w:szCs w:val="24"/>
          <w:rtl/>
        </w:rPr>
      </w:pPr>
      <w:r w:rsidRPr="00D26793">
        <w:rPr>
          <w:rFonts w:cs="David" w:hint="cs"/>
          <w:sz w:val="24"/>
          <w:szCs w:val="24"/>
          <w:rtl/>
        </w:rPr>
        <w:t xml:space="preserve">לכבוד: ועדת החוקה, חוק ומשפט </w:t>
      </w:r>
    </w:p>
    <w:p w:rsidR="00E70BCF" w:rsidRPr="006C6A4C" w:rsidRDefault="00E70BCF" w:rsidP="00E70BCF">
      <w:pPr>
        <w:spacing w:after="0" w:line="240" w:lineRule="auto"/>
        <w:jc w:val="both"/>
        <w:rPr>
          <w:rFonts w:cs="David"/>
          <w:sz w:val="24"/>
          <w:szCs w:val="24"/>
          <w:rtl/>
        </w:rPr>
      </w:pPr>
      <w:r w:rsidRPr="00D26793">
        <w:rPr>
          <w:rFonts w:cs="David" w:hint="cs"/>
          <w:sz w:val="24"/>
          <w:szCs w:val="24"/>
          <w:rtl/>
        </w:rPr>
        <w:t>מאת: הייעוץ המשפטי לוועדה</w:t>
      </w:r>
      <w:r w:rsidRPr="006C6A4C">
        <w:rPr>
          <w:rFonts w:cs="David" w:hint="cs"/>
          <w:sz w:val="24"/>
          <w:szCs w:val="24"/>
          <w:rtl/>
        </w:rPr>
        <w:t xml:space="preserve"> </w:t>
      </w:r>
    </w:p>
    <w:p w:rsidR="005123C6" w:rsidRPr="006C6A4C" w:rsidRDefault="005123C6" w:rsidP="00E70BCF">
      <w:pPr>
        <w:spacing w:after="0" w:line="240" w:lineRule="auto"/>
        <w:jc w:val="both"/>
        <w:rPr>
          <w:rFonts w:cs="David"/>
          <w:sz w:val="24"/>
          <w:szCs w:val="24"/>
          <w:rtl/>
        </w:rPr>
      </w:pPr>
    </w:p>
    <w:p w:rsidR="00E70BCF" w:rsidRPr="006C6A4C" w:rsidRDefault="00E70BCF" w:rsidP="00E70BCF">
      <w:pPr>
        <w:spacing w:after="0" w:line="240" w:lineRule="auto"/>
        <w:jc w:val="both"/>
        <w:rPr>
          <w:rFonts w:cs="David"/>
          <w:sz w:val="24"/>
          <w:szCs w:val="24"/>
          <w:rtl/>
        </w:rPr>
      </w:pPr>
    </w:p>
    <w:p w:rsidR="00E70BCF" w:rsidRPr="00FD3C05" w:rsidRDefault="00E70BCF" w:rsidP="00AC41B1">
      <w:pPr>
        <w:spacing w:after="240"/>
        <w:jc w:val="center"/>
        <w:rPr>
          <w:rFonts w:cs="David"/>
          <w:b/>
          <w:bCs/>
          <w:sz w:val="32"/>
          <w:szCs w:val="32"/>
          <w:u w:val="single"/>
          <w:rtl/>
        </w:rPr>
      </w:pPr>
      <w:r w:rsidRPr="00FD3C05">
        <w:rPr>
          <w:rFonts w:cs="David" w:hint="cs"/>
          <w:b/>
          <w:bCs/>
          <w:sz w:val="32"/>
          <w:szCs w:val="32"/>
          <w:u w:val="single"/>
          <w:rtl/>
        </w:rPr>
        <w:t>הצעת חוק שיפוט בתי דין דתיים (בוררות), התשע"ה-2015 (פ/1370/20)</w:t>
      </w:r>
    </w:p>
    <w:p w:rsidR="00CC09CB" w:rsidRPr="00FD3C05" w:rsidRDefault="00CC09CB" w:rsidP="00A03807">
      <w:pPr>
        <w:shd w:val="clear" w:color="auto" w:fill="BFBFBF" w:themeFill="background1" w:themeFillShade="BF"/>
        <w:spacing w:after="120" w:line="240" w:lineRule="auto"/>
        <w:jc w:val="center"/>
        <w:rPr>
          <w:rFonts w:cs="David"/>
          <w:b/>
          <w:bCs/>
          <w:sz w:val="28"/>
          <w:szCs w:val="28"/>
          <w:rtl/>
        </w:rPr>
      </w:pPr>
      <w:r w:rsidRPr="00FD3C05">
        <w:rPr>
          <w:rFonts w:cs="David" w:hint="cs"/>
          <w:b/>
          <w:bCs/>
          <w:sz w:val="28"/>
          <w:szCs w:val="28"/>
          <w:rtl/>
        </w:rPr>
        <w:t>סמכויות בתי הדין הרבניים</w:t>
      </w:r>
      <w:r w:rsidR="00FD3C05" w:rsidRPr="00FD3C05">
        <w:rPr>
          <w:rFonts w:cs="David" w:hint="cs"/>
          <w:b/>
          <w:bCs/>
          <w:sz w:val="28"/>
          <w:szCs w:val="28"/>
          <w:rtl/>
        </w:rPr>
        <w:t xml:space="preserve"> </w:t>
      </w:r>
      <w:r w:rsidR="00FD3C05">
        <w:rPr>
          <w:rFonts w:cs="David"/>
          <w:b/>
          <w:bCs/>
          <w:sz w:val="28"/>
          <w:szCs w:val="28"/>
          <w:rtl/>
        </w:rPr>
        <w:t>–</w:t>
      </w:r>
      <w:r w:rsidR="00FD3C05">
        <w:rPr>
          <w:rFonts w:cs="David" w:hint="cs"/>
          <w:b/>
          <w:bCs/>
          <w:sz w:val="28"/>
          <w:szCs w:val="28"/>
          <w:rtl/>
        </w:rPr>
        <w:t xml:space="preserve"> רקע </w:t>
      </w:r>
    </w:p>
    <w:p w:rsidR="009E3A03" w:rsidRPr="00D62A21" w:rsidRDefault="00D63812" w:rsidP="00530781">
      <w:pPr>
        <w:pStyle w:val="P00"/>
        <w:spacing w:before="0" w:line="360" w:lineRule="auto"/>
        <w:ind w:left="0"/>
        <w:rPr>
          <w:rStyle w:val="default"/>
          <w:rFonts w:cs="David"/>
          <w:sz w:val="24"/>
          <w:szCs w:val="24"/>
          <w:rtl/>
        </w:rPr>
      </w:pPr>
      <w:r w:rsidRPr="00D62A21">
        <w:rPr>
          <w:rStyle w:val="default"/>
          <w:rFonts w:cs="David" w:hint="cs"/>
          <w:sz w:val="24"/>
          <w:szCs w:val="24"/>
          <w:rtl/>
        </w:rPr>
        <w:t>סמכויות בתי הדין הרבניים נקבעו בחוק שיפוט בתי דין רבניים</w:t>
      </w:r>
      <w:r w:rsidR="009B42F9">
        <w:rPr>
          <w:rStyle w:val="default"/>
          <w:rFonts w:cs="David" w:hint="cs"/>
          <w:sz w:val="24"/>
          <w:szCs w:val="24"/>
          <w:rtl/>
        </w:rPr>
        <w:t xml:space="preserve"> (נישואין וגירושין</w:t>
      </w:r>
      <w:r w:rsidRPr="00D62A21">
        <w:rPr>
          <w:rStyle w:val="default"/>
          <w:rFonts w:cs="David" w:hint="cs"/>
          <w:sz w:val="24"/>
          <w:szCs w:val="24"/>
          <w:rtl/>
        </w:rPr>
        <w:t>), התשי"ג-1953, אשר החליף את הוראות סעיף 53 לדבר המלך במועצה על ארץ ישראל, 1922 עד 1947 (</w:t>
      </w:r>
      <w:r w:rsidR="00530781">
        <w:rPr>
          <w:rStyle w:val="default"/>
          <w:rFonts w:cs="David" w:hint="cs"/>
          <w:sz w:val="24"/>
          <w:szCs w:val="24"/>
          <w:rtl/>
        </w:rPr>
        <w:t>מתקופת המנדט הבריטי</w:t>
      </w:r>
      <w:r w:rsidRPr="00D62A21">
        <w:rPr>
          <w:rStyle w:val="default"/>
          <w:rFonts w:cs="David" w:hint="cs"/>
          <w:sz w:val="24"/>
          <w:szCs w:val="24"/>
          <w:rtl/>
        </w:rPr>
        <w:t>)</w:t>
      </w:r>
      <w:r w:rsidR="00C27B8C" w:rsidRPr="00D62A21">
        <w:rPr>
          <w:rStyle w:val="default"/>
          <w:rFonts w:cs="David" w:hint="cs"/>
          <w:sz w:val="24"/>
          <w:szCs w:val="24"/>
          <w:rtl/>
        </w:rPr>
        <w:t>,</w:t>
      </w:r>
      <w:r w:rsidR="009E3A03" w:rsidRPr="00D62A21">
        <w:rPr>
          <w:rStyle w:val="default"/>
          <w:rFonts w:cs="David" w:hint="cs"/>
          <w:sz w:val="24"/>
          <w:szCs w:val="24"/>
          <w:rtl/>
        </w:rPr>
        <w:t xml:space="preserve"> בעניינם של יהודים.</w:t>
      </w:r>
      <w:r w:rsidR="00D62A21">
        <w:rPr>
          <w:rStyle w:val="default"/>
          <w:rFonts w:cs="David" w:hint="cs"/>
          <w:sz w:val="24"/>
          <w:szCs w:val="24"/>
          <w:rtl/>
        </w:rPr>
        <w:t xml:space="preserve"> </w:t>
      </w:r>
      <w:r w:rsidR="00BB2C3E" w:rsidRPr="00D62A21">
        <w:rPr>
          <w:rStyle w:val="default"/>
          <w:rFonts w:cs="David" w:hint="cs"/>
          <w:sz w:val="24"/>
          <w:szCs w:val="24"/>
          <w:rtl/>
        </w:rPr>
        <w:t xml:space="preserve">מבלי לפרוס את מלוא רוחב היריעה, נציין כי לפי </w:t>
      </w:r>
      <w:r w:rsidR="009B775E">
        <w:rPr>
          <w:rStyle w:val="default"/>
          <w:rFonts w:cs="David" w:hint="cs"/>
          <w:sz w:val="24"/>
          <w:szCs w:val="24"/>
          <w:rtl/>
        </w:rPr>
        <w:t>ה</w:t>
      </w:r>
      <w:r w:rsidR="00BB2C3E" w:rsidRPr="00D62A21">
        <w:rPr>
          <w:rStyle w:val="default"/>
          <w:rFonts w:cs="David" w:hint="cs"/>
          <w:sz w:val="24"/>
          <w:szCs w:val="24"/>
          <w:rtl/>
        </w:rPr>
        <w:t xml:space="preserve">חוק לבתי הדין הרבניים </w:t>
      </w:r>
      <w:r w:rsidR="009B775E">
        <w:rPr>
          <w:rStyle w:val="default"/>
          <w:rFonts w:cs="David" w:hint="cs"/>
          <w:sz w:val="24"/>
          <w:szCs w:val="24"/>
          <w:rtl/>
        </w:rPr>
        <w:t xml:space="preserve">יש </w:t>
      </w:r>
      <w:r w:rsidR="00BB2C3E" w:rsidRPr="00D62A21">
        <w:rPr>
          <w:rStyle w:val="default"/>
          <w:rFonts w:cs="David" w:hint="cs"/>
          <w:sz w:val="24"/>
          <w:szCs w:val="24"/>
          <w:rtl/>
        </w:rPr>
        <w:t>את הסמכויות הבאות:</w:t>
      </w:r>
    </w:p>
    <w:p w:rsidR="00BB2C3E" w:rsidRPr="00D62A21" w:rsidRDefault="00BB2C3E" w:rsidP="00D8300E">
      <w:pPr>
        <w:pStyle w:val="P00"/>
        <w:numPr>
          <w:ilvl w:val="0"/>
          <w:numId w:val="18"/>
        </w:numPr>
        <w:spacing w:before="0" w:line="360" w:lineRule="auto"/>
        <w:rPr>
          <w:rStyle w:val="default"/>
          <w:rFonts w:cs="David"/>
          <w:sz w:val="24"/>
          <w:szCs w:val="24"/>
          <w:rtl/>
        </w:rPr>
      </w:pPr>
      <w:r w:rsidRPr="00D62A21">
        <w:rPr>
          <w:rStyle w:val="default"/>
          <w:rFonts w:cs="David" w:hint="cs"/>
          <w:b/>
          <w:bCs/>
          <w:sz w:val="24"/>
          <w:szCs w:val="24"/>
          <w:rtl/>
        </w:rPr>
        <w:t>סמכות ייחודית בענייני נישואין וגירושין</w:t>
      </w:r>
      <w:r w:rsidRPr="00D62A21">
        <w:rPr>
          <w:rStyle w:val="default"/>
          <w:rFonts w:cs="David" w:hint="cs"/>
          <w:sz w:val="24"/>
          <w:szCs w:val="24"/>
          <w:rtl/>
        </w:rPr>
        <w:t xml:space="preserve"> </w:t>
      </w:r>
      <w:r w:rsidR="00D8300E">
        <w:rPr>
          <w:rStyle w:val="default"/>
          <w:rFonts w:cs="David" w:hint="cs"/>
          <w:sz w:val="24"/>
          <w:szCs w:val="24"/>
          <w:rtl/>
        </w:rPr>
        <w:t xml:space="preserve">(סעיף 1 לחוק) </w:t>
      </w:r>
      <w:r w:rsidRPr="00D62A21">
        <w:rPr>
          <w:rStyle w:val="default"/>
          <w:rFonts w:cs="David"/>
          <w:sz w:val="24"/>
          <w:szCs w:val="24"/>
          <w:rtl/>
        </w:rPr>
        <w:t>–</w:t>
      </w:r>
      <w:r w:rsidR="00D8300E">
        <w:rPr>
          <w:rStyle w:val="default"/>
          <w:rFonts w:cs="David" w:hint="cs"/>
          <w:sz w:val="24"/>
          <w:szCs w:val="24"/>
          <w:rtl/>
        </w:rPr>
        <w:t xml:space="preserve"> </w:t>
      </w:r>
      <w:r w:rsidRPr="00D62A21">
        <w:rPr>
          <w:rStyle w:val="default"/>
          <w:rFonts w:cs="David" w:hint="cs"/>
          <w:sz w:val="24"/>
          <w:szCs w:val="24"/>
          <w:rtl/>
        </w:rPr>
        <w:t>ענייני נישואין וגירושין של יהודים בישראל, אזרחי המדינה או תושביה</w:t>
      </w:r>
      <w:r w:rsidR="00D14B56" w:rsidRPr="00D62A21">
        <w:rPr>
          <w:rStyle w:val="default"/>
          <w:rFonts w:cs="David" w:hint="cs"/>
          <w:sz w:val="24"/>
          <w:szCs w:val="24"/>
          <w:rtl/>
        </w:rPr>
        <w:t>,</w:t>
      </w:r>
      <w:r w:rsidRPr="00D62A21">
        <w:rPr>
          <w:rStyle w:val="default"/>
          <w:rFonts w:cs="David" w:hint="cs"/>
          <w:sz w:val="24"/>
          <w:szCs w:val="24"/>
          <w:rtl/>
        </w:rPr>
        <w:t xml:space="preserve"> </w:t>
      </w:r>
      <w:r w:rsidR="00A0422B" w:rsidRPr="00D62A21">
        <w:rPr>
          <w:rStyle w:val="default"/>
          <w:rFonts w:cs="David" w:hint="cs"/>
          <w:sz w:val="24"/>
          <w:szCs w:val="24"/>
          <w:rtl/>
        </w:rPr>
        <w:t xml:space="preserve">הם </w:t>
      </w:r>
      <w:r w:rsidRPr="00D62A21">
        <w:rPr>
          <w:rStyle w:val="default"/>
          <w:rFonts w:cs="David" w:hint="cs"/>
          <w:sz w:val="24"/>
          <w:szCs w:val="24"/>
          <w:rtl/>
        </w:rPr>
        <w:t>בשיפוטם הייחודי של בתי הדין הרבניים.</w:t>
      </w:r>
      <w:r w:rsidR="004350B2" w:rsidRPr="00D62A21">
        <w:rPr>
          <w:rStyle w:val="default"/>
          <w:rFonts w:cs="David" w:hint="cs"/>
          <w:sz w:val="24"/>
          <w:szCs w:val="24"/>
          <w:rtl/>
        </w:rPr>
        <w:t xml:space="preserve"> </w:t>
      </w:r>
    </w:p>
    <w:p w:rsidR="00DC312F" w:rsidRPr="00D62A21" w:rsidRDefault="005F48EF" w:rsidP="001A098E">
      <w:pPr>
        <w:pStyle w:val="P00"/>
        <w:numPr>
          <w:ilvl w:val="0"/>
          <w:numId w:val="18"/>
        </w:numPr>
        <w:spacing w:before="0" w:line="360" w:lineRule="auto"/>
        <w:rPr>
          <w:rStyle w:val="default"/>
          <w:rFonts w:cs="David"/>
          <w:sz w:val="24"/>
          <w:szCs w:val="24"/>
          <w:rtl/>
        </w:rPr>
      </w:pPr>
      <w:r w:rsidRPr="00D62A21">
        <w:rPr>
          <w:rStyle w:val="default"/>
          <w:rFonts w:cs="David" w:hint="cs"/>
          <w:b/>
          <w:bCs/>
          <w:sz w:val="24"/>
          <w:szCs w:val="24"/>
          <w:rtl/>
        </w:rPr>
        <w:t>סמכות על ידי כריכה</w:t>
      </w:r>
      <w:r w:rsidRPr="00D62A21">
        <w:rPr>
          <w:rStyle w:val="default"/>
          <w:rFonts w:cs="David" w:hint="cs"/>
          <w:sz w:val="24"/>
          <w:szCs w:val="24"/>
          <w:rtl/>
        </w:rPr>
        <w:t xml:space="preserve"> </w:t>
      </w:r>
      <w:r w:rsidR="00D8300E">
        <w:rPr>
          <w:rStyle w:val="default"/>
          <w:rFonts w:cs="David" w:hint="cs"/>
          <w:sz w:val="24"/>
          <w:szCs w:val="24"/>
          <w:rtl/>
        </w:rPr>
        <w:t xml:space="preserve">(סעיף 3 לחוק) </w:t>
      </w:r>
      <w:r w:rsidRPr="00D62A21">
        <w:rPr>
          <w:rStyle w:val="default"/>
          <w:rFonts w:cs="David"/>
          <w:sz w:val="24"/>
          <w:szCs w:val="24"/>
          <w:rtl/>
        </w:rPr>
        <w:t>–</w:t>
      </w:r>
      <w:r w:rsidR="00D8300E">
        <w:rPr>
          <w:rStyle w:val="default"/>
          <w:rFonts w:cs="David" w:hint="cs"/>
          <w:sz w:val="24"/>
          <w:szCs w:val="24"/>
          <w:rtl/>
        </w:rPr>
        <w:t xml:space="preserve"> </w:t>
      </w:r>
      <w:r w:rsidR="00DC312F" w:rsidRPr="00D62A21">
        <w:rPr>
          <w:rStyle w:val="default"/>
          <w:rFonts w:cs="David" w:hint="cs"/>
          <w:sz w:val="24"/>
          <w:szCs w:val="24"/>
          <w:rtl/>
        </w:rPr>
        <w:t xml:space="preserve">לבית הדין הרבני סמכות שיפוט לדון בכל עניין הכרוך בתביעת הגירושין, </w:t>
      </w:r>
      <w:r w:rsidR="00D8300E">
        <w:rPr>
          <w:rStyle w:val="default"/>
          <w:rFonts w:cs="David" w:hint="cs"/>
          <w:sz w:val="24"/>
          <w:szCs w:val="24"/>
          <w:rtl/>
        </w:rPr>
        <w:t xml:space="preserve">הנדרש </w:t>
      </w:r>
      <w:r w:rsidR="00D8300E" w:rsidRPr="00D62A21">
        <w:rPr>
          <w:rStyle w:val="default"/>
          <w:rFonts w:cs="David" w:hint="cs"/>
          <w:sz w:val="24"/>
          <w:szCs w:val="24"/>
          <w:rtl/>
        </w:rPr>
        <w:t xml:space="preserve">לצורך פירוקו היעיל של קשר הנישואין (למשל, ענייני </w:t>
      </w:r>
      <w:r w:rsidR="00FD35E3">
        <w:rPr>
          <w:rStyle w:val="default"/>
          <w:rFonts w:cs="David" w:hint="cs"/>
          <w:sz w:val="24"/>
          <w:szCs w:val="24"/>
          <w:rtl/>
        </w:rPr>
        <w:t xml:space="preserve">משמורת וענייני </w:t>
      </w:r>
      <w:r w:rsidR="00D8300E" w:rsidRPr="00D62A21">
        <w:rPr>
          <w:rStyle w:val="default"/>
          <w:rFonts w:cs="David" w:hint="cs"/>
          <w:sz w:val="24"/>
          <w:szCs w:val="24"/>
          <w:rtl/>
        </w:rPr>
        <w:t>רכוש)</w:t>
      </w:r>
      <w:r w:rsidR="00D8300E">
        <w:rPr>
          <w:rStyle w:val="default"/>
          <w:rFonts w:cs="David" w:hint="cs"/>
          <w:sz w:val="24"/>
          <w:szCs w:val="24"/>
          <w:rtl/>
        </w:rPr>
        <w:t xml:space="preserve">, </w:t>
      </w:r>
      <w:r w:rsidR="00DC312F" w:rsidRPr="00D62A21">
        <w:rPr>
          <w:rStyle w:val="default"/>
          <w:rFonts w:cs="David" w:hint="cs"/>
          <w:sz w:val="24"/>
          <w:szCs w:val="24"/>
          <w:rtl/>
        </w:rPr>
        <w:t>ובלבד שתביעות אלו הוגשו לבית הדין הרבני לפני שהוגשו לערכאה האזרחית</w:t>
      </w:r>
      <w:r w:rsidR="00D8300E">
        <w:rPr>
          <w:rStyle w:val="default"/>
          <w:rFonts w:cs="David" w:hint="cs"/>
          <w:sz w:val="24"/>
          <w:szCs w:val="24"/>
          <w:rtl/>
        </w:rPr>
        <w:t>, ועמדו ב</w:t>
      </w:r>
      <w:r w:rsidR="00FD35E3">
        <w:rPr>
          <w:rStyle w:val="default"/>
          <w:rFonts w:cs="David" w:hint="cs"/>
          <w:sz w:val="24"/>
          <w:szCs w:val="24"/>
          <w:rtl/>
        </w:rPr>
        <w:t>"</w:t>
      </w:r>
      <w:r w:rsidR="00D8300E">
        <w:rPr>
          <w:rStyle w:val="default"/>
          <w:rFonts w:cs="David" w:hint="cs"/>
          <w:sz w:val="24"/>
          <w:szCs w:val="24"/>
          <w:rtl/>
        </w:rPr>
        <w:t>מבחני הכריכה</w:t>
      </w:r>
      <w:r w:rsidR="00FD35E3">
        <w:rPr>
          <w:rStyle w:val="default"/>
          <w:rFonts w:cs="David" w:hint="cs"/>
          <w:sz w:val="24"/>
          <w:szCs w:val="24"/>
          <w:rtl/>
        </w:rPr>
        <w:t>"</w:t>
      </w:r>
      <w:r w:rsidR="00D8300E">
        <w:rPr>
          <w:rStyle w:val="default"/>
          <w:rFonts w:cs="David" w:hint="cs"/>
          <w:sz w:val="24"/>
          <w:szCs w:val="24"/>
          <w:rtl/>
        </w:rPr>
        <w:t xml:space="preserve"> (</w:t>
      </w:r>
      <w:r w:rsidR="00DC312F" w:rsidRPr="00D62A21">
        <w:rPr>
          <w:rStyle w:val="default"/>
          <w:rFonts w:cs="David" w:hint="cs"/>
          <w:sz w:val="24"/>
          <w:szCs w:val="24"/>
          <w:rtl/>
        </w:rPr>
        <w:t xml:space="preserve">כנות תביעת הגירושין; </w:t>
      </w:r>
      <w:r w:rsidR="009B775E">
        <w:rPr>
          <w:rStyle w:val="default"/>
          <w:rFonts w:cs="David" w:hint="cs"/>
          <w:sz w:val="24"/>
          <w:szCs w:val="24"/>
          <w:rtl/>
        </w:rPr>
        <w:t>כריכה כדין; ו</w:t>
      </w:r>
      <w:r w:rsidR="00DC312F" w:rsidRPr="00D62A21">
        <w:rPr>
          <w:rStyle w:val="default"/>
          <w:rFonts w:cs="David" w:hint="cs"/>
          <w:sz w:val="24"/>
          <w:szCs w:val="24"/>
          <w:rtl/>
        </w:rPr>
        <w:t>כנות הכריכה</w:t>
      </w:r>
      <w:r w:rsidR="00D8300E">
        <w:rPr>
          <w:rStyle w:val="default"/>
          <w:rFonts w:cs="David" w:hint="cs"/>
          <w:sz w:val="24"/>
          <w:szCs w:val="24"/>
          <w:rtl/>
        </w:rPr>
        <w:t>)</w:t>
      </w:r>
      <w:r w:rsidR="00DC312F" w:rsidRPr="00D62A21">
        <w:rPr>
          <w:rStyle w:val="default"/>
          <w:rFonts w:cs="David" w:hint="cs"/>
          <w:sz w:val="24"/>
          <w:szCs w:val="24"/>
          <w:rtl/>
        </w:rPr>
        <w:t xml:space="preserve">. </w:t>
      </w:r>
    </w:p>
    <w:p w:rsidR="00AE0DCF" w:rsidRPr="00D62A21" w:rsidRDefault="00E17101" w:rsidP="00530781">
      <w:pPr>
        <w:pStyle w:val="P00"/>
        <w:numPr>
          <w:ilvl w:val="0"/>
          <w:numId w:val="18"/>
        </w:numPr>
        <w:spacing w:before="0" w:after="120" w:line="360" w:lineRule="auto"/>
        <w:rPr>
          <w:rStyle w:val="default"/>
          <w:rFonts w:cs="David"/>
          <w:sz w:val="24"/>
          <w:szCs w:val="24"/>
          <w:rtl/>
        </w:rPr>
      </w:pPr>
      <w:r w:rsidRPr="00D62A21">
        <w:rPr>
          <w:rStyle w:val="default"/>
          <w:rFonts w:cs="David" w:hint="cs"/>
          <w:b/>
          <w:bCs/>
          <w:sz w:val="24"/>
          <w:szCs w:val="24"/>
          <w:rtl/>
        </w:rPr>
        <w:t>סמכות שיפוט מכוח הסכמת הצדדים</w:t>
      </w:r>
      <w:r w:rsidRPr="00D62A21">
        <w:rPr>
          <w:rStyle w:val="default"/>
          <w:rFonts w:cs="David" w:hint="cs"/>
          <w:sz w:val="24"/>
          <w:szCs w:val="24"/>
          <w:rtl/>
        </w:rPr>
        <w:t xml:space="preserve"> </w:t>
      </w:r>
      <w:r w:rsidR="00DD5022">
        <w:rPr>
          <w:rStyle w:val="default"/>
          <w:rFonts w:cs="David" w:hint="cs"/>
          <w:sz w:val="24"/>
          <w:szCs w:val="24"/>
          <w:rtl/>
        </w:rPr>
        <w:t xml:space="preserve">(סעיף 9 לחוק) </w:t>
      </w:r>
      <w:r w:rsidRPr="00D62A21">
        <w:rPr>
          <w:rStyle w:val="default"/>
          <w:rFonts w:cs="David"/>
          <w:sz w:val="24"/>
          <w:szCs w:val="24"/>
          <w:rtl/>
        </w:rPr>
        <w:t>–</w:t>
      </w:r>
      <w:r w:rsidR="00DD5022">
        <w:rPr>
          <w:rStyle w:val="default"/>
          <w:rFonts w:cs="David" w:hint="cs"/>
          <w:sz w:val="24"/>
          <w:szCs w:val="24"/>
          <w:rtl/>
        </w:rPr>
        <w:t xml:space="preserve"> </w:t>
      </w:r>
      <w:r w:rsidR="00887D3C" w:rsidRPr="00D62A21">
        <w:rPr>
          <w:rStyle w:val="default"/>
          <w:rFonts w:cs="David" w:hint="cs"/>
          <w:sz w:val="24"/>
          <w:szCs w:val="24"/>
          <w:rtl/>
        </w:rPr>
        <w:t xml:space="preserve">בענייני המעמד האישי של יהודים שבהם אין לבית הדין הרבני סמכות לדון לפי החוק, </w:t>
      </w:r>
      <w:r w:rsidR="00DD5022">
        <w:rPr>
          <w:rStyle w:val="default"/>
          <w:rFonts w:cs="David" w:hint="cs"/>
          <w:sz w:val="24"/>
          <w:szCs w:val="24"/>
          <w:rtl/>
        </w:rPr>
        <w:t xml:space="preserve">יהיה </w:t>
      </w:r>
      <w:r w:rsidR="00887D3C" w:rsidRPr="00D62A21">
        <w:rPr>
          <w:rStyle w:val="default"/>
          <w:rFonts w:cs="David" w:hint="cs"/>
          <w:sz w:val="24"/>
          <w:szCs w:val="24"/>
          <w:rtl/>
        </w:rPr>
        <w:t>לבית הדין הרבני סמכות שיפוט אם כל הצדדים הנוגעים בדבר הביעו את הסכמתם לכך.</w:t>
      </w:r>
      <w:r w:rsidR="00AE0DCF" w:rsidRPr="00D62A21">
        <w:rPr>
          <w:rStyle w:val="default"/>
          <w:rFonts w:cs="David" w:hint="cs"/>
          <w:sz w:val="24"/>
          <w:szCs w:val="24"/>
          <w:rtl/>
        </w:rPr>
        <w:t xml:space="preserve"> </w:t>
      </w:r>
      <w:r w:rsidR="00DD5022">
        <w:rPr>
          <w:rStyle w:val="default"/>
          <w:rFonts w:cs="David" w:hint="cs"/>
          <w:sz w:val="24"/>
          <w:szCs w:val="24"/>
          <w:rtl/>
        </w:rPr>
        <w:t xml:space="preserve">לפי סעיף </w:t>
      </w:r>
      <w:r w:rsidR="00DD5022" w:rsidRPr="00D62A21">
        <w:rPr>
          <w:rStyle w:val="default"/>
          <w:rFonts w:cs="David" w:hint="cs"/>
          <w:sz w:val="24"/>
          <w:szCs w:val="24"/>
          <w:rtl/>
        </w:rPr>
        <w:t>51 לדבר המלך</w:t>
      </w:r>
      <w:r w:rsidR="00DD5022">
        <w:rPr>
          <w:rStyle w:val="default"/>
          <w:rFonts w:cs="David" w:hint="cs"/>
          <w:sz w:val="24"/>
          <w:szCs w:val="24"/>
          <w:rtl/>
        </w:rPr>
        <w:t xml:space="preserve"> '</w:t>
      </w:r>
      <w:r w:rsidR="00AE0DCF" w:rsidRPr="00D62A21">
        <w:rPr>
          <w:rStyle w:val="default"/>
          <w:rFonts w:cs="David" w:hint="cs"/>
          <w:sz w:val="24"/>
          <w:szCs w:val="24"/>
          <w:rtl/>
        </w:rPr>
        <w:t>ענייני המעמד האישי</w:t>
      </w:r>
      <w:r w:rsidR="00DD5022">
        <w:rPr>
          <w:rStyle w:val="default"/>
          <w:rFonts w:cs="David" w:hint="cs"/>
          <w:sz w:val="24"/>
          <w:szCs w:val="24"/>
          <w:rtl/>
        </w:rPr>
        <w:t xml:space="preserve">' </w:t>
      </w:r>
      <w:r w:rsidR="00530781">
        <w:rPr>
          <w:rStyle w:val="default"/>
          <w:rFonts w:cs="David" w:hint="cs"/>
          <w:sz w:val="24"/>
          <w:szCs w:val="24"/>
          <w:rtl/>
        </w:rPr>
        <w:t>כוללים, בין היתר</w:t>
      </w:r>
      <w:r w:rsidR="00AE0DCF" w:rsidRPr="00D62A21">
        <w:rPr>
          <w:rStyle w:val="default"/>
          <w:rFonts w:cs="David" w:hint="cs"/>
          <w:sz w:val="24"/>
          <w:szCs w:val="24"/>
          <w:rtl/>
        </w:rPr>
        <w:t xml:space="preserve">: </w:t>
      </w:r>
      <w:r w:rsidR="00530781">
        <w:rPr>
          <w:rStyle w:val="default"/>
          <w:rFonts w:cs="David" w:hint="cs"/>
          <w:sz w:val="24"/>
          <w:szCs w:val="24"/>
          <w:rtl/>
        </w:rPr>
        <w:t xml:space="preserve">ענייני מזונות, אפוטרופסות וכיו"ב.  </w:t>
      </w:r>
    </w:p>
    <w:p w:rsidR="00CB04D5" w:rsidRPr="00D62A21" w:rsidRDefault="00CB04D5" w:rsidP="00D62A21">
      <w:pPr>
        <w:pStyle w:val="P00"/>
        <w:spacing w:before="0" w:after="120" w:line="360" w:lineRule="auto"/>
        <w:ind w:left="0"/>
        <w:rPr>
          <w:rStyle w:val="default"/>
          <w:rFonts w:cs="David"/>
          <w:sz w:val="24"/>
          <w:szCs w:val="24"/>
          <w:rtl/>
        </w:rPr>
      </w:pPr>
      <w:r w:rsidRPr="00D62A21">
        <w:rPr>
          <w:rStyle w:val="default"/>
          <w:rFonts w:cs="David" w:hint="cs"/>
          <w:sz w:val="24"/>
          <w:szCs w:val="24"/>
          <w:rtl/>
        </w:rPr>
        <w:t>במקביל לסמכויות האמורות, נהג</w:t>
      </w:r>
      <w:r w:rsidR="00744F96" w:rsidRPr="00D62A21">
        <w:rPr>
          <w:rStyle w:val="default"/>
          <w:rFonts w:cs="David" w:hint="cs"/>
          <w:sz w:val="24"/>
          <w:szCs w:val="24"/>
          <w:rtl/>
        </w:rPr>
        <w:t xml:space="preserve">ה בבתי הדין הרבניים פרקטיקה רבת שנים של דיונים </w:t>
      </w:r>
      <w:r w:rsidRPr="00D62A21">
        <w:rPr>
          <w:rStyle w:val="default"/>
          <w:rFonts w:cs="David" w:hint="cs"/>
          <w:sz w:val="24"/>
          <w:szCs w:val="24"/>
          <w:rtl/>
        </w:rPr>
        <w:t xml:space="preserve">בסכסוכים אזרחיים שהובאו לפניהם כבוררים. </w:t>
      </w:r>
    </w:p>
    <w:p w:rsidR="00A03807" w:rsidRPr="00D62A21" w:rsidRDefault="00A03807" w:rsidP="007F4315">
      <w:pPr>
        <w:pStyle w:val="P00"/>
        <w:spacing w:before="0" w:line="360" w:lineRule="auto"/>
        <w:ind w:left="0"/>
        <w:rPr>
          <w:rStyle w:val="default"/>
          <w:rFonts w:cs="David"/>
          <w:sz w:val="24"/>
          <w:szCs w:val="24"/>
          <w:rtl/>
        </w:rPr>
      </w:pPr>
    </w:p>
    <w:p w:rsidR="00A03807" w:rsidRPr="00D62A21" w:rsidRDefault="00A03807" w:rsidP="00A03807">
      <w:pPr>
        <w:shd w:val="clear" w:color="auto" w:fill="BFBFBF" w:themeFill="background1" w:themeFillShade="BF"/>
        <w:spacing w:after="120" w:line="240" w:lineRule="auto"/>
        <w:jc w:val="center"/>
        <w:rPr>
          <w:rFonts w:cs="David"/>
          <w:b/>
          <w:bCs/>
          <w:sz w:val="28"/>
          <w:szCs w:val="28"/>
          <w:rtl/>
        </w:rPr>
      </w:pPr>
      <w:r w:rsidRPr="00D62A21">
        <w:rPr>
          <w:rFonts w:cs="David" w:hint="cs"/>
          <w:b/>
          <w:bCs/>
          <w:sz w:val="28"/>
          <w:szCs w:val="28"/>
          <w:rtl/>
        </w:rPr>
        <w:t>הלכת סימה אמיר</w:t>
      </w:r>
    </w:p>
    <w:p w:rsidR="00A7655B" w:rsidRDefault="001F191B" w:rsidP="008A1DF1">
      <w:pPr>
        <w:pStyle w:val="P00"/>
        <w:spacing w:before="0" w:after="120" w:line="360" w:lineRule="auto"/>
        <w:ind w:left="0"/>
        <w:rPr>
          <w:rStyle w:val="default"/>
          <w:rFonts w:cs="David"/>
          <w:sz w:val="24"/>
          <w:szCs w:val="24"/>
          <w:rtl/>
        </w:rPr>
      </w:pPr>
      <w:r w:rsidRPr="00D62A21">
        <w:rPr>
          <w:rStyle w:val="default"/>
          <w:rFonts w:cs="David" w:hint="cs"/>
          <w:sz w:val="24"/>
          <w:szCs w:val="24"/>
          <w:rtl/>
        </w:rPr>
        <w:t xml:space="preserve">פרשת </w:t>
      </w:r>
      <w:r w:rsidRPr="00D62A21">
        <w:rPr>
          <w:rStyle w:val="default"/>
          <w:rFonts w:cs="David" w:hint="cs"/>
          <w:b/>
          <w:bCs/>
          <w:sz w:val="24"/>
          <w:szCs w:val="24"/>
          <w:rtl/>
        </w:rPr>
        <w:t>סימה אמיר</w:t>
      </w:r>
      <w:r w:rsidRPr="00D62A21">
        <w:rPr>
          <w:rStyle w:val="a5"/>
          <w:rFonts w:cs="David"/>
          <w:sz w:val="24"/>
          <w:szCs w:val="24"/>
          <w:rtl/>
        </w:rPr>
        <w:footnoteReference w:id="1"/>
      </w:r>
      <w:r w:rsidRPr="00D62A21">
        <w:rPr>
          <w:rStyle w:val="default"/>
          <w:rFonts w:cs="David" w:hint="cs"/>
          <w:sz w:val="24"/>
          <w:szCs w:val="24"/>
          <w:rtl/>
        </w:rPr>
        <w:t xml:space="preserve"> </w:t>
      </w:r>
      <w:r w:rsidR="00A03807" w:rsidRPr="00D62A21">
        <w:rPr>
          <w:rStyle w:val="default"/>
          <w:rFonts w:cs="David" w:hint="cs"/>
          <w:sz w:val="24"/>
          <w:szCs w:val="24"/>
          <w:rtl/>
        </w:rPr>
        <w:t>עסקה בשאלת סמכותו של בית הדין הרבני לפסוק במחלוקת רכושית בין בני זוג</w:t>
      </w:r>
      <w:r w:rsidR="00B20B72" w:rsidRPr="00D62A21">
        <w:rPr>
          <w:rStyle w:val="default"/>
          <w:rFonts w:cs="David" w:hint="cs"/>
          <w:sz w:val="24"/>
          <w:szCs w:val="24"/>
          <w:rtl/>
        </w:rPr>
        <w:t xml:space="preserve"> </w:t>
      </w:r>
      <w:r w:rsidR="00B20B72" w:rsidRPr="00D62A21">
        <w:rPr>
          <w:rStyle w:val="default"/>
          <w:rFonts w:cs="David"/>
          <w:sz w:val="24"/>
          <w:szCs w:val="24"/>
          <w:rtl/>
        </w:rPr>
        <w:t>–</w:t>
      </w:r>
      <w:r w:rsidR="00B20B72" w:rsidRPr="00D62A21">
        <w:rPr>
          <w:rStyle w:val="default"/>
          <w:rFonts w:cs="David" w:hint="cs"/>
          <w:sz w:val="24"/>
          <w:szCs w:val="24"/>
          <w:rtl/>
        </w:rPr>
        <w:t xml:space="preserve"> לאחר שתם הליך הגירושין</w:t>
      </w:r>
      <w:r w:rsidR="007C2810">
        <w:rPr>
          <w:rStyle w:val="default"/>
          <w:rFonts w:cs="David" w:hint="cs"/>
          <w:sz w:val="24"/>
          <w:szCs w:val="24"/>
          <w:rtl/>
        </w:rPr>
        <w:t xml:space="preserve"> </w:t>
      </w:r>
      <w:r w:rsidR="00B20B72" w:rsidRPr="00D62A21">
        <w:rPr>
          <w:rStyle w:val="default"/>
          <w:rFonts w:cs="David"/>
          <w:sz w:val="24"/>
          <w:szCs w:val="24"/>
          <w:rtl/>
        </w:rPr>
        <w:t>–</w:t>
      </w:r>
      <w:r w:rsidR="00B20B72" w:rsidRPr="00D62A21">
        <w:rPr>
          <w:rStyle w:val="default"/>
          <w:rFonts w:cs="David" w:hint="cs"/>
          <w:sz w:val="24"/>
          <w:szCs w:val="24"/>
          <w:rtl/>
        </w:rPr>
        <w:t xml:space="preserve"> </w:t>
      </w:r>
      <w:r w:rsidR="009765CF" w:rsidRPr="00D62A21">
        <w:rPr>
          <w:rStyle w:val="default"/>
          <w:rFonts w:cs="David" w:hint="cs"/>
          <w:sz w:val="24"/>
          <w:szCs w:val="24"/>
          <w:rtl/>
        </w:rPr>
        <w:t>שנבעה מטענה של הבעל</w:t>
      </w:r>
      <w:r w:rsidR="00B4464B" w:rsidRPr="00D62A21">
        <w:rPr>
          <w:rStyle w:val="default"/>
          <w:rFonts w:cs="David" w:hint="cs"/>
          <w:sz w:val="24"/>
          <w:szCs w:val="24"/>
          <w:rtl/>
        </w:rPr>
        <w:t xml:space="preserve"> </w:t>
      </w:r>
      <w:r w:rsidR="007C2810">
        <w:rPr>
          <w:rStyle w:val="default"/>
          <w:rFonts w:cs="David" w:hint="cs"/>
          <w:sz w:val="24"/>
          <w:szCs w:val="24"/>
          <w:rtl/>
        </w:rPr>
        <w:t xml:space="preserve">כי </w:t>
      </w:r>
      <w:r w:rsidR="00B20B72" w:rsidRPr="00D62A21">
        <w:rPr>
          <w:rStyle w:val="default"/>
          <w:rFonts w:cs="David" w:hint="cs"/>
          <w:sz w:val="24"/>
          <w:szCs w:val="24"/>
          <w:rtl/>
        </w:rPr>
        <w:t xml:space="preserve">האשה הפרה את </w:t>
      </w:r>
      <w:r w:rsidR="009765CF" w:rsidRPr="00D62A21">
        <w:rPr>
          <w:rStyle w:val="default"/>
          <w:rFonts w:cs="David" w:hint="cs"/>
          <w:sz w:val="24"/>
          <w:szCs w:val="24"/>
          <w:rtl/>
        </w:rPr>
        <w:t>הסכם הגירושין</w:t>
      </w:r>
      <w:r w:rsidR="00A03807" w:rsidRPr="00D62A21">
        <w:rPr>
          <w:rStyle w:val="default"/>
          <w:rFonts w:cs="David" w:hint="cs"/>
          <w:sz w:val="24"/>
          <w:szCs w:val="24"/>
          <w:rtl/>
        </w:rPr>
        <w:t xml:space="preserve">. האשה טענה, כי </w:t>
      </w:r>
      <w:r w:rsidR="000B5BB5" w:rsidRPr="00D62A21">
        <w:rPr>
          <w:rStyle w:val="default"/>
          <w:rFonts w:cs="David" w:hint="cs"/>
          <w:sz w:val="24"/>
          <w:szCs w:val="24"/>
          <w:rtl/>
        </w:rPr>
        <w:t xml:space="preserve">על </w:t>
      </w:r>
      <w:r w:rsidR="00A03807" w:rsidRPr="00D62A21">
        <w:rPr>
          <w:rStyle w:val="default"/>
          <w:rFonts w:cs="David" w:hint="cs"/>
          <w:sz w:val="24"/>
          <w:szCs w:val="24"/>
          <w:rtl/>
        </w:rPr>
        <w:t xml:space="preserve">אף שבהסכם הגירושין </w:t>
      </w:r>
      <w:r w:rsidR="007C2810">
        <w:rPr>
          <w:rStyle w:val="default"/>
          <w:rFonts w:cs="David" w:hint="cs"/>
          <w:sz w:val="24"/>
          <w:szCs w:val="24"/>
          <w:rtl/>
        </w:rPr>
        <w:t xml:space="preserve">התחייבו </w:t>
      </w:r>
      <w:r w:rsidRPr="00D62A21">
        <w:rPr>
          <w:rStyle w:val="default"/>
          <w:rFonts w:cs="David" w:hint="cs"/>
          <w:sz w:val="24"/>
          <w:szCs w:val="24"/>
          <w:rtl/>
        </w:rPr>
        <w:t xml:space="preserve">בני הזוג שכל מחלוקת עתידית ביניהם תידון אך ורק בבית הדין הרבני, אין לקבל את קביעתו של בית הדין הרבני שהסכם </w:t>
      </w:r>
      <w:r w:rsidR="001D7B57" w:rsidRPr="00D62A21">
        <w:rPr>
          <w:rStyle w:val="default"/>
          <w:rFonts w:cs="David" w:hint="cs"/>
          <w:sz w:val="24"/>
          <w:szCs w:val="24"/>
          <w:rtl/>
        </w:rPr>
        <w:t>הגירושין</w:t>
      </w:r>
      <w:r w:rsidR="00EE36B9" w:rsidRPr="00D62A21">
        <w:rPr>
          <w:rStyle w:val="default"/>
          <w:rFonts w:cs="David" w:hint="cs"/>
          <w:sz w:val="24"/>
          <w:szCs w:val="24"/>
          <w:rtl/>
        </w:rPr>
        <w:t xml:space="preserve"> אכן </w:t>
      </w:r>
      <w:r w:rsidRPr="00D62A21">
        <w:rPr>
          <w:rStyle w:val="default"/>
          <w:rFonts w:cs="David" w:hint="cs"/>
          <w:sz w:val="24"/>
          <w:szCs w:val="24"/>
          <w:rtl/>
        </w:rPr>
        <w:t>הסמיך אותו לדון בסכסוכים העתידיים בין בני הזוג.</w:t>
      </w:r>
      <w:r w:rsidR="00A7655B" w:rsidRPr="00D62A21">
        <w:rPr>
          <w:rStyle w:val="default"/>
          <w:rFonts w:cs="David" w:hint="cs"/>
          <w:sz w:val="24"/>
          <w:szCs w:val="24"/>
          <w:rtl/>
        </w:rPr>
        <w:t xml:space="preserve"> </w:t>
      </w:r>
      <w:r w:rsidR="001D7B57" w:rsidRPr="00D62A21">
        <w:rPr>
          <w:rStyle w:val="default"/>
          <w:rFonts w:cs="David" w:hint="cs"/>
          <w:sz w:val="24"/>
          <w:szCs w:val="24"/>
          <w:rtl/>
        </w:rPr>
        <w:t>לאחר שבחן מספר מקורות סמכות אפשריים</w:t>
      </w:r>
      <w:r w:rsidR="00767309">
        <w:rPr>
          <w:rStyle w:val="default"/>
          <w:rFonts w:cs="David" w:hint="cs"/>
          <w:sz w:val="24"/>
          <w:szCs w:val="24"/>
          <w:rtl/>
        </w:rPr>
        <w:t xml:space="preserve"> </w:t>
      </w:r>
      <w:r w:rsidR="00ED0E9D">
        <w:rPr>
          <w:rStyle w:val="default"/>
          <w:rFonts w:cs="David" w:hint="cs"/>
          <w:sz w:val="24"/>
          <w:szCs w:val="24"/>
          <w:rtl/>
        </w:rPr>
        <w:t xml:space="preserve">לפסיקתו של בית הדין הרבני בעניין זה </w:t>
      </w:r>
      <w:r w:rsidR="001D7B57" w:rsidRPr="00D62A21">
        <w:rPr>
          <w:rStyle w:val="default"/>
          <w:rFonts w:cs="David" w:hint="cs"/>
          <w:sz w:val="24"/>
          <w:szCs w:val="24"/>
          <w:rtl/>
        </w:rPr>
        <w:t>ודחה אותם,</w:t>
      </w:r>
      <w:r w:rsidR="000B5BB5" w:rsidRPr="00D62A21">
        <w:rPr>
          <w:rStyle w:val="default"/>
          <w:rFonts w:cs="David" w:hint="cs"/>
          <w:sz w:val="24"/>
          <w:szCs w:val="24"/>
          <w:rtl/>
        </w:rPr>
        <w:t xml:space="preserve"> </w:t>
      </w:r>
      <w:r w:rsidR="00767309">
        <w:rPr>
          <w:rStyle w:val="default"/>
          <w:rFonts w:cs="David" w:hint="cs"/>
          <w:sz w:val="24"/>
          <w:szCs w:val="24"/>
          <w:rtl/>
        </w:rPr>
        <w:t>בחן בג"</w:t>
      </w:r>
      <w:r w:rsidR="00ED0E9D">
        <w:rPr>
          <w:rStyle w:val="default"/>
          <w:rFonts w:cs="David" w:hint="cs"/>
          <w:sz w:val="24"/>
          <w:szCs w:val="24"/>
          <w:rtl/>
        </w:rPr>
        <w:t>ץ</w:t>
      </w:r>
      <w:r w:rsidR="00767309">
        <w:rPr>
          <w:rStyle w:val="default"/>
          <w:rFonts w:cs="David" w:hint="cs"/>
          <w:sz w:val="24"/>
          <w:szCs w:val="24"/>
          <w:rtl/>
        </w:rPr>
        <w:t xml:space="preserve"> </w:t>
      </w:r>
      <w:r w:rsidR="000B5BB5" w:rsidRPr="00D62A21">
        <w:rPr>
          <w:rStyle w:val="default"/>
          <w:rFonts w:cs="David" w:hint="cs"/>
          <w:sz w:val="24"/>
          <w:szCs w:val="24"/>
          <w:rtl/>
        </w:rPr>
        <w:t xml:space="preserve">גם </w:t>
      </w:r>
      <w:r w:rsidR="00767309">
        <w:rPr>
          <w:rStyle w:val="default"/>
          <w:rFonts w:cs="David" w:hint="cs"/>
          <w:sz w:val="24"/>
          <w:szCs w:val="24"/>
          <w:rtl/>
        </w:rPr>
        <w:t xml:space="preserve">את </w:t>
      </w:r>
      <w:r w:rsidR="000B5BB5" w:rsidRPr="00D62A21">
        <w:rPr>
          <w:rStyle w:val="default"/>
          <w:rFonts w:cs="David" w:hint="cs"/>
          <w:sz w:val="24"/>
          <w:szCs w:val="24"/>
          <w:rtl/>
        </w:rPr>
        <w:t>האפשרות שבית הדין הרבני מוסמך היה לדון בהפרת הסכם הגירושין כבורר</w:t>
      </w:r>
      <w:r w:rsidR="00ED0E9D">
        <w:rPr>
          <w:rStyle w:val="default"/>
          <w:rFonts w:cs="David" w:hint="cs"/>
          <w:sz w:val="24"/>
          <w:szCs w:val="24"/>
          <w:rtl/>
        </w:rPr>
        <w:t>, אך פסל גם אותה.</w:t>
      </w:r>
      <w:r w:rsidR="0014341E" w:rsidRPr="00D62A21">
        <w:rPr>
          <w:rStyle w:val="default"/>
          <w:rFonts w:cs="David" w:hint="cs"/>
          <w:sz w:val="24"/>
          <w:szCs w:val="24"/>
          <w:rtl/>
        </w:rPr>
        <w:t xml:space="preserve"> </w:t>
      </w:r>
      <w:r w:rsidR="00ED0E9D">
        <w:rPr>
          <w:rStyle w:val="default"/>
          <w:rFonts w:cs="David" w:hint="cs"/>
          <w:sz w:val="24"/>
          <w:szCs w:val="24"/>
          <w:rtl/>
        </w:rPr>
        <w:t>לפי קביעת בג"ץ</w:t>
      </w:r>
      <w:r w:rsidR="008A1DF1">
        <w:rPr>
          <w:rStyle w:val="default"/>
          <w:rFonts w:cs="David" w:hint="cs"/>
          <w:sz w:val="24"/>
          <w:szCs w:val="24"/>
          <w:rtl/>
        </w:rPr>
        <w:t>,</w:t>
      </w:r>
      <w:r w:rsidR="00ED0E9D">
        <w:rPr>
          <w:rStyle w:val="default"/>
          <w:rFonts w:cs="David" w:hint="cs"/>
          <w:sz w:val="24"/>
          <w:szCs w:val="24"/>
          <w:rtl/>
        </w:rPr>
        <w:t xml:space="preserve"> </w:t>
      </w:r>
      <w:r w:rsidR="008A1DF1" w:rsidRPr="00D62A21">
        <w:rPr>
          <w:rStyle w:val="default"/>
          <w:rFonts w:cs="David" w:hint="cs"/>
          <w:sz w:val="24"/>
          <w:szCs w:val="24"/>
          <w:u w:val="single"/>
          <w:rtl/>
        </w:rPr>
        <w:t xml:space="preserve">בית הדין הרבני אינו </w:t>
      </w:r>
      <w:r w:rsidR="008A1DF1">
        <w:rPr>
          <w:rStyle w:val="default"/>
          <w:rFonts w:cs="David" w:hint="cs"/>
          <w:sz w:val="24"/>
          <w:szCs w:val="24"/>
          <w:u w:val="single"/>
          <w:rtl/>
        </w:rPr>
        <w:t xml:space="preserve">מוסמך </w:t>
      </w:r>
      <w:r w:rsidR="008A1DF1" w:rsidRPr="00D62A21">
        <w:rPr>
          <w:rStyle w:val="default"/>
          <w:rFonts w:cs="David" w:hint="cs"/>
          <w:sz w:val="24"/>
          <w:szCs w:val="24"/>
          <w:u w:val="single"/>
          <w:rtl/>
        </w:rPr>
        <w:t>לעסוק בעניינים אזרחיים שאינם בתחום סמכותו העניינית</w:t>
      </w:r>
      <w:r w:rsidR="008A1DF1">
        <w:rPr>
          <w:rStyle w:val="default"/>
          <w:rFonts w:cs="David" w:hint="cs"/>
          <w:sz w:val="24"/>
          <w:szCs w:val="24"/>
          <w:u w:val="single"/>
          <w:rtl/>
        </w:rPr>
        <w:t xml:space="preserve">, ולכן </w:t>
      </w:r>
      <w:r w:rsidR="008A1DF1" w:rsidRPr="00D62A21">
        <w:rPr>
          <w:rStyle w:val="default"/>
          <w:rFonts w:cs="David" w:hint="cs"/>
          <w:sz w:val="24"/>
          <w:szCs w:val="24"/>
          <w:u w:val="single"/>
          <w:rtl/>
        </w:rPr>
        <w:t xml:space="preserve"> </w:t>
      </w:r>
      <w:r w:rsidR="0014341E" w:rsidRPr="00D62A21">
        <w:rPr>
          <w:rStyle w:val="default"/>
          <w:rFonts w:cs="David" w:hint="cs"/>
          <w:sz w:val="24"/>
          <w:szCs w:val="24"/>
          <w:u w:val="single"/>
          <w:rtl/>
        </w:rPr>
        <w:t xml:space="preserve">הצדדים אינם יכולים להסמיך </w:t>
      </w:r>
      <w:r w:rsidR="008A1DF1">
        <w:rPr>
          <w:rStyle w:val="default"/>
          <w:rFonts w:cs="David" w:hint="cs"/>
          <w:sz w:val="24"/>
          <w:szCs w:val="24"/>
          <w:u w:val="single"/>
          <w:rtl/>
        </w:rPr>
        <w:t xml:space="preserve">אותו </w:t>
      </w:r>
      <w:r w:rsidR="0014341E" w:rsidRPr="00D62A21">
        <w:rPr>
          <w:rStyle w:val="default"/>
          <w:rFonts w:cs="David" w:hint="cs"/>
          <w:sz w:val="24"/>
          <w:szCs w:val="24"/>
          <w:u w:val="single"/>
          <w:rtl/>
        </w:rPr>
        <w:t>להכריע במחלוקת ביניהם במסגרת בוררות</w:t>
      </w:r>
      <w:r w:rsidR="00A7655B" w:rsidRPr="00D62A21">
        <w:rPr>
          <w:rStyle w:val="default"/>
          <w:rFonts w:cs="David" w:hint="cs"/>
          <w:sz w:val="24"/>
          <w:szCs w:val="24"/>
          <w:rtl/>
        </w:rPr>
        <w:t>.</w:t>
      </w:r>
    </w:p>
    <w:p w:rsidR="00A35F16" w:rsidRPr="00D62A21" w:rsidRDefault="00A35F16" w:rsidP="008A1DF1">
      <w:pPr>
        <w:pStyle w:val="P00"/>
        <w:spacing w:before="0" w:after="120" w:line="360" w:lineRule="auto"/>
        <w:ind w:left="0"/>
        <w:rPr>
          <w:rStyle w:val="default"/>
          <w:rFonts w:cs="David"/>
          <w:sz w:val="24"/>
          <w:szCs w:val="24"/>
          <w:rtl/>
        </w:rPr>
      </w:pPr>
    </w:p>
    <w:p w:rsidR="00CC09CB" w:rsidRPr="00D62A21" w:rsidRDefault="00CC09CB" w:rsidP="00AD4DA1">
      <w:pPr>
        <w:shd w:val="clear" w:color="auto" w:fill="BFBFBF" w:themeFill="background1" w:themeFillShade="BF"/>
        <w:spacing w:after="120" w:line="240" w:lineRule="auto"/>
        <w:jc w:val="center"/>
        <w:rPr>
          <w:rFonts w:cs="David"/>
          <w:b/>
          <w:bCs/>
          <w:sz w:val="28"/>
          <w:szCs w:val="28"/>
          <w:rtl/>
        </w:rPr>
      </w:pPr>
      <w:r w:rsidRPr="00D62A21">
        <w:rPr>
          <w:rFonts w:cs="David" w:hint="cs"/>
          <w:b/>
          <w:bCs/>
          <w:sz w:val="28"/>
          <w:szCs w:val="28"/>
          <w:rtl/>
        </w:rPr>
        <w:lastRenderedPageBreak/>
        <w:t>הצעת החוק</w:t>
      </w:r>
      <w:r w:rsidR="00FD3C05" w:rsidRPr="00D62A21">
        <w:rPr>
          <w:rFonts w:cs="David" w:hint="cs"/>
          <w:b/>
          <w:bCs/>
          <w:sz w:val="28"/>
          <w:szCs w:val="28"/>
          <w:rtl/>
        </w:rPr>
        <w:t xml:space="preserve"> </w:t>
      </w:r>
    </w:p>
    <w:p w:rsidR="00E9723E" w:rsidRPr="00D62A21" w:rsidRDefault="0088546A" w:rsidP="001A098E">
      <w:pPr>
        <w:spacing w:after="120" w:line="360" w:lineRule="auto"/>
        <w:jc w:val="both"/>
        <w:rPr>
          <w:rFonts w:cs="David"/>
          <w:sz w:val="24"/>
          <w:szCs w:val="24"/>
          <w:rtl/>
        </w:rPr>
      </w:pPr>
      <w:r w:rsidRPr="00D62A21">
        <w:rPr>
          <w:rFonts w:cs="David" w:hint="cs"/>
          <w:sz w:val="24"/>
          <w:szCs w:val="24"/>
          <w:rtl/>
        </w:rPr>
        <w:t xml:space="preserve">נוכח פסיקתו של בג"ץ בפרשת </w:t>
      </w:r>
      <w:r w:rsidRPr="00D62A21">
        <w:rPr>
          <w:rFonts w:cs="David" w:hint="cs"/>
          <w:b/>
          <w:bCs/>
          <w:sz w:val="24"/>
          <w:szCs w:val="24"/>
          <w:rtl/>
        </w:rPr>
        <w:t>סימה אמיר</w:t>
      </w:r>
      <w:r w:rsidRPr="00D62A21">
        <w:rPr>
          <w:rFonts w:cs="David" w:hint="cs"/>
          <w:sz w:val="24"/>
          <w:szCs w:val="24"/>
          <w:rtl/>
        </w:rPr>
        <w:t xml:space="preserve">, </w:t>
      </w:r>
      <w:r w:rsidR="009217C8" w:rsidRPr="00D62A21">
        <w:rPr>
          <w:rFonts w:cs="David" w:hint="cs"/>
          <w:sz w:val="24"/>
          <w:szCs w:val="24"/>
          <w:rtl/>
        </w:rPr>
        <w:t xml:space="preserve">מבקשת </w:t>
      </w:r>
      <w:r w:rsidRPr="00D62A21">
        <w:rPr>
          <w:rFonts w:cs="David" w:hint="cs"/>
          <w:sz w:val="24"/>
          <w:szCs w:val="24"/>
          <w:rtl/>
        </w:rPr>
        <w:t xml:space="preserve">הצעת חוק שיפוט בתי דין דתיים (בוררות), התשע"ה-2015 (פ/1370/20) שהוגשה על ידי חברי הכנסת גפני ומקלב, לעגן בחוק את סמכותם של בתי הדין הדתיים </w:t>
      </w:r>
      <w:r w:rsidR="00E0643F" w:rsidRPr="00D62A21">
        <w:rPr>
          <w:rFonts w:cs="David" w:hint="cs"/>
          <w:sz w:val="24"/>
          <w:szCs w:val="24"/>
          <w:rtl/>
        </w:rPr>
        <w:t>שפועלים בישראל מכוח חוק</w:t>
      </w:r>
      <w:r w:rsidR="00E0643F">
        <w:rPr>
          <w:rFonts w:cs="David" w:hint="cs"/>
          <w:sz w:val="24"/>
          <w:szCs w:val="24"/>
          <w:rtl/>
        </w:rPr>
        <w:t>,</w:t>
      </w:r>
      <w:r w:rsidR="00E0643F" w:rsidRPr="00D62A21">
        <w:rPr>
          <w:rFonts w:cs="David" w:hint="cs"/>
          <w:sz w:val="24"/>
          <w:szCs w:val="24"/>
          <w:rtl/>
        </w:rPr>
        <w:t xml:space="preserve"> </w:t>
      </w:r>
      <w:r w:rsidRPr="00D62A21">
        <w:rPr>
          <w:rFonts w:cs="David" w:hint="cs"/>
          <w:sz w:val="24"/>
          <w:szCs w:val="24"/>
          <w:rtl/>
        </w:rPr>
        <w:t xml:space="preserve">לדון בעניינים אזרחיים, </w:t>
      </w:r>
      <w:r w:rsidRPr="002C5517">
        <w:rPr>
          <w:rFonts w:cs="David" w:hint="eastAsia"/>
          <w:b/>
          <w:bCs/>
          <w:sz w:val="24"/>
          <w:szCs w:val="24"/>
          <w:u w:val="single"/>
          <w:rtl/>
        </w:rPr>
        <w:t>בהסכמ</w:t>
      </w:r>
      <w:r w:rsidR="009217C8" w:rsidRPr="002C5517">
        <w:rPr>
          <w:rFonts w:cs="David" w:hint="eastAsia"/>
          <w:b/>
          <w:bCs/>
          <w:sz w:val="24"/>
          <w:szCs w:val="24"/>
          <w:u w:val="single"/>
          <w:rtl/>
        </w:rPr>
        <w:t>ת</w:t>
      </w:r>
      <w:r w:rsidRPr="002C5517">
        <w:rPr>
          <w:rFonts w:cs="David"/>
          <w:b/>
          <w:bCs/>
          <w:sz w:val="24"/>
          <w:szCs w:val="24"/>
          <w:u w:val="single"/>
          <w:rtl/>
        </w:rPr>
        <w:t xml:space="preserve"> הצדדים</w:t>
      </w:r>
      <w:r w:rsidRPr="00D62A21">
        <w:rPr>
          <w:rFonts w:cs="David" w:hint="cs"/>
          <w:sz w:val="24"/>
          <w:szCs w:val="24"/>
          <w:rtl/>
        </w:rPr>
        <w:t xml:space="preserve">. </w:t>
      </w:r>
      <w:r w:rsidR="00E0643F">
        <w:rPr>
          <w:rFonts w:cs="David" w:hint="cs"/>
          <w:sz w:val="24"/>
          <w:szCs w:val="24"/>
          <w:rtl/>
        </w:rPr>
        <w:t xml:space="preserve">ההצעה </w:t>
      </w:r>
      <w:r w:rsidR="00E9723E" w:rsidRPr="00D62A21">
        <w:rPr>
          <w:rFonts w:cs="David" w:hint="cs"/>
          <w:sz w:val="24"/>
          <w:szCs w:val="24"/>
          <w:rtl/>
        </w:rPr>
        <w:t>ביקשה להחיל את ההסדר המוצע הן על בתי הדין הרבניים, הן על בתי הדין השרעיים והן על בתי הדין הדתיים הדרוזים. באשר לבתי הדין של העדות הנוצריות המוכרות בישראל</w:t>
      </w:r>
      <w:r w:rsidR="00E0643F">
        <w:rPr>
          <w:rFonts w:cs="David" w:hint="cs"/>
          <w:sz w:val="24"/>
          <w:szCs w:val="24"/>
          <w:rtl/>
        </w:rPr>
        <w:t>,</w:t>
      </w:r>
      <w:r w:rsidR="00E9723E" w:rsidRPr="00D62A21">
        <w:rPr>
          <w:rFonts w:cs="David" w:hint="cs"/>
          <w:sz w:val="24"/>
          <w:szCs w:val="24"/>
          <w:rtl/>
        </w:rPr>
        <w:t xml:space="preserve"> נטען כי אין מניעה מלהחיל את החוק גם עליהם, אך אין חוק המסדיר את ייסודם ומינוי דייניהם.</w:t>
      </w:r>
    </w:p>
    <w:p w:rsidR="00F03A09" w:rsidRDefault="00A002C4" w:rsidP="001A098E">
      <w:pPr>
        <w:spacing w:after="120" w:line="360" w:lineRule="auto"/>
        <w:jc w:val="both"/>
        <w:rPr>
          <w:rFonts w:cs="David"/>
          <w:sz w:val="24"/>
          <w:szCs w:val="24"/>
          <w:rtl/>
        </w:rPr>
      </w:pPr>
      <w:r w:rsidRPr="00D62A21">
        <w:rPr>
          <w:rFonts w:cs="David" w:hint="cs"/>
          <w:sz w:val="24"/>
          <w:szCs w:val="24"/>
          <w:rtl/>
        </w:rPr>
        <w:t xml:space="preserve">בדברי ההסבר להצעת החוק </w:t>
      </w:r>
      <w:r w:rsidR="00651962">
        <w:rPr>
          <w:rFonts w:cs="David" w:hint="cs"/>
          <w:sz w:val="24"/>
          <w:szCs w:val="24"/>
          <w:rtl/>
        </w:rPr>
        <w:t xml:space="preserve">הפרטית </w:t>
      </w:r>
      <w:r w:rsidRPr="00D62A21">
        <w:rPr>
          <w:rFonts w:cs="David" w:hint="cs"/>
          <w:sz w:val="24"/>
          <w:szCs w:val="24"/>
          <w:rtl/>
        </w:rPr>
        <w:t xml:space="preserve">נטען, </w:t>
      </w:r>
      <w:r w:rsidR="00CF6B55" w:rsidRPr="00D62A21">
        <w:rPr>
          <w:rFonts w:cs="David" w:hint="cs"/>
          <w:sz w:val="24"/>
          <w:szCs w:val="24"/>
          <w:rtl/>
        </w:rPr>
        <w:t xml:space="preserve">כי </w:t>
      </w:r>
      <w:r w:rsidR="00A3473A">
        <w:rPr>
          <w:rFonts w:cs="David" w:hint="cs"/>
          <w:sz w:val="24"/>
          <w:szCs w:val="24"/>
          <w:rtl/>
        </w:rPr>
        <w:t>ה</w:t>
      </w:r>
      <w:r w:rsidR="00CF6B55" w:rsidRPr="00D62A21">
        <w:rPr>
          <w:rFonts w:cs="David" w:hint="cs"/>
          <w:sz w:val="24"/>
          <w:szCs w:val="24"/>
          <w:rtl/>
        </w:rPr>
        <w:t xml:space="preserve">שאלה האם עדיף לתת לבתי הדין הדתיים לדון </w:t>
      </w:r>
      <w:r w:rsidR="00651962">
        <w:rPr>
          <w:rFonts w:cs="David" w:hint="cs"/>
          <w:sz w:val="24"/>
          <w:szCs w:val="24"/>
          <w:rtl/>
        </w:rPr>
        <w:t xml:space="preserve">בסכסוכים אזרחיים, בהסכמת הצדדים, </w:t>
      </w:r>
      <w:r w:rsidR="00CF6B55" w:rsidRPr="00D62A21">
        <w:rPr>
          <w:rFonts w:cs="David" w:hint="cs"/>
          <w:sz w:val="24"/>
          <w:szCs w:val="24"/>
          <w:rtl/>
        </w:rPr>
        <w:t xml:space="preserve">במסגרת של דיני </w:t>
      </w:r>
      <w:r w:rsidR="00CF6B55" w:rsidRPr="002C5517">
        <w:rPr>
          <w:rFonts w:cs="David" w:hint="eastAsia"/>
          <w:b/>
          <w:bCs/>
          <w:sz w:val="24"/>
          <w:szCs w:val="24"/>
          <w:u w:val="single"/>
          <w:rtl/>
        </w:rPr>
        <w:t>הבוררות</w:t>
      </w:r>
      <w:r w:rsidR="00CF6B55" w:rsidRPr="00D62A21">
        <w:rPr>
          <w:rFonts w:cs="David" w:hint="cs"/>
          <w:sz w:val="24"/>
          <w:szCs w:val="24"/>
          <w:rtl/>
        </w:rPr>
        <w:t xml:space="preserve"> כפי שמוצע בהצעת החוק, או במסגרת של סמכות שיפוט עצמאית, </w:t>
      </w:r>
      <w:r w:rsidR="00A3473A">
        <w:rPr>
          <w:rFonts w:cs="David" w:hint="cs"/>
          <w:sz w:val="24"/>
          <w:szCs w:val="24"/>
          <w:rtl/>
        </w:rPr>
        <w:t xml:space="preserve">היא שאלה מורכבת, </w:t>
      </w:r>
      <w:r w:rsidR="00CF6B55" w:rsidRPr="00D62A21">
        <w:rPr>
          <w:rFonts w:cs="David" w:hint="cs"/>
          <w:sz w:val="24"/>
          <w:szCs w:val="24"/>
          <w:rtl/>
        </w:rPr>
        <w:t>שכן לכל אחד מהמודלים יש יתרונות וחסרונות</w:t>
      </w:r>
      <w:r w:rsidR="00651962">
        <w:rPr>
          <w:rFonts w:cs="David" w:hint="cs"/>
          <w:sz w:val="24"/>
          <w:szCs w:val="24"/>
          <w:rtl/>
        </w:rPr>
        <w:t>,</w:t>
      </w:r>
      <w:r w:rsidR="00CF6B55" w:rsidRPr="00D62A21">
        <w:rPr>
          <w:rFonts w:cs="David" w:hint="cs"/>
          <w:sz w:val="24"/>
          <w:szCs w:val="24"/>
          <w:rtl/>
        </w:rPr>
        <w:t xml:space="preserve"> ואלו יידונו במסגרת הכנת הצעת החוק בוועדת החוקה, מתוך מגמה שסוג הסמכות שיוחלט לגביו יגובש בהסכמה רחבה ככל האפשר.</w:t>
      </w:r>
      <w:r w:rsidR="00A3473A">
        <w:rPr>
          <w:rFonts w:cs="David" w:hint="cs"/>
          <w:sz w:val="24"/>
          <w:szCs w:val="24"/>
          <w:rtl/>
        </w:rPr>
        <w:t xml:space="preserve"> </w:t>
      </w:r>
    </w:p>
    <w:p w:rsidR="00A002C4" w:rsidRPr="00D62A21" w:rsidRDefault="00CF6B55" w:rsidP="00231FA1">
      <w:pPr>
        <w:spacing w:after="120" w:line="360" w:lineRule="auto"/>
        <w:jc w:val="both"/>
        <w:rPr>
          <w:rFonts w:cs="David"/>
          <w:sz w:val="24"/>
          <w:szCs w:val="24"/>
          <w:rtl/>
        </w:rPr>
      </w:pPr>
      <w:r w:rsidRPr="00D62A21">
        <w:rPr>
          <w:rFonts w:cs="David" w:hint="cs"/>
          <w:sz w:val="24"/>
          <w:szCs w:val="24"/>
          <w:rtl/>
        </w:rPr>
        <w:t xml:space="preserve">עוד נטען בדברי ההסבר, </w:t>
      </w:r>
      <w:r w:rsidR="00A002C4" w:rsidRPr="00D62A21">
        <w:rPr>
          <w:rFonts w:cs="David" w:hint="cs"/>
          <w:sz w:val="24"/>
          <w:szCs w:val="24"/>
          <w:rtl/>
        </w:rPr>
        <w:t xml:space="preserve">כי כדי לגבש הסכמה רחבה ולהימנע ממחלוקת ציבורית באשר להרחבת סמכויות בתי הדין הרבניים, הצעת החוק </w:t>
      </w:r>
      <w:r w:rsidR="00A3473A">
        <w:rPr>
          <w:rFonts w:cs="David" w:hint="cs"/>
          <w:sz w:val="24"/>
          <w:szCs w:val="24"/>
          <w:rtl/>
        </w:rPr>
        <w:t xml:space="preserve">הפרטית </w:t>
      </w:r>
      <w:r w:rsidR="00A002C4" w:rsidRPr="00D62A21">
        <w:rPr>
          <w:rFonts w:cs="David" w:hint="cs"/>
          <w:sz w:val="24"/>
          <w:szCs w:val="24"/>
          <w:rtl/>
        </w:rPr>
        <w:t>מוציאה מתוכה במפורש את האפשרות שבית הדין יוכל לדון במסגרת של בוררות בענייני רכוש הכרוכים בגירושין או בעניין אחר של מעמד אישי שלבית דין דתי קיימת לגביו סמכות שיפוט, ולו בהסכמה.</w:t>
      </w:r>
    </w:p>
    <w:p w:rsidR="00E9723E" w:rsidRPr="00D62A21" w:rsidRDefault="00A002C4" w:rsidP="00667CF3">
      <w:pPr>
        <w:spacing w:after="120" w:line="360" w:lineRule="auto"/>
        <w:jc w:val="both"/>
        <w:rPr>
          <w:rFonts w:cs="David"/>
          <w:sz w:val="24"/>
          <w:szCs w:val="24"/>
          <w:rtl/>
        </w:rPr>
      </w:pPr>
      <w:r w:rsidRPr="00D62A21">
        <w:rPr>
          <w:rFonts w:cs="David" w:hint="cs"/>
          <w:sz w:val="24"/>
          <w:szCs w:val="24"/>
          <w:rtl/>
        </w:rPr>
        <w:t>במקביל, פרסם משרד המשפטים תזכיר חוק ממשלתי באותו נושא</w:t>
      </w:r>
      <w:r w:rsidR="000C6B6B" w:rsidRPr="00D62A21">
        <w:rPr>
          <w:rFonts w:cs="David" w:hint="cs"/>
          <w:sz w:val="24"/>
          <w:szCs w:val="24"/>
          <w:rtl/>
        </w:rPr>
        <w:t xml:space="preserve">. תזכיר החוק בחר לאמץ את מודל סמכות השיפוט, אך במקביל סייג את תחולת הדין הדתי באופן שהוא אינו יכול לפגוע בזכויות מהותיות שהמחוקק הקנה לבעלי דין מסוימים (עקרון השוויון לנשים, הגנה על עובדים והגנה על בעלי מוגבלויות). </w:t>
      </w:r>
    </w:p>
    <w:p w:rsidR="00CF6B55" w:rsidRDefault="00615E5B" w:rsidP="004E2DA6">
      <w:pPr>
        <w:spacing w:after="120" w:line="360" w:lineRule="auto"/>
        <w:jc w:val="both"/>
        <w:rPr>
          <w:rFonts w:cs="David"/>
          <w:sz w:val="24"/>
          <w:szCs w:val="24"/>
          <w:rtl/>
        </w:rPr>
      </w:pPr>
      <w:r w:rsidRPr="00D62A21">
        <w:rPr>
          <w:rFonts w:cs="David" w:hint="cs"/>
          <w:sz w:val="24"/>
          <w:szCs w:val="24"/>
          <w:rtl/>
        </w:rPr>
        <w:t xml:space="preserve">ועדת </w:t>
      </w:r>
      <w:r w:rsidR="00CF6B55" w:rsidRPr="00D62A21">
        <w:rPr>
          <w:rFonts w:cs="David" w:hint="cs"/>
          <w:sz w:val="24"/>
          <w:szCs w:val="24"/>
          <w:rtl/>
        </w:rPr>
        <w:t>ה</w:t>
      </w:r>
      <w:r w:rsidRPr="00D62A21">
        <w:rPr>
          <w:rFonts w:cs="David" w:hint="cs"/>
          <w:sz w:val="24"/>
          <w:szCs w:val="24"/>
          <w:rtl/>
        </w:rPr>
        <w:t xml:space="preserve">שרים לענייני חקיקה </w:t>
      </w:r>
      <w:r w:rsidR="004E2DA6">
        <w:rPr>
          <w:rFonts w:cs="David" w:hint="cs"/>
          <w:sz w:val="24"/>
          <w:szCs w:val="24"/>
          <w:rtl/>
        </w:rPr>
        <w:t xml:space="preserve">החליטה </w:t>
      </w:r>
      <w:r w:rsidRPr="00D62A21">
        <w:rPr>
          <w:rFonts w:cs="David" w:hint="cs"/>
          <w:sz w:val="24"/>
          <w:szCs w:val="24"/>
          <w:rtl/>
        </w:rPr>
        <w:t xml:space="preserve">לתמוך בהצעת החוק הפרטית, </w:t>
      </w:r>
      <w:r w:rsidRPr="002C5517">
        <w:rPr>
          <w:rFonts w:cs="David" w:hint="eastAsia"/>
          <w:b/>
          <w:bCs/>
          <w:sz w:val="24"/>
          <w:szCs w:val="24"/>
          <w:u w:val="single"/>
          <w:rtl/>
        </w:rPr>
        <w:t>בכפוף</w:t>
      </w:r>
      <w:r w:rsidRPr="002C5517">
        <w:rPr>
          <w:rFonts w:cs="David"/>
          <w:b/>
          <w:bCs/>
          <w:sz w:val="24"/>
          <w:szCs w:val="24"/>
          <w:u w:val="single"/>
          <w:rtl/>
        </w:rPr>
        <w:t xml:space="preserve"> </w:t>
      </w:r>
      <w:r w:rsidRPr="002C5517">
        <w:rPr>
          <w:rFonts w:cs="David" w:hint="eastAsia"/>
          <w:b/>
          <w:bCs/>
          <w:sz w:val="24"/>
          <w:szCs w:val="24"/>
          <w:u w:val="single"/>
          <w:rtl/>
        </w:rPr>
        <w:t>לכך</w:t>
      </w:r>
      <w:r w:rsidRPr="002C5517">
        <w:rPr>
          <w:rFonts w:cs="David"/>
          <w:b/>
          <w:bCs/>
          <w:sz w:val="24"/>
          <w:szCs w:val="24"/>
          <w:u w:val="single"/>
          <w:rtl/>
        </w:rPr>
        <w:t xml:space="preserve"> </w:t>
      </w:r>
      <w:r w:rsidRPr="002C5517">
        <w:rPr>
          <w:rFonts w:cs="David" w:hint="eastAsia"/>
          <w:b/>
          <w:bCs/>
          <w:sz w:val="24"/>
          <w:szCs w:val="24"/>
          <w:u w:val="single"/>
          <w:rtl/>
        </w:rPr>
        <w:t>שיאומץ</w:t>
      </w:r>
      <w:r w:rsidRPr="002C5517">
        <w:rPr>
          <w:rFonts w:cs="David"/>
          <w:b/>
          <w:bCs/>
          <w:sz w:val="24"/>
          <w:szCs w:val="24"/>
          <w:u w:val="single"/>
          <w:rtl/>
        </w:rPr>
        <w:t xml:space="preserve"> </w:t>
      </w:r>
      <w:r w:rsidRPr="002C5517">
        <w:rPr>
          <w:rFonts w:cs="David" w:hint="eastAsia"/>
          <w:b/>
          <w:bCs/>
          <w:sz w:val="24"/>
          <w:szCs w:val="24"/>
          <w:u w:val="single"/>
          <w:rtl/>
        </w:rPr>
        <w:t>מודל</w:t>
      </w:r>
      <w:r w:rsidRPr="002C5517">
        <w:rPr>
          <w:rFonts w:cs="David"/>
          <w:b/>
          <w:bCs/>
          <w:sz w:val="24"/>
          <w:szCs w:val="24"/>
          <w:u w:val="single"/>
          <w:rtl/>
        </w:rPr>
        <w:t xml:space="preserve"> </w:t>
      </w:r>
      <w:r w:rsidRPr="002C5517">
        <w:rPr>
          <w:rFonts w:cs="David" w:hint="eastAsia"/>
          <w:b/>
          <w:bCs/>
          <w:sz w:val="24"/>
          <w:szCs w:val="24"/>
          <w:u w:val="single"/>
          <w:rtl/>
        </w:rPr>
        <w:t>הבוררות</w:t>
      </w:r>
      <w:r w:rsidR="00204281" w:rsidRPr="00D62A21">
        <w:rPr>
          <w:rFonts w:cs="David" w:hint="cs"/>
          <w:sz w:val="24"/>
          <w:szCs w:val="24"/>
          <w:rtl/>
        </w:rPr>
        <w:t xml:space="preserve"> ושהצעת החוק תחול רק על בתי הדין הרבניים ולא על בתי הדין הדתיים האחרים.</w:t>
      </w:r>
      <w:r w:rsidR="004E2DA6">
        <w:rPr>
          <w:rFonts w:cs="David" w:hint="cs"/>
          <w:sz w:val="24"/>
          <w:szCs w:val="24"/>
          <w:rtl/>
        </w:rPr>
        <w:t xml:space="preserve"> </w:t>
      </w:r>
      <w:r w:rsidR="00CF6B55" w:rsidRPr="00D62A21">
        <w:rPr>
          <w:rFonts w:cs="David" w:hint="cs"/>
          <w:sz w:val="24"/>
          <w:szCs w:val="24"/>
          <w:rtl/>
        </w:rPr>
        <w:t xml:space="preserve">נוכח החלטת ועדת השרים </w:t>
      </w:r>
      <w:r w:rsidR="004E2DA6">
        <w:rPr>
          <w:rFonts w:cs="David" w:hint="cs"/>
          <w:sz w:val="24"/>
          <w:szCs w:val="24"/>
          <w:rtl/>
        </w:rPr>
        <w:t>כאמור</w:t>
      </w:r>
      <w:r w:rsidR="00CF6B55" w:rsidRPr="00D62A21">
        <w:rPr>
          <w:rFonts w:cs="David" w:hint="cs"/>
          <w:sz w:val="24"/>
          <w:szCs w:val="24"/>
          <w:rtl/>
        </w:rPr>
        <w:t>, ולשם הנוחות, הדיון שלהלן ייערך בנוגע לבתי הדין הרבניים, אך הוא נכון, במידה שווה, גם לבתי הדין הדתיים האחרים.</w:t>
      </w:r>
    </w:p>
    <w:p w:rsidR="009818D2" w:rsidRDefault="009818D2" w:rsidP="004E2DA6">
      <w:pPr>
        <w:spacing w:after="120" w:line="360" w:lineRule="auto"/>
        <w:jc w:val="both"/>
        <w:rPr>
          <w:rFonts w:cs="David"/>
          <w:sz w:val="24"/>
          <w:szCs w:val="24"/>
          <w:rtl/>
        </w:rPr>
      </w:pPr>
    </w:p>
    <w:p w:rsidR="008104B4" w:rsidRPr="00D81C93" w:rsidRDefault="00613C0F" w:rsidP="00D81C93">
      <w:pPr>
        <w:shd w:val="clear" w:color="auto" w:fill="BFBFBF" w:themeFill="background1" w:themeFillShade="BF"/>
        <w:spacing w:after="120" w:line="240" w:lineRule="auto"/>
        <w:jc w:val="center"/>
        <w:rPr>
          <w:rFonts w:cs="David"/>
          <w:b/>
          <w:bCs/>
          <w:sz w:val="28"/>
          <w:szCs w:val="28"/>
          <w:rtl/>
        </w:rPr>
      </w:pPr>
      <w:r w:rsidRPr="00D81C93">
        <w:rPr>
          <w:rFonts w:cs="David" w:hint="cs"/>
          <w:b/>
          <w:bCs/>
          <w:sz w:val="28"/>
          <w:szCs w:val="28"/>
          <w:rtl/>
        </w:rPr>
        <w:t>הענקת סמכות לבית הדין הרבני לדון בעניינים אזרחיים לפי דין תורה</w:t>
      </w:r>
      <w:r w:rsidR="00B453BE" w:rsidRPr="00D81C93">
        <w:rPr>
          <w:rFonts w:cs="David" w:hint="cs"/>
          <w:b/>
          <w:bCs/>
          <w:sz w:val="28"/>
          <w:szCs w:val="28"/>
          <w:rtl/>
        </w:rPr>
        <w:t xml:space="preserve"> </w:t>
      </w:r>
      <w:r w:rsidR="00B453BE" w:rsidRPr="00D81C93">
        <w:rPr>
          <w:rFonts w:cs="David"/>
          <w:b/>
          <w:bCs/>
          <w:sz w:val="28"/>
          <w:szCs w:val="28"/>
          <w:rtl/>
        </w:rPr>
        <w:t>–</w:t>
      </w:r>
      <w:r w:rsidR="00B453BE" w:rsidRPr="00D81C93">
        <w:rPr>
          <w:rFonts w:cs="David" w:hint="cs"/>
          <w:b/>
          <w:bCs/>
          <w:sz w:val="28"/>
          <w:szCs w:val="28"/>
          <w:rtl/>
        </w:rPr>
        <w:t xml:space="preserve"> סוגיות </w:t>
      </w:r>
      <w:r w:rsidR="00AF6326">
        <w:rPr>
          <w:rFonts w:cs="David" w:hint="cs"/>
          <w:b/>
          <w:bCs/>
          <w:sz w:val="28"/>
          <w:szCs w:val="28"/>
          <w:rtl/>
        </w:rPr>
        <w:t xml:space="preserve">עקרוניות </w:t>
      </w:r>
      <w:r w:rsidR="00B453BE" w:rsidRPr="00D81C93">
        <w:rPr>
          <w:rFonts w:cs="David" w:hint="cs"/>
          <w:b/>
          <w:bCs/>
          <w:sz w:val="28"/>
          <w:szCs w:val="28"/>
          <w:rtl/>
        </w:rPr>
        <w:t>לדיון</w:t>
      </w:r>
    </w:p>
    <w:p w:rsidR="008104B4" w:rsidRDefault="001D0930" w:rsidP="00620E8B">
      <w:pPr>
        <w:spacing w:after="120" w:line="360" w:lineRule="auto"/>
        <w:jc w:val="both"/>
        <w:rPr>
          <w:rFonts w:cs="David"/>
          <w:sz w:val="24"/>
          <w:szCs w:val="24"/>
          <w:rtl/>
        </w:rPr>
      </w:pPr>
      <w:r w:rsidRPr="009B6F13">
        <w:rPr>
          <w:rFonts w:cs="David" w:hint="cs"/>
          <w:sz w:val="24"/>
          <w:szCs w:val="24"/>
          <w:rtl/>
        </w:rPr>
        <w:t xml:space="preserve">ההצעה להעניק </w:t>
      </w:r>
      <w:r w:rsidR="0090736F" w:rsidRPr="009B6F13">
        <w:rPr>
          <w:rFonts w:cs="David" w:hint="cs"/>
          <w:sz w:val="24"/>
          <w:szCs w:val="24"/>
          <w:rtl/>
        </w:rPr>
        <w:t xml:space="preserve">לבתי הדין הרבניים </w:t>
      </w:r>
      <w:r w:rsidRPr="009B6F13">
        <w:rPr>
          <w:rFonts w:cs="David" w:hint="cs"/>
          <w:sz w:val="24"/>
          <w:szCs w:val="24"/>
          <w:rtl/>
        </w:rPr>
        <w:t xml:space="preserve">סמכויות </w:t>
      </w:r>
      <w:r w:rsidR="0090736F" w:rsidRPr="009B6F13">
        <w:rPr>
          <w:rFonts w:cs="David" w:hint="cs"/>
          <w:sz w:val="24"/>
          <w:szCs w:val="24"/>
          <w:rtl/>
        </w:rPr>
        <w:t xml:space="preserve">לדון </w:t>
      </w:r>
      <w:r w:rsidR="002D455E" w:rsidRPr="009B6F13">
        <w:rPr>
          <w:rFonts w:cs="David" w:hint="cs"/>
          <w:sz w:val="24"/>
          <w:szCs w:val="24"/>
          <w:rtl/>
        </w:rPr>
        <w:t>בעניינים אזרחיים לפי דין תורה</w:t>
      </w:r>
      <w:r w:rsidR="00CD7C14">
        <w:rPr>
          <w:rFonts w:cs="David" w:hint="cs"/>
          <w:sz w:val="24"/>
          <w:szCs w:val="24"/>
          <w:rtl/>
        </w:rPr>
        <w:t xml:space="preserve"> </w:t>
      </w:r>
      <w:r w:rsidR="00CD7C14" w:rsidRPr="00CD7C14">
        <w:rPr>
          <w:rFonts w:cs="David" w:hint="cs"/>
          <w:sz w:val="24"/>
          <w:szCs w:val="24"/>
          <w:u w:val="single"/>
          <w:rtl/>
        </w:rPr>
        <w:t>במודל הבוררות</w:t>
      </w:r>
      <w:r w:rsidR="002D455E" w:rsidRPr="009B6F13">
        <w:rPr>
          <w:rFonts w:cs="David" w:hint="cs"/>
          <w:sz w:val="24"/>
          <w:szCs w:val="24"/>
          <w:rtl/>
        </w:rPr>
        <w:t xml:space="preserve">, </w:t>
      </w:r>
      <w:r w:rsidR="001B10F7" w:rsidRPr="009B6F13">
        <w:rPr>
          <w:rFonts w:cs="David" w:hint="cs"/>
          <w:sz w:val="24"/>
          <w:szCs w:val="24"/>
          <w:rtl/>
        </w:rPr>
        <w:t xml:space="preserve">ועוד יותר מזה </w:t>
      </w:r>
      <w:r w:rsidR="00620E8B">
        <w:rPr>
          <w:rFonts w:cs="David" w:hint="cs"/>
          <w:sz w:val="24"/>
          <w:szCs w:val="24"/>
          <w:rtl/>
        </w:rPr>
        <w:t xml:space="preserve">ההצעה החלופית שמבקשת </w:t>
      </w:r>
      <w:r w:rsidR="00CD7C14">
        <w:rPr>
          <w:rFonts w:cs="David" w:hint="cs"/>
          <w:sz w:val="24"/>
          <w:szCs w:val="24"/>
          <w:rtl/>
        </w:rPr>
        <w:t xml:space="preserve">להעניק להם סמכות זו לפי </w:t>
      </w:r>
      <w:r w:rsidR="00CD7C14" w:rsidRPr="00CD7C14">
        <w:rPr>
          <w:rFonts w:cs="David" w:hint="cs"/>
          <w:sz w:val="24"/>
          <w:szCs w:val="24"/>
          <w:u w:val="single"/>
          <w:rtl/>
        </w:rPr>
        <w:t>מודל סמכות השיפוט</w:t>
      </w:r>
      <w:r w:rsidR="002D455E" w:rsidRPr="009B6F13">
        <w:rPr>
          <w:rFonts w:cs="David" w:hint="cs"/>
          <w:sz w:val="24"/>
          <w:szCs w:val="24"/>
          <w:rtl/>
        </w:rPr>
        <w:t xml:space="preserve">, </w:t>
      </w:r>
      <w:r w:rsidRPr="009B6F13">
        <w:rPr>
          <w:rFonts w:cs="David" w:hint="cs"/>
          <w:sz w:val="24"/>
          <w:szCs w:val="24"/>
          <w:rtl/>
        </w:rPr>
        <w:t>מעורר</w:t>
      </w:r>
      <w:r w:rsidR="00620E8B">
        <w:rPr>
          <w:rFonts w:cs="David" w:hint="cs"/>
          <w:sz w:val="24"/>
          <w:szCs w:val="24"/>
          <w:rtl/>
        </w:rPr>
        <w:t>ות</w:t>
      </w:r>
      <w:r w:rsidR="00B453BE" w:rsidRPr="009B6F13">
        <w:rPr>
          <w:rFonts w:cs="David" w:hint="cs"/>
          <w:sz w:val="24"/>
          <w:szCs w:val="24"/>
          <w:rtl/>
        </w:rPr>
        <w:t xml:space="preserve"> מספר סוגיות </w:t>
      </w:r>
      <w:r w:rsidR="001B10F7" w:rsidRPr="009B6F13">
        <w:rPr>
          <w:rFonts w:cs="David" w:hint="cs"/>
          <w:sz w:val="24"/>
          <w:szCs w:val="24"/>
          <w:rtl/>
        </w:rPr>
        <w:t xml:space="preserve">עקרוניות </w:t>
      </w:r>
      <w:r w:rsidR="00B453BE" w:rsidRPr="009B6F13">
        <w:rPr>
          <w:rFonts w:cs="David" w:hint="cs"/>
          <w:sz w:val="24"/>
          <w:szCs w:val="24"/>
          <w:rtl/>
        </w:rPr>
        <w:t>לדיון</w:t>
      </w:r>
      <w:r w:rsidR="00620E8B">
        <w:rPr>
          <w:rFonts w:cs="David" w:hint="cs"/>
          <w:sz w:val="24"/>
          <w:szCs w:val="24"/>
          <w:rtl/>
        </w:rPr>
        <w:t>, הן במישור העקרוני והן במישור המעשי</w:t>
      </w:r>
      <w:r w:rsidR="00B453BE" w:rsidRPr="009B6F13">
        <w:rPr>
          <w:rFonts w:cs="David" w:hint="cs"/>
          <w:sz w:val="24"/>
          <w:szCs w:val="24"/>
          <w:rtl/>
        </w:rPr>
        <w:t>:</w:t>
      </w:r>
    </w:p>
    <w:p w:rsidR="00CE2362" w:rsidRPr="009B6F13" w:rsidRDefault="00CE2362" w:rsidP="00AA3947">
      <w:pPr>
        <w:spacing w:after="0" w:line="360" w:lineRule="auto"/>
        <w:jc w:val="both"/>
        <w:rPr>
          <w:rFonts w:cs="David"/>
          <w:sz w:val="24"/>
          <w:szCs w:val="24"/>
          <w:rtl/>
        </w:rPr>
      </w:pPr>
    </w:p>
    <w:p w:rsidR="00CE2362" w:rsidRDefault="00C63E22" w:rsidP="00CE2362">
      <w:pPr>
        <w:spacing w:after="120" w:line="240" w:lineRule="auto"/>
        <w:jc w:val="both"/>
        <w:rPr>
          <w:rFonts w:cs="David"/>
          <w:sz w:val="24"/>
          <w:szCs w:val="24"/>
          <w:rtl/>
        </w:rPr>
      </w:pPr>
      <w:r w:rsidRPr="009B6F13">
        <w:rPr>
          <w:rFonts w:cs="David" w:hint="cs"/>
          <w:b/>
          <w:bCs/>
          <w:sz w:val="24"/>
          <w:szCs w:val="24"/>
          <w:rtl/>
        </w:rPr>
        <w:t xml:space="preserve">(1) </w:t>
      </w:r>
      <w:r w:rsidR="001D0D27" w:rsidRPr="009B6F13">
        <w:rPr>
          <w:rFonts w:cs="David" w:hint="cs"/>
          <w:b/>
          <w:bCs/>
          <w:sz w:val="24"/>
          <w:szCs w:val="24"/>
          <w:rtl/>
        </w:rPr>
        <w:t xml:space="preserve">האם המדינה צריכה לספק </w:t>
      </w:r>
      <w:r w:rsidR="00934AFD">
        <w:rPr>
          <w:rFonts w:cs="David" w:hint="cs"/>
          <w:b/>
          <w:bCs/>
          <w:sz w:val="24"/>
          <w:szCs w:val="24"/>
          <w:rtl/>
        </w:rPr>
        <w:t xml:space="preserve">ולממן </w:t>
      </w:r>
      <w:r w:rsidR="001D0D27" w:rsidRPr="009B6F13">
        <w:rPr>
          <w:rFonts w:cs="David" w:hint="cs"/>
          <w:b/>
          <w:bCs/>
          <w:sz w:val="24"/>
          <w:szCs w:val="24"/>
          <w:rtl/>
        </w:rPr>
        <w:t xml:space="preserve">מנגנונים שיאפשרו </w:t>
      </w:r>
      <w:r w:rsidR="00AF2983" w:rsidRPr="009B6F13">
        <w:rPr>
          <w:rFonts w:cs="David" w:hint="cs"/>
          <w:b/>
          <w:bCs/>
          <w:sz w:val="24"/>
          <w:szCs w:val="24"/>
          <w:rtl/>
        </w:rPr>
        <w:t>"פלורליזם משפטי"</w:t>
      </w:r>
      <w:r w:rsidR="001D0D27" w:rsidRPr="009B6F13">
        <w:rPr>
          <w:rFonts w:cs="David" w:hint="cs"/>
          <w:b/>
          <w:bCs/>
          <w:sz w:val="24"/>
          <w:szCs w:val="24"/>
          <w:rtl/>
        </w:rPr>
        <w:t>?</w:t>
      </w:r>
      <w:r w:rsidR="00613C0F" w:rsidRPr="009B6F13">
        <w:rPr>
          <w:rFonts w:cs="David" w:hint="cs"/>
          <w:sz w:val="24"/>
          <w:szCs w:val="24"/>
          <w:rtl/>
        </w:rPr>
        <w:t xml:space="preserve"> </w:t>
      </w:r>
    </w:p>
    <w:p w:rsidR="00CF5415" w:rsidRPr="009B6F13" w:rsidRDefault="00AF2983" w:rsidP="00CE2362">
      <w:pPr>
        <w:spacing w:after="120" w:line="360" w:lineRule="auto"/>
        <w:jc w:val="both"/>
        <w:rPr>
          <w:rFonts w:cs="David"/>
          <w:sz w:val="24"/>
          <w:szCs w:val="24"/>
          <w:rtl/>
        </w:rPr>
      </w:pPr>
      <w:r w:rsidRPr="009B6F13">
        <w:rPr>
          <w:rFonts w:cs="David" w:hint="cs"/>
          <w:sz w:val="24"/>
          <w:szCs w:val="24"/>
          <w:rtl/>
        </w:rPr>
        <w:t xml:space="preserve">בדברי ההסבר להצעת החוק </w:t>
      </w:r>
      <w:r w:rsidR="00DA28F0">
        <w:rPr>
          <w:rFonts w:cs="David" w:hint="cs"/>
          <w:sz w:val="24"/>
          <w:szCs w:val="24"/>
          <w:rtl/>
        </w:rPr>
        <w:t xml:space="preserve">הפרטית </w:t>
      </w:r>
      <w:r w:rsidRPr="009B6F13">
        <w:rPr>
          <w:rFonts w:cs="David" w:hint="cs"/>
          <w:sz w:val="24"/>
          <w:szCs w:val="24"/>
          <w:rtl/>
        </w:rPr>
        <w:t xml:space="preserve">נטען, כי קיים צורך של קבוצות רבות בקרב הציבור היהודי בישראל ליישב סכסוכים אך ורק בבתי דין הפוסקים על פי דין תורה, צורך שמשתלב בעקרון "הפלורליזם המשפטי", </w:t>
      </w:r>
      <w:r w:rsidR="00CB0B5C" w:rsidRPr="009B6F13">
        <w:rPr>
          <w:rFonts w:cs="David" w:hint="cs"/>
          <w:sz w:val="24"/>
          <w:szCs w:val="24"/>
          <w:rtl/>
        </w:rPr>
        <w:t xml:space="preserve">ולפיכך </w:t>
      </w:r>
      <w:r w:rsidRPr="009B6F13">
        <w:rPr>
          <w:rFonts w:cs="David" w:hint="cs"/>
          <w:sz w:val="24"/>
          <w:szCs w:val="24"/>
          <w:rtl/>
        </w:rPr>
        <w:t xml:space="preserve">מן הראוי כי המדינה תעמיד לרשות ציבורים אלה את הכלים ליישוב סכסוכים בדרך המשפטית המקובלת עליהם. </w:t>
      </w:r>
    </w:p>
    <w:p w:rsidR="00275E16" w:rsidRDefault="00822FC2" w:rsidP="002A2A12">
      <w:pPr>
        <w:spacing w:after="120" w:line="360" w:lineRule="auto"/>
        <w:jc w:val="both"/>
        <w:rPr>
          <w:rFonts w:cs="David"/>
          <w:sz w:val="24"/>
          <w:szCs w:val="24"/>
          <w:rtl/>
        </w:rPr>
      </w:pPr>
      <w:r w:rsidRPr="009B6F13">
        <w:rPr>
          <w:rFonts w:cs="David" w:hint="cs"/>
          <w:sz w:val="24"/>
          <w:szCs w:val="24"/>
          <w:rtl/>
        </w:rPr>
        <w:lastRenderedPageBreak/>
        <w:t xml:space="preserve">התפיסה </w:t>
      </w:r>
      <w:r w:rsidR="001347E3" w:rsidRPr="009B6F13">
        <w:rPr>
          <w:rFonts w:cs="David" w:hint="cs"/>
          <w:sz w:val="24"/>
          <w:szCs w:val="24"/>
          <w:rtl/>
        </w:rPr>
        <w:t>העומדת ביסוד דברי ההסבר</w:t>
      </w:r>
      <w:r w:rsidR="00DA28F0">
        <w:rPr>
          <w:rFonts w:cs="David" w:hint="cs"/>
          <w:sz w:val="24"/>
          <w:szCs w:val="24"/>
          <w:rtl/>
        </w:rPr>
        <w:t xml:space="preserve"> מעוררת שאלות לא פשוטות, שהרי </w:t>
      </w:r>
      <w:r w:rsidR="00286D60" w:rsidRPr="009B6F13">
        <w:rPr>
          <w:rFonts w:cs="David" w:hint="cs"/>
          <w:sz w:val="24"/>
          <w:szCs w:val="24"/>
          <w:rtl/>
        </w:rPr>
        <w:t xml:space="preserve">גם </w:t>
      </w:r>
      <w:r w:rsidR="00BB79A4" w:rsidRPr="009B6F13">
        <w:rPr>
          <w:rFonts w:cs="David" w:hint="cs"/>
          <w:sz w:val="24"/>
          <w:szCs w:val="24"/>
          <w:rtl/>
        </w:rPr>
        <w:t>לפי המצב המשפטי הנוכחי,</w:t>
      </w:r>
      <w:r w:rsidR="00286D60" w:rsidRPr="009B6F13">
        <w:rPr>
          <w:rFonts w:cs="David" w:hint="cs"/>
          <w:sz w:val="24"/>
          <w:szCs w:val="24"/>
          <w:rtl/>
        </w:rPr>
        <w:t xml:space="preserve"> אין מניעה לכל מי שרוצה להתדיין בפני בתי דין </w:t>
      </w:r>
      <w:r w:rsidR="00D76FEC" w:rsidRPr="009B6F13">
        <w:rPr>
          <w:rFonts w:cs="David" w:hint="cs"/>
          <w:sz w:val="24"/>
          <w:szCs w:val="24"/>
          <w:rtl/>
        </w:rPr>
        <w:t xml:space="preserve">פרטיים </w:t>
      </w:r>
      <w:r w:rsidR="00286D60" w:rsidRPr="009B6F13">
        <w:rPr>
          <w:rFonts w:cs="David" w:hint="cs"/>
          <w:sz w:val="24"/>
          <w:szCs w:val="24"/>
          <w:rtl/>
        </w:rPr>
        <w:t>שפוסקים לפי דין תורה</w:t>
      </w:r>
      <w:r w:rsidR="00BB79A4" w:rsidRPr="009B6F13">
        <w:rPr>
          <w:rFonts w:cs="David" w:hint="cs"/>
          <w:sz w:val="24"/>
          <w:szCs w:val="24"/>
          <w:rtl/>
        </w:rPr>
        <w:t>,</w:t>
      </w:r>
      <w:r w:rsidR="00286D60" w:rsidRPr="009B6F13">
        <w:rPr>
          <w:rFonts w:cs="David" w:hint="cs"/>
          <w:sz w:val="24"/>
          <w:szCs w:val="24"/>
          <w:rtl/>
        </w:rPr>
        <w:t xml:space="preserve"> </w:t>
      </w:r>
      <w:r w:rsidR="00DA28F0">
        <w:rPr>
          <w:rFonts w:cs="David" w:hint="cs"/>
          <w:sz w:val="24"/>
          <w:szCs w:val="24"/>
          <w:rtl/>
        </w:rPr>
        <w:t>לפנות לבתי דין אלה</w:t>
      </w:r>
      <w:r w:rsidR="00286D60" w:rsidRPr="009B6F13">
        <w:rPr>
          <w:rFonts w:cs="David" w:hint="cs"/>
          <w:sz w:val="24"/>
          <w:szCs w:val="24"/>
          <w:rtl/>
        </w:rPr>
        <w:t xml:space="preserve">. יתירה מזאת, ככל שצדדים </w:t>
      </w:r>
      <w:r w:rsidR="00D76FEC" w:rsidRPr="009B6F13">
        <w:rPr>
          <w:rFonts w:cs="David" w:hint="cs"/>
          <w:sz w:val="24"/>
          <w:szCs w:val="24"/>
          <w:rtl/>
        </w:rPr>
        <w:t>מסמ</w:t>
      </w:r>
      <w:r w:rsidR="00DA28F0">
        <w:rPr>
          <w:rFonts w:cs="David" w:hint="cs"/>
          <w:sz w:val="24"/>
          <w:szCs w:val="24"/>
          <w:rtl/>
        </w:rPr>
        <w:t>י</w:t>
      </w:r>
      <w:r w:rsidR="00D76FEC" w:rsidRPr="009B6F13">
        <w:rPr>
          <w:rFonts w:cs="David" w:hint="cs"/>
          <w:sz w:val="24"/>
          <w:szCs w:val="24"/>
          <w:rtl/>
        </w:rPr>
        <w:t xml:space="preserve">כים </w:t>
      </w:r>
      <w:r w:rsidR="0032535A" w:rsidRPr="009B6F13">
        <w:rPr>
          <w:rFonts w:cs="David" w:hint="cs"/>
          <w:sz w:val="24"/>
          <w:szCs w:val="24"/>
          <w:rtl/>
        </w:rPr>
        <w:t>את בית הדין הפרטי כבורר לפי חוק הבוררות</w:t>
      </w:r>
      <w:r w:rsidR="00286D60" w:rsidRPr="009B6F13">
        <w:rPr>
          <w:rFonts w:cs="David" w:hint="cs"/>
          <w:sz w:val="24"/>
          <w:szCs w:val="24"/>
          <w:rtl/>
        </w:rPr>
        <w:t xml:space="preserve">, ניתן להביא את </w:t>
      </w:r>
      <w:r w:rsidR="0032535A" w:rsidRPr="009B6F13">
        <w:rPr>
          <w:rFonts w:cs="David" w:hint="cs"/>
          <w:sz w:val="24"/>
          <w:szCs w:val="24"/>
          <w:rtl/>
        </w:rPr>
        <w:t xml:space="preserve">פסק הבוררות </w:t>
      </w:r>
      <w:r w:rsidR="00286D60" w:rsidRPr="009B6F13">
        <w:rPr>
          <w:rFonts w:cs="David" w:hint="cs"/>
          <w:sz w:val="24"/>
          <w:szCs w:val="24"/>
          <w:rtl/>
        </w:rPr>
        <w:t xml:space="preserve">של </w:t>
      </w:r>
      <w:r w:rsidR="00CB0B5C" w:rsidRPr="009B6F13">
        <w:rPr>
          <w:rFonts w:cs="David" w:hint="cs"/>
          <w:sz w:val="24"/>
          <w:szCs w:val="24"/>
          <w:rtl/>
        </w:rPr>
        <w:t xml:space="preserve">אותו בית דין פרטי </w:t>
      </w:r>
      <w:r w:rsidR="00286D60" w:rsidRPr="009B6F13">
        <w:rPr>
          <w:rFonts w:cs="David" w:hint="cs"/>
          <w:sz w:val="24"/>
          <w:szCs w:val="24"/>
          <w:rtl/>
        </w:rPr>
        <w:t>לאישור</w:t>
      </w:r>
      <w:r w:rsidR="0032535A" w:rsidRPr="009B6F13">
        <w:rPr>
          <w:rFonts w:cs="David" w:hint="cs"/>
          <w:sz w:val="24"/>
          <w:szCs w:val="24"/>
          <w:rtl/>
        </w:rPr>
        <w:t>ו</w:t>
      </w:r>
      <w:r w:rsidR="00286D60" w:rsidRPr="009B6F13">
        <w:rPr>
          <w:rFonts w:cs="David" w:hint="cs"/>
          <w:sz w:val="24"/>
          <w:szCs w:val="24"/>
          <w:rtl/>
        </w:rPr>
        <w:t xml:space="preserve"> בית המשפט המחוזי, ובכך פסק הבוררות </w:t>
      </w:r>
      <w:r w:rsidR="0032535A" w:rsidRPr="009B6F13">
        <w:rPr>
          <w:rFonts w:cs="David" w:hint="cs"/>
          <w:sz w:val="24"/>
          <w:szCs w:val="24"/>
          <w:rtl/>
        </w:rPr>
        <w:t>מ</w:t>
      </w:r>
      <w:r w:rsidR="00286D60" w:rsidRPr="009B6F13">
        <w:rPr>
          <w:rFonts w:cs="David" w:hint="cs"/>
          <w:sz w:val="24"/>
          <w:szCs w:val="24"/>
          <w:rtl/>
        </w:rPr>
        <w:t>קבל תוקף כאילו היה פסק דין</w:t>
      </w:r>
      <w:r w:rsidR="0032535A" w:rsidRPr="009B6F13">
        <w:rPr>
          <w:rFonts w:cs="David" w:hint="cs"/>
          <w:sz w:val="24"/>
          <w:szCs w:val="24"/>
          <w:rtl/>
        </w:rPr>
        <w:t xml:space="preserve"> ו</w:t>
      </w:r>
      <w:r w:rsidR="00286D60" w:rsidRPr="009B6F13">
        <w:rPr>
          <w:rFonts w:cs="David" w:hint="cs"/>
          <w:sz w:val="24"/>
          <w:szCs w:val="24"/>
          <w:rtl/>
        </w:rPr>
        <w:t xml:space="preserve">ניתן לממשו בהוצאה לפועל. </w:t>
      </w:r>
      <w:r w:rsidR="00275E16">
        <w:rPr>
          <w:rFonts w:cs="David" w:hint="cs"/>
          <w:sz w:val="24"/>
          <w:szCs w:val="24"/>
          <w:rtl/>
        </w:rPr>
        <w:t xml:space="preserve">במובן הזה, כבר מתקיים </w:t>
      </w:r>
      <w:r w:rsidR="002A2A12">
        <w:rPr>
          <w:rFonts w:cs="David" w:hint="cs"/>
          <w:sz w:val="24"/>
          <w:szCs w:val="24"/>
          <w:rtl/>
        </w:rPr>
        <w:t xml:space="preserve">במדינת ישראל </w:t>
      </w:r>
      <w:r w:rsidR="00275E16">
        <w:rPr>
          <w:rFonts w:cs="David" w:hint="cs"/>
          <w:sz w:val="24"/>
          <w:szCs w:val="24"/>
          <w:rtl/>
        </w:rPr>
        <w:t xml:space="preserve">"פלורליזם משפטי" </w:t>
      </w:r>
      <w:r w:rsidR="002A2A12">
        <w:rPr>
          <w:rFonts w:cs="David" w:hint="cs"/>
          <w:sz w:val="24"/>
          <w:szCs w:val="24"/>
          <w:rtl/>
        </w:rPr>
        <w:t xml:space="preserve">אף בלא חקיקת ההסדר המוצע </w:t>
      </w:r>
      <w:r w:rsidR="00275E16">
        <w:rPr>
          <w:rFonts w:cs="David" w:hint="cs"/>
          <w:sz w:val="24"/>
          <w:szCs w:val="24"/>
          <w:rtl/>
        </w:rPr>
        <w:t>בהצעת החוק.</w:t>
      </w:r>
    </w:p>
    <w:p w:rsidR="004E3189" w:rsidRDefault="00CB0B5C" w:rsidP="002C5517">
      <w:pPr>
        <w:spacing w:after="120" w:line="360" w:lineRule="auto"/>
        <w:jc w:val="both"/>
        <w:rPr>
          <w:rFonts w:cs="David"/>
          <w:sz w:val="24"/>
          <w:szCs w:val="24"/>
          <w:rtl/>
        </w:rPr>
      </w:pPr>
      <w:r w:rsidRPr="009B6F13">
        <w:rPr>
          <w:rFonts w:cs="David" w:hint="cs"/>
          <w:sz w:val="24"/>
          <w:szCs w:val="24"/>
          <w:rtl/>
        </w:rPr>
        <w:t>משכך,</w:t>
      </w:r>
      <w:r w:rsidR="00051014" w:rsidRPr="009B6F13">
        <w:rPr>
          <w:rFonts w:cs="David" w:hint="cs"/>
          <w:sz w:val="24"/>
          <w:szCs w:val="24"/>
          <w:rtl/>
        </w:rPr>
        <w:t xml:space="preserve"> נראה</w:t>
      </w:r>
      <w:r w:rsidRPr="009B6F13">
        <w:rPr>
          <w:rFonts w:cs="David" w:hint="cs"/>
          <w:sz w:val="24"/>
          <w:szCs w:val="24"/>
          <w:rtl/>
        </w:rPr>
        <w:t xml:space="preserve"> </w:t>
      </w:r>
      <w:r w:rsidR="00051014" w:rsidRPr="009B6F13">
        <w:rPr>
          <w:rFonts w:cs="David" w:hint="cs"/>
          <w:sz w:val="24"/>
          <w:szCs w:val="24"/>
          <w:rtl/>
        </w:rPr>
        <w:t xml:space="preserve">כי </w:t>
      </w:r>
      <w:r w:rsidRPr="009B6F13">
        <w:rPr>
          <w:rFonts w:cs="David" w:hint="cs"/>
          <w:sz w:val="24"/>
          <w:szCs w:val="24"/>
          <w:u w:val="single"/>
          <w:rtl/>
        </w:rPr>
        <w:t xml:space="preserve">השאלה איננה האם </w:t>
      </w:r>
      <w:r w:rsidR="00115DA1" w:rsidRPr="009B6F13">
        <w:rPr>
          <w:rFonts w:cs="David" w:hint="cs"/>
          <w:sz w:val="24"/>
          <w:szCs w:val="24"/>
          <w:u w:val="single"/>
          <w:rtl/>
        </w:rPr>
        <w:t xml:space="preserve">המדינה צריכה </w:t>
      </w:r>
      <w:r w:rsidRPr="009B6F13">
        <w:rPr>
          <w:rFonts w:cs="David" w:hint="cs"/>
          <w:b/>
          <w:bCs/>
          <w:sz w:val="24"/>
          <w:szCs w:val="24"/>
          <w:u w:val="single"/>
          <w:rtl/>
        </w:rPr>
        <w:t>לאפשר</w:t>
      </w:r>
      <w:r w:rsidRPr="009B6F13">
        <w:rPr>
          <w:rFonts w:cs="David" w:hint="cs"/>
          <w:sz w:val="24"/>
          <w:szCs w:val="24"/>
          <w:u w:val="single"/>
          <w:rtl/>
        </w:rPr>
        <w:t xml:space="preserve"> לקבוצות שמעוניינות להתדיין לפי דין תורה לעשות זאת </w:t>
      </w:r>
      <w:r w:rsidR="00051014" w:rsidRPr="009B6F13">
        <w:rPr>
          <w:rFonts w:cs="David" w:hint="cs"/>
          <w:sz w:val="24"/>
          <w:szCs w:val="24"/>
          <w:u w:val="single"/>
          <w:rtl/>
        </w:rPr>
        <w:t>(</w:t>
      </w:r>
      <w:r w:rsidR="00D76FEC" w:rsidRPr="009B6F13">
        <w:rPr>
          <w:rFonts w:cs="David" w:hint="cs"/>
          <w:sz w:val="24"/>
          <w:szCs w:val="24"/>
          <w:u w:val="single"/>
          <w:rtl/>
        </w:rPr>
        <w:t xml:space="preserve">שכן </w:t>
      </w:r>
      <w:r w:rsidR="00051014" w:rsidRPr="009B6F13">
        <w:rPr>
          <w:rFonts w:cs="David" w:hint="cs"/>
          <w:sz w:val="24"/>
          <w:szCs w:val="24"/>
          <w:u w:val="single"/>
          <w:rtl/>
        </w:rPr>
        <w:t xml:space="preserve">המדינה מאפשרת זאת </w:t>
      </w:r>
      <w:r w:rsidR="00D76FEC" w:rsidRPr="009B6F13">
        <w:rPr>
          <w:rFonts w:cs="David" w:hint="cs"/>
          <w:sz w:val="24"/>
          <w:szCs w:val="24"/>
          <w:u w:val="single"/>
          <w:rtl/>
        </w:rPr>
        <w:t>כבר כיום</w:t>
      </w:r>
      <w:r w:rsidR="00051014" w:rsidRPr="009B6F13">
        <w:rPr>
          <w:rFonts w:cs="David" w:hint="cs"/>
          <w:sz w:val="24"/>
          <w:szCs w:val="24"/>
          <w:u w:val="single"/>
          <w:rtl/>
        </w:rPr>
        <w:t>)</w:t>
      </w:r>
      <w:r w:rsidR="00BE2544" w:rsidRPr="009B6F13">
        <w:rPr>
          <w:rFonts w:cs="David" w:hint="cs"/>
          <w:sz w:val="24"/>
          <w:szCs w:val="24"/>
          <w:u w:val="single"/>
          <w:rtl/>
        </w:rPr>
        <w:t>,</w:t>
      </w:r>
      <w:r w:rsidR="00D76FEC" w:rsidRPr="009B6F13">
        <w:rPr>
          <w:rFonts w:cs="David" w:hint="cs"/>
          <w:sz w:val="24"/>
          <w:szCs w:val="24"/>
          <w:u w:val="single"/>
          <w:rtl/>
        </w:rPr>
        <w:t xml:space="preserve"> </w:t>
      </w:r>
      <w:r w:rsidRPr="009B6F13">
        <w:rPr>
          <w:rFonts w:cs="David" w:hint="cs"/>
          <w:sz w:val="24"/>
          <w:szCs w:val="24"/>
          <w:u w:val="single"/>
          <w:rtl/>
        </w:rPr>
        <w:t xml:space="preserve">אלא </w:t>
      </w:r>
      <w:r w:rsidR="00D76FEC" w:rsidRPr="009B6F13">
        <w:rPr>
          <w:rFonts w:cs="David" w:hint="cs"/>
          <w:sz w:val="24"/>
          <w:szCs w:val="24"/>
          <w:u w:val="single"/>
          <w:rtl/>
        </w:rPr>
        <w:t xml:space="preserve">השאלה היא </w:t>
      </w:r>
      <w:r w:rsidRPr="009B6F13">
        <w:rPr>
          <w:rFonts w:cs="David" w:hint="cs"/>
          <w:sz w:val="24"/>
          <w:szCs w:val="24"/>
          <w:u w:val="single"/>
          <w:rtl/>
        </w:rPr>
        <w:t xml:space="preserve">האם המדינה צריכה </w:t>
      </w:r>
      <w:r w:rsidRPr="009B6F13">
        <w:rPr>
          <w:rFonts w:cs="David" w:hint="cs"/>
          <w:b/>
          <w:bCs/>
          <w:sz w:val="24"/>
          <w:szCs w:val="24"/>
          <w:u w:val="single"/>
          <w:rtl/>
        </w:rPr>
        <w:t>לספק</w:t>
      </w:r>
      <w:r w:rsidR="00A407F1" w:rsidRPr="009B6F13">
        <w:rPr>
          <w:rFonts w:cs="David" w:hint="cs"/>
          <w:sz w:val="24"/>
          <w:szCs w:val="24"/>
          <w:u w:val="single"/>
          <w:rtl/>
        </w:rPr>
        <w:t xml:space="preserve"> לאותן הקבוצות </w:t>
      </w:r>
      <w:r w:rsidRPr="009B6F13">
        <w:rPr>
          <w:rFonts w:cs="David" w:hint="cs"/>
          <w:sz w:val="24"/>
          <w:szCs w:val="24"/>
          <w:u w:val="single"/>
          <w:rtl/>
        </w:rPr>
        <w:t>מנגנוני יישוב סכסוכים שאינם פועלים לפי דין המדינה</w:t>
      </w:r>
      <w:r w:rsidR="00A407F1" w:rsidRPr="009B6F13">
        <w:rPr>
          <w:rFonts w:cs="David" w:hint="cs"/>
          <w:sz w:val="24"/>
          <w:szCs w:val="24"/>
          <w:u w:val="single"/>
          <w:rtl/>
        </w:rPr>
        <w:t xml:space="preserve">, </w:t>
      </w:r>
      <w:r w:rsidR="00A407F1" w:rsidRPr="002C5517">
        <w:rPr>
          <w:rFonts w:cs="David" w:hint="eastAsia"/>
          <w:b/>
          <w:bCs/>
          <w:sz w:val="24"/>
          <w:szCs w:val="24"/>
          <w:u w:val="single"/>
          <w:rtl/>
        </w:rPr>
        <w:t>ולתקצב</w:t>
      </w:r>
      <w:r w:rsidR="00A407F1" w:rsidRPr="002C5517">
        <w:rPr>
          <w:rFonts w:cs="David"/>
          <w:b/>
          <w:bCs/>
          <w:sz w:val="24"/>
          <w:szCs w:val="24"/>
          <w:u w:val="single"/>
          <w:rtl/>
        </w:rPr>
        <w:t xml:space="preserve"> </w:t>
      </w:r>
      <w:r w:rsidR="00A407F1" w:rsidRPr="002C5517">
        <w:rPr>
          <w:rFonts w:cs="David" w:hint="eastAsia"/>
          <w:b/>
          <w:bCs/>
          <w:sz w:val="24"/>
          <w:szCs w:val="24"/>
          <w:u w:val="single"/>
          <w:rtl/>
        </w:rPr>
        <w:t>אותם</w:t>
      </w:r>
      <w:r w:rsidR="00A407F1" w:rsidRPr="002C5517">
        <w:rPr>
          <w:rFonts w:cs="David"/>
          <w:b/>
          <w:bCs/>
          <w:sz w:val="24"/>
          <w:szCs w:val="24"/>
          <w:u w:val="single"/>
          <w:rtl/>
        </w:rPr>
        <w:t xml:space="preserve"> </w:t>
      </w:r>
      <w:r w:rsidR="00A407F1" w:rsidRPr="002C5517">
        <w:rPr>
          <w:rFonts w:cs="David" w:hint="eastAsia"/>
          <w:b/>
          <w:bCs/>
          <w:sz w:val="24"/>
          <w:szCs w:val="24"/>
          <w:u w:val="single"/>
          <w:rtl/>
        </w:rPr>
        <w:t>מהקופה</w:t>
      </w:r>
      <w:r w:rsidR="00A407F1" w:rsidRPr="002C5517">
        <w:rPr>
          <w:rFonts w:cs="David"/>
          <w:b/>
          <w:bCs/>
          <w:sz w:val="24"/>
          <w:szCs w:val="24"/>
          <w:u w:val="single"/>
          <w:rtl/>
        </w:rPr>
        <w:t xml:space="preserve"> </w:t>
      </w:r>
      <w:r w:rsidR="00A407F1" w:rsidRPr="002C5517">
        <w:rPr>
          <w:rFonts w:cs="David" w:hint="eastAsia"/>
          <w:b/>
          <w:bCs/>
          <w:sz w:val="24"/>
          <w:szCs w:val="24"/>
          <w:u w:val="single"/>
          <w:rtl/>
        </w:rPr>
        <w:t>הציבורית</w:t>
      </w:r>
      <w:r w:rsidR="0041610F" w:rsidRPr="009B6F13">
        <w:rPr>
          <w:rFonts w:cs="David" w:hint="cs"/>
          <w:sz w:val="24"/>
          <w:szCs w:val="24"/>
          <w:u w:val="single"/>
          <w:rtl/>
        </w:rPr>
        <w:t>?</w:t>
      </w:r>
      <w:r w:rsidR="008464FB">
        <w:rPr>
          <w:rFonts w:cs="David" w:hint="cs"/>
          <w:sz w:val="24"/>
          <w:szCs w:val="24"/>
          <w:u w:val="single"/>
          <w:rtl/>
        </w:rPr>
        <w:t xml:space="preserve"> </w:t>
      </w:r>
      <w:r w:rsidR="0005120E">
        <w:rPr>
          <w:rFonts w:cs="David" w:hint="cs"/>
          <w:sz w:val="24"/>
          <w:szCs w:val="24"/>
          <w:u w:val="single"/>
          <w:rtl/>
        </w:rPr>
        <w:t xml:space="preserve">אכן, מצד אחד, יש בכך כדי לתת ביטוי חזק עוד יותר לעקרונות של </w:t>
      </w:r>
      <w:r w:rsidR="0092317C">
        <w:rPr>
          <w:rFonts w:cs="David" w:hint="cs"/>
          <w:sz w:val="24"/>
          <w:szCs w:val="24"/>
          <w:u w:val="single"/>
          <w:rtl/>
        </w:rPr>
        <w:t>"</w:t>
      </w:r>
      <w:r w:rsidR="0005120E">
        <w:rPr>
          <w:rFonts w:cs="David" w:hint="cs"/>
          <w:sz w:val="24"/>
          <w:szCs w:val="24"/>
          <w:u w:val="single"/>
          <w:rtl/>
        </w:rPr>
        <w:t>פלורליזם משפטי</w:t>
      </w:r>
      <w:r w:rsidR="0092317C">
        <w:rPr>
          <w:rFonts w:cs="David" w:hint="cs"/>
          <w:sz w:val="24"/>
          <w:szCs w:val="24"/>
          <w:u w:val="single"/>
          <w:rtl/>
        </w:rPr>
        <w:t>"</w:t>
      </w:r>
      <w:r w:rsidR="0005120E">
        <w:rPr>
          <w:rFonts w:cs="David" w:hint="cs"/>
          <w:sz w:val="24"/>
          <w:szCs w:val="24"/>
          <w:u w:val="single"/>
          <w:rtl/>
        </w:rPr>
        <w:t xml:space="preserve">, ואולם מצד שני, המחיר הוא בכך שהמדינה פועלת להחלשת </w:t>
      </w:r>
      <w:r w:rsidR="004E3189">
        <w:rPr>
          <w:rFonts w:cs="David" w:hint="cs"/>
          <w:sz w:val="24"/>
          <w:szCs w:val="24"/>
          <w:u w:val="single"/>
          <w:rtl/>
        </w:rPr>
        <w:t>האחידות וההרמוניה של המערכת המשפטית של</w:t>
      </w:r>
      <w:r w:rsidR="0005120E">
        <w:rPr>
          <w:rFonts w:cs="David" w:hint="cs"/>
          <w:sz w:val="24"/>
          <w:szCs w:val="24"/>
          <w:u w:val="single"/>
          <w:rtl/>
        </w:rPr>
        <w:t>ה</w:t>
      </w:r>
      <w:r w:rsidR="004E3189">
        <w:rPr>
          <w:rFonts w:cs="David" w:hint="cs"/>
          <w:sz w:val="24"/>
          <w:szCs w:val="24"/>
          <w:u w:val="single"/>
          <w:rtl/>
        </w:rPr>
        <w:t xml:space="preserve"> </w:t>
      </w:r>
      <w:r w:rsidR="0005120E">
        <w:rPr>
          <w:rFonts w:cs="David" w:hint="cs"/>
          <w:sz w:val="24"/>
          <w:szCs w:val="24"/>
          <w:u w:val="single"/>
          <w:rtl/>
        </w:rPr>
        <w:t>עצמה</w:t>
      </w:r>
      <w:r w:rsidR="009B7A61">
        <w:rPr>
          <w:rFonts w:cs="David" w:hint="cs"/>
          <w:sz w:val="24"/>
          <w:szCs w:val="24"/>
          <w:u w:val="single"/>
          <w:rtl/>
        </w:rPr>
        <w:t>.</w:t>
      </w:r>
      <w:r w:rsidR="007D324F" w:rsidRPr="004E3189">
        <w:rPr>
          <w:rFonts w:cs="David" w:hint="cs"/>
          <w:sz w:val="24"/>
          <w:szCs w:val="24"/>
          <w:rtl/>
        </w:rPr>
        <w:t xml:space="preserve"> </w:t>
      </w:r>
    </w:p>
    <w:p w:rsidR="004E3189" w:rsidRDefault="00A05BC1" w:rsidP="001A098E">
      <w:pPr>
        <w:spacing w:after="120" w:line="360" w:lineRule="auto"/>
        <w:jc w:val="both"/>
        <w:rPr>
          <w:rFonts w:cs="David"/>
          <w:sz w:val="24"/>
          <w:szCs w:val="24"/>
          <w:rtl/>
        </w:rPr>
      </w:pPr>
      <w:r>
        <w:rPr>
          <w:rFonts w:cs="David" w:hint="cs"/>
          <w:sz w:val="24"/>
          <w:szCs w:val="24"/>
          <w:rtl/>
        </w:rPr>
        <w:t xml:space="preserve">שאלה זו מקבלת </w:t>
      </w:r>
      <w:r w:rsidRPr="009B6F13">
        <w:rPr>
          <w:rFonts w:cs="David" w:hint="cs"/>
          <w:sz w:val="24"/>
          <w:szCs w:val="24"/>
          <w:rtl/>
        </w:rPr>
        <w:t>משנה תוקף</w:t>
      </w:r>
      <w:r w:rsidR="004E3189">
        <w:rPr>
          <w:rFonts w:cs="David" w:hint="cs"/>
          <w:sz w:val="24"/>
          <w:szCs w:val="24"/>
          <w:rtl/>
        </w:rPr>
        <w:t xml:space="preserve"> אם מאמצים את מודל סמכות השיפוט</w:t>
      </w:r>
      <w:r w:rsidR="008464FB">
        <w:rPr>
          <w:rFonts w:cs="David" w:hint="cs"/>
          <w:sz w:val="24"/>
          <w:szCs w:val="24"/>
          <w:rtl/>
        </w:rPr>
        <w:t>,</w:t>
      </w:r>
      <w:r w:rsidR="004E3189">
        <w:rPr>
          <w:rFonts w:cs="David" w:hint="cs"/>
          <w:sz w:val="24"/>
          <w:szCs w:val="24"/>
          <w:rtl/>
        </w:rPr>
        <w:t xml:space="preserve"> שכן בעוד שבמודל הבוררות ההליך מוכל בתוך מודל משפטי שקיים לפי דין המדינה (בוררות), אימוץ של מודל סמכות השיפוט יוצר </w:t>
      </w:r>
      <w:r w:rsidR="004E3189" w:rsidRPr="006946E4">
        <w:rPr>
          <w:rFonts w:cs="David" w:hint="eastAsia"/>
          <w:b/>
          <w:bCs/>
          <w:sz w:val="24"/>
          <w:szCs w:val="24"/>
          <w:rtl/>
        </w:rPr>
        <w:t>מערכת</w:t>
      </w:r>
      <w:r w:rsidR="004E3189" w:rsidRPr="006946E4">
        <w:rPr>
          <w:rFonts w:cs="David"/>
          <w:b/>
          <w:bCs/>
          <w:sz w:val="24"/>
          <w:szCs w:val="24"/>
          <w:rtl/>
        </w:rPr>
        <w:t xml:space="preserve"> </w:t>
      </w:r>
      <w:r w:rsidR="004E3189" w:rsidRPr="006946E4">
        <w:rPr>
          <w:rFonts w:cs="David" w:hint="eastAsia"/>
          <w:b/>
          <w:bCs/>
          <w:sz w:val="24"/>
          <w:szCs w:val="24"/>
          <w:rtl/>
        </w:rPr>
        <w:t>שיפוטית</w:t>
      </w:r>
      <w:r w:rsidR="004E3189" w:rsidRPr="006946E4">
        <w:rPr>
          <w:rFonts w:cs="David"/>
          <w:b/>
          <w:bCs/>
          <w:sz w:val="24"/>
          <w:szCs w:val="24"/>
          <w:rtl/>
        </w:rPr>
        <w:t xml:space="preserve"> </w:t>
      </w:r>
      <w:r w:rsidR="004E3189" w:rsidRPr="006946E4">
        <w:rPr>
          <w:rFonts w:cs="David" w:hint="eastAsia"/>
          <w:b/>
          <w:bCs/>
          <w:sz w:val="24"/>
          <w:szCs w:val="24"/>
          <w:rtl/>
        </w:rPr>
        <w:t>אלטרנטיבית</w:t>
      </w:r>
      <w:r w:rsidR="004E3189">
        <w:rPr>
          <w:rFonts w:cs="David" w:hint="cs"/>
          <w:sz w:val="24"/>
          <w:szCs w:val="24"/>
          <w:rtl/>
        </w:rPr>
        <w:t xml:space="preserve"> שמחלישה את האחידות וההרמוניה של דין המדינה.</w:t>
      </w:r>
    </w:p>
    <w:p w:rsidR="00CE2362" w:rsidRDefault="00CE2362" w:rsidP="00AA3947">
      <w:pPr>
        <w:spacing w:after="0" w:line="360" w:lineRule="auto"/>
        <w:jc w:val="both"/>
        <w:rPr>
          <w:rFonts w:cs="David"/>
          <w:sz w:val="24"/>
          <w:szCs w:val="24"/>
          <w:rtl/>
        </w:rPr>
      </w:pPr>
    </w:p>
    <w:p w:rsidR="00CE2362" w:rsidRDefault="004E3189" w:rsidP="009B7A61">
      <w:pPr>
        <w:spacing w:after="120" w:line="240" w:lineRule="auto"/>
        <w:jc w:val="both"/>
        <w:rPr>
          <w:rFonts w:cs="David"/>
          <w:sz w:val="24"/>
          <w:szCs w:val="24"/>
          <w:rtl/>
        </w:rPr>
      </w:pPr>
      <w:r w:rsidRPr="004E3189">
        <w:rPr>
          <w:rFonts w:cs="David" w:hint="cs"/>
          <w:b/>
          <w:bCs/>
          <w:sz w:val="24"/>
          <w:szCs w:val="24"/>
          <w:rtl/>
        </w:rPr>
        <w:t xml:space="preserve">(2) </w:t>
      </w:r>
      <w:r w:rsidR="00E20B82">
        <w:rPr>
          <w:rFonts w:cs="David" w:hint="cs"/>
          <w:b/>
          <w:bCs/>
          <w:sz w:val="24"/>
          <w:szCs w:val="24"/>
          <w:rtl/>
        </w:rPr>
        <w:t>א</w:t>
      </w:r>
      <w:r w:rsidR="009B7A61">
        <w:rPr>
          <w:rFonts w:cs="David" w:hint="cs"/>
          <w:b/>
          <w:bCs/>
          <w:sz w:val="24"/>
          <w:szCs w:val="24"/>
          <w:rtl/>
        </w:rPr>
        <w:t>י</w:t>
      </w:r>
      <w:r w:rsidR="00E20B82">
        <w:rPr>
          <w:rFonts w:cs="David" w:hint="cs"/>
          <w:b/>
          <w:bCs/>
          <w:sz w:val="24"/>
          <w:szCs w:val="24"/>
          <w:rtl/>
        </w:rPr>
        <w:t>לו קבוצות זכאיות ל</w:t>
      </w:r>
      <w:r w:rsidR="00B73A40">
        <w:rPr>
          <w:rFonts w:cs="David" w:hint="cs"/>
          <w:b/>
          <w:bCs/>
          <w:sz w:val="24"/>
          <w:szCs w:val="24"/>
          <w:rtl/>
        </w:rPr>
        <w:t xml:space="preserve">מנגנונים </w:t>
      </w:r>
      <w:r w:rsidRPr="004E3189">
        <w:rPr>
          <w:rFonts w:cs="David" w:hint="cs"/>
          <w:b/>
          <w:bCs/>
          <w:sz w:val="24"/>
          <w:szCs w:val="24"/>
          <w:rtl/>
        </w:rPr>
        <w:t>אלטרנטיבי</w:t>
      </w:r>
      <w:r w:rsidR="00B73A40">
        <w:rPr>
          <w:rFonts w:cs="David" w:hint="cs"/>
          <w:b/>
          <w:bCs/>
          <w:sz w:val="24"/>
          <w:szCs w:val="24"/>
          <w:rtl/>
        </w:rPr>
        <w:t>ים</w:t>
      </w:r>
      <w:r w:rsidRPr="004E3189">
        <w:rPr>
          <w:rFonts w:cs="David" w:hint="cs"/>
          <w:b/>
          <w:bCs/>
          <w:sz w:val="24"/>
          <w:szCs w:val="24"/>
          <w:rtl/>
        </w:rPr>
        <w:t xml:space="preserve"> ליישוב </w:t>
      </w:r>
      <w:r w:rsidRPr="001A098E">
        <w:rPr>
          <w:rFonts w:cs="David" w:hint="cs"/>
          <w:b/>
          <w:bCs/>
          <w:sz w:val="24"/>
          <w:szCs w:val="24"/>
          <w:rtl/>
        </w:rPr>
        <w:t>סכסוכים</w:t>
      </w:r>
      <w:r w:rsidRPr="006946E4">
        <w:rPr>
          <w:rFonts w:cs="David"/>
          <w:b/>
          <w:bCs/>
          <w:sz w:val="24"/>
          <w:szCs w:val="24"/>
          <w:rtl/>
        </w:rPr>
        <w:t xml:space="preserve"> </w:t>
      </w:r>
      <w:r w:rsidR="00E20B82" w:rsidRPr="006946E4">
        <w:rPr>
          <w:rFonts w:cs="David" w:hint="eastAsia"/>
          <w:b/>
          <w:bCs/>
          <w:sz w:val="24"/>
          <w:szCs w:val="24"/>
          <w:rtl/>
        </w:rPr>
        <w:t>במימון</w:t>
      </w:r>
      <w:r w:rsidR="00E20B82" w:rsidRPr="006946E4">
        <w:rPr>
          <w:rFonts w:cs="David"/>
          <w:b/>
          <w:bCs/>
          <w:sz w:val="24"/>
          <w:szCs w:val="24"/>
          <w:rtl/>
        </w:rPr>
        <w:t xml:space="preserve"> </w:t>
      </w:r>
      <w:r w:rsidR="00E20B82" w:rsidRPr="006946E4">
        <w:rPr>
          <w:rFonts w:cs="David" w:hint="eastAsia"/>
          <w:b/>
          <w:bCs/>
          <w:sz w:val="24"/>
          <w:szCs w:val="24"/>
          <w:rtl/>
        </w:rPr>
        <w:t>המדינה</w:t>
      </w:r>
      <w:r w:rsidR="009B7A61">
        <w:rPr>
          <w:rFonts w:cs="David" w:hint="cs"/>
          <w:b/>
          <w:bCs/>
          <w:sz w:val="24"/>
          <w:szCs w:val="24"/>
          <w:rtl/>
        </w:rPr>
        <w:t>?</w:t>
      </w:r>
      <w:r w:rsidR="00E20B82">
        <w:rPr>
          <w:rFonts w:cs="David" w:hint="cs"/>
          <w:sz w:val="24"/>
          <w:szCs w:val="24"/>
          <w:rtl/>
        </w:rPr>
        <w:t xml:space="preserve"> </w:t>
      </w:r>
    </w:p>
    <w:p w:rsidR="00626E8D" w:rsidRDefault="004C370F" w:rsidP="00CE2362">
      <w:pPr>
        <w:spacing w:after="120" w:line="360" w:lineRule="auto"/>
        <w:jc w:val="both"/>
        <w:rPr>
          <w:rFonts w:cs="David"/>
          <w:sz w:val="24"/>
          <w:szCs w:val="24"/>
          <w:rtl/>
        </w:rPr>
      </w:pPr>
      <w:r w:rsidRPr="009B6F13">
        <w:rPr>
          <w:rFonts w:cs="David" w:hint="cs"/>
          <w:sz w:val="24"/>
          <w:szCs w:val="24"/>
          <w:rtl/>
        </w:rPr>
        <w:t>גם אם התשוב</w:t>
      </w:r>
      <w:r w:rsidR="00115DA1" w:rsidRPr="009B6F13">
        <w:rPr>
          <w:rFonts w:cs="David" w:hint="cs"/>
          <w:sz w:val="24"/>
          <w:szCs w:val="24"/>
          <w:rtl/>
        </w:rPr>
        <w:t>ה</w:t>
      </w:r>
      <w:r w:rsidRPr="009B6F13">
        <w:rPr>
          <w:rFonts w:cs="David" w:hint="cs"/>
          <w:sz w:val="24"/>
          <w:szCs w:val="24"/>
          <w:rtl/>
        </w:rPr>
        <w:t xml:space="preserve"> </w:t>
      </w:r>
      <w:r w:rsidR="00115DA1" w:rsidRPr="009B6F13">
        <w:rPr>
          <w:rFonts w:cs="David" w:hint="cs"/>
          <w:sz w:val="24"/>
          <w:szCs w:val="24"/>
          <w:rtl/>
        </w:rPr>
        <w:t xml:space="preserve">לשאלות </w:t>
      </w:r>
      <w:r w:rsidR="004E3189">
        <w:rPr>
          <w:rFonts w:cs="David" w:hint="cs"/>
          <w:sz w:val="24"/>
          <w:szCs w:val="24"/>
          <w:rtl/>
        </w:rPr>
        <w:t xml:space="preserve">שנשאלו בסעיף הקודם </w:t>
      </w:r>
      <w:r w:rsidRPr="009B6F13">
        <w:rPr>
          <w:rFonts w:cs="David" w:hint="cs"/>
          <w:sz w:val="24"/>
          <w:szCs w:val="24"/>
          <w:rtl/>
        </w:rPr>
        <w:t>תהיה חיובית</w:t>
      </w:r>
      <w:r w:rsidR="00115DA1" w:rsidRPr="009B6F13">
        <w:rPr>
          <w:rFonts w:cs="David" w:hint="cs"/>
          <w:sz w:val="24"/>
          <w:szCs w:val="24"/>
          <w:rtl/>
        </w:rPr>
        <w:t>,</w:t>
      </w:r>
      <w:r w:rsidRPr="009B6F13">
        <w:rPr>
          <w:rFonts w:cs="David" w:hint="cs"/>
          <w:sz w:val="24"/>
          <w:szCs w:val="24"/>
          <w:rtl/>
        </w:rPr>
        <w:t xml:space="preserve"> </w:t>
      </w:r>
      <w:r w:rsidR="004E3189">
        <w:rPr>
          <w:rFonts w:cs="David" w:hint="cs"/>
          <w:sz w:val="24"/>
          <w:szCs w:val="24"/>
          <w:rtl/>
        </w:rPr>
        <w:t xml:space="preserve">מתעוררת </w:t>
      </w:r>
      <w:r w:rsidRPr="009B6F13">
        <w:rPr>
          <w:rFonts w:cs="David" w:hint="cs"/>
          <w:sz w:val="24"/>
          <w:szCs w:val="24"/>
          <w:rtl/>
        </w:rPr>
        <w:t xml:space="preserve">השאלה </w:t>
      </w:r>
      <w:r w:rsidR="00F526A8" w:rsidRPr="009B6F13">
        <w:rPr>
          <w:rFonts w:cs="David" w:hint="cs"/>
          <w:sz w:val="24"/>
          <w:szCs w:val="24"/>
          <w:u w:val="single"/>
          <w:rtl/>
        </w:rPr>
        <w:t>מהם הקריטריונים לכך? אלו קבוצות תהיינה זכאי</w:t>
      </w:r>
      <w:r w:rsidRPr="009B6F13">
        <w:rPr>
          <w:rFonts w:cs="David" w:hint="cs"/>
          <w:sz w:val="24"/>
          <w:szCs w:val="24"/>
          <w:u w:val="single"/>
          <w:rtl/>
        </w:rPr>
        <w:t>ו</w:t>
      </w:r>
      <w:r w:rsidR="00F526A8" w:rsidRPr="009B6F13">
        <w:rPr>
          <w:rFonts w:cs="David" w:hint="cs"/>
          <w:sz w:val="24"/>
          <w:szCs w:val="24"/>
          <w:u w:val="single"/>
          <w:rtl/>
        </w:rPr>
        <w:t>ת לכך שהמדינה תעמיד לרשותם</w:t>
      </w:r>
      <w:r w:rsidRPr="009B6F13">
        <w:rPr>
          <w:rFonts w:cs="David" w:hint="cs"/>
          <w:sz w:val="24"/>
          <w:szCs w:val="24"/>
          <w:u w:val="single"/>
          <w:rtl/>
        </w:rPr>
        <w:t>, במימון הקופה הציבורית,</w:t>
      </w:r>
      <w:r w:rsidR="00F526A8" w:rsidRPr="009B6F13">
        <w:rPr>
          <w:rFonts w:cs="David" w:hint="cs"/>
          <w:sz w:val="24"/>
          <w:szCs w:val="24"/>
          <w:u w:val="single"/>
          <w:rtl/>
        </w:rPr>
        <w:t xml:space="preserve"> מערכות </w:t>
      </w:r>
      <w:r w:rsidRPr="009B6F13">
        <w:rPr>
          <w:rFonts w:cs="David" w:hint="cs"/>
          <w:sz w:val="24"/>
          <w:szCs w:val="24"/>
          <w:u w:val="single"/>
          <w:rtl/>
        </w:rPr>
        <w:t>אלטרנטיביות ליישוב סכסוכים</w:t>
      </w:r>
      <w:r w:rsidR="00F526A8" w:rsidRPr="009B6F13">
        <w:rPr>
          <w:rFonts w:cs="David" w:hint="cs"/>
          <w:sz w:val="24"/>
          <w:szCs w:val="24"/>
          <w:u w:val="single"/>
          <w:rtl/>
        </w:rPr>
        <w:t>?</w:t>
      </w:r>
      <w:r w:rsidR="00F526A8" w:rsidRPr="009B6F13">
        <w:rPr>
          <w:rFonts w:cs="David" w:hint="cs"/>
          <w:sz w:val="24"/>
          <w:szCs w:val="24"/>
          <w:rtl/>
        </w:rPr>
        <w:t xml:space="preserve"> </w:t>
      </w:r>
      <w:r w:rsidR="004E3189">
        <w:rPr>
          <w:rFonts w:cs="David" w:hint="cs"/>
          <w:sz w:val="24"/>
          <w:szCs w:val="24"/>
          <w:rtl/>
        </w:rPr>
        <w:t xml:space="preserve">כפי שצוין לעיל, החלטת ועדת השרים היתה לצמצם את תחולת הצעת החוק רק לבתי הדין הרבניים. </w:t>
      </w:r>
      <w:r w:rsidR="00115DA1" w:rsidRPr="006946E4">
        <w:rPr>
          <w:rFonts w:cs="David" w:hint="eastAsia"/>
          <w:b/>
          <w:bCs/>
          <w:sz w:val="24"/>
          <w:szCs w:val="24"/>
          <w:rtl/>
        </w:rPr>
        <w:t>ואולם</w:t>
      </w:r>
      <w:r w:rsidR="00115DA1" w:rsidRPr="006946E4">
        <w:rPr>
          <w:rFonts w:cs="David"/>
          <w:b/>
          <w:bCs/>
          <w:sz w:val="24"/>
          <w:szCs w:val="24"/>
          <w:rtl/>
        </w:rPr>
        <w:t xml:space="preserve">, </w:t>
      </w:r>
      <w:r w:rsidR="00F550DC" w:rsidRPr="006946E4">
        <w:rPr>
          <w:rFonts w:cs="David" w:hint="eastAsia"/>
          <w:b/>
          <w:bCs/>
          <w:sz w:val="24"/>
          <w:szCs w:val="24"/>
          <w:rtl/>
        </w:rPr>
        <w:t>לא</w:t>
      </w:r>
      <w:r w:rsidR="00F550DC" w:rsidRPr="006946E4">
        <w:rPr>
          <w:rFonts w:cs="David"/>
          <w:b/>
          <w:bCs/>
          <w:sz w:val="24"/>
          <w:szCs w:val="24"/>
          <w:rtl/>
        </w:rPr>
        <w:t xml:space="preserve"> ברור </w:t>
      </w:r>
      <w:r w:rsidR="004E3189" w:rsidRPr="006946E4">
        <w:rPr>
          <w:rFonts w:cs="David" w:hint="eastAsia"/>
          <w:b/>
          <w:bCs/>
          <w:sz w:val="24"/>
          <w:szCs w:val="24"/>
          <w:rtl/>
        </w:rPr>
        <w:t>מדוע</w:t>
      </w:r>
      <w:r w:rsidR="004E3189" w:rsidRPr="006946E4">
        <w:rPr>
          <w:rFonts w:cs="David"/>
          <w:b/>
          <w:bCs/>
          <w:sz w:val="24"/>
          <w:szCs w:val="24"/>
          <w:rtl/>
        </w:rPr>
        <w:t xml:space="preserve"> שהמדינה תספק ותממן </w:t>
      </w:r>
      <w:r w:rsidR="00626E8D" w:rsidRPr="006946E4">
        <w:rPr>
          <w:rFonts w:cs="David" w:hint="eastAsia"/>
          <w:b/>
          <w:bCs/>
          <w:sz w:val="24"/>
          <w:szCs w:val="24"/>
          <w:rtl/>
        </w:rPr>
        <w:t>מנגנונים</w:t>
      </w:r>
      <w:r w:rsidR="00626E8D" w:rsidRPr="006946E4">
        <w:rPr>
          <w:rFonts w:cs="David"/>
          <w:b/>
          <w:bCs/>
          <w:sz w:val="24"/>
          <w:szCs w:val="24"/>
          <w:rtl/>
        </w:rPr>
        <w:t xml:space="preserve"> </w:t>
      </w:r>
      <w:r w:rsidR="00F66DE0" w:rsidRPr="006946E4">
        <w:rPr>
          <w:rFonts w:cs="David" w:hint="eastAsia"/>
          <w:b/>
          <w:bCs/>
          <w:sz w:val="24"/>
          <w:szCs w:val="24"/>
          <w:rtl/>
        </w:rPr>
        <w:t>אלטרנטיבי</w:t>
      </w:r>
      <w:r w:rsidR="00626E8D" w:rsidRPr="006946E4">
        <w:rPr>
          <w:rFonts w:cs="David" w:hint="eastAsia"/>
          <w:b/>
          <w:bCs/>
          <w:sz w:val="24"/>
          <w:szCs w:val="24"/>
          <w:rtl/>
        </w:rPr>
        <w:t>ים</w:t>
      </w:r>
      <w:r w:rsidR="00F66DE0" w:rsidRPr="006946E4">
        <w:rPr>
          <w:rFonts w:cs="David"/>
          <w:b/>
          <w:bCs/>
          <w:sz w:val="24"/>
          <w:szCs w:val="24"/>
          <w:rtl/>
        </w:rPr>
        <w:t xml:space="preserve"> ליישוב סכסוכים </w:t>
      </w:r>
      <w:r w:rsidR="00F550DC" w:rsidRPr="006946E4">
        <w:rPr>
          <w:rFonts w:cs="David" w:hint="eastAsia"/>
          <w:b/>
          <w:bCs/>
          <w:sz w:val="24"/>
          <w:szCs w:val="24"/>
          <w:rtl/>
        </w:rPr>
        <w:t>רק</w:t>
      </w:r>
      <w:r w:rsidR="00F550DC" w:rsidRPr="006946E4">
        <w:rPr>
          <w:rFonts w:cs="David"/>
          <w:b/>
          <w:bCs/>
          <w:sz w:val="24"/>
          <w:szCs w:val="24"/>
          <w:rtl/>
        </w:rPr>
        <w:t xml:space="preserve"> ליהודים ולא </w:t>
      </w:r>
      <w:r w:rsidR="004E3189" w:rsidRPr="006946E4">
        <w:rPr>
          <w:rFonts w:cs="David" w:hint="eastAsia"/>
          <w:b/>
          <w:bCs/>
          <w:sz w:val="24"/>
          <w:szCs w:val="24"/>
          <w:rtl/>
        </w:rPr>
        <w:t>לקבוצות</w:t>
      </w:r>
      <w:r w:rsidR="004E3189" w:rsidRPr="006946E4">
        <w:rPr>
          <w:rFonts w:cs="David"/>
          <w:b/>
          <w:bCs/>
          <w:sz w:val="24"/>
          <w:szCs w:val="24"/>
          <w:rtl/>
        </w:rPr>
        <w:t xml:space="preserve"> </w:t>
      </w:r>
      <w:r w:rsidR="004E3189" w:rsidRPr="006946E4">
        <w:rPr>
          <w:rFonts w:cs="David" w:hint="eastAsia"/>
          <w:b/>
          <w:bCs/>
          <w:sz w:val="24"/>
          <w:szCs w:val="24"/>
          <w:rtl/>
        </w:rPr>
        <w:t>דתיות</w:t>
      </w:r>
      <w:r w:rsidR="004E3189" w:rsidRPr="006946E4">
        <w:rPr>
          <w:rFonts w:cs="David"/>
          <w:b/>
          <w:bCs/>
          <w:sz w:val="24"/>
          <w:szCs w:val="24"/>
          <w:rtl/>
        </w:rPr>
        <w:t xml:space="preserve"> </w:t>
      </w:r>
      <w:r w:rsidR="004E3189" w:rsidRPr="006946E4">
        <w:rPr>
          <w:rFonts w:cs="David" w:hint="eastAsia"/>
          <w:b/>
          <w:bCs/>
          <w:sz w:val="24"/>
          <w:szCs w:val="24"/>
          <w:rtl/>
        </w:rPr>
        <w:t>אחרות</w:t>
      </w:r>
      <w:r w:rsidR="004E3189" w:rsidRPr="006946E4">
        <w:rPr>
          <w:rFonts w:cs="David"/>
          <w:b/>
          <w:bCs/>
          <w:sz w:val="24"/>
          <w:szCs w:val="24"/>
          <w:rtl/>
        </w:rPr>
        <w:t xml:space="preserve"> </w:t>
      </w:r>
      <w:r w:rsidR="004E3189" w:rsidRPr="006946E4">
        <w:rPr>
          <w:rFonts w:cs="David" w:hint="eastAsia"/>
          <w:b/>
          <w:bCs/>
          <w:sz w:val="24"/>
          <w:szCs w:val="24"/>
          <w:rtl/>
        </w:rPr>
        <w:t>שמעמדן</w:t>
      </w:r>
      <w:r w:rsidR="004E3189" w:rsidRPr="006946E4">
        <w:rPr>
          <w:rFonts w:cs="David"/>
          <w:b/>
          <w:bCs/>
          <w:sz w:val="24"/>
          <w:szCs w:val="24"/>
          <w:rtl/>
        </w:rPr>
        <w:t xml:space="preserve"> </w:t>
      </w:r>
      <w:r w:rsidR="004E3189" w:rsidRPr="006946E4">
        <w:rPr>
          <w:rFonts w:cs="David" w:hint="eastAsia"/>
          <w:b/>
          <w:bCs/>
          <w:sz w:val="24"/>
          <w:szCs w:val="24"/>
          <w:rtl/>
        </w:rPr>
        <w:t>מוכר</w:t>
      </w:r>
      <w:r w:rsidR="004E3189" w:rsidRPr="006946E4">
        <w:rPr>
          <w:rFonts w:cs="David"/>
          <w:b/>
          <w:bCs/>
          <w:sz w:val="24"/>
          <w:szCs w:val="24"/>
          <w:rtl/>
        </w:rPr>
        <w:t xml:space="preserve"> </w:t>
      </w:r>
      <w:r w:rsidR="004E3189" w:rsidRPr="006946E4">
        <w:rPr>
          <w:rFonts w:cs="David" w:hint="eastAsia"/>
          <w:b/>
          <w:bCs/>
          <w:sz w:val="24"/>
          <w:szCs w:val="24"/>
          <w:rtl/>
        </w:rPr>
        <w:t>על</w:t>
      </w:r>
      <w:r w:rsidR="004E3189" w:rsidRPr="006946E4">
        <w:rPr>
          <w:rFonts w:cs="David"/>
          <w:b/>
          <w:bCs/>
          <w:sz w:val="24"/>
          <w:szCs w:val="24"/>
          <w:rtl/>
        </w:rPr>
        <w:t xml:space="preserve"> </w:t>
      </w:r>
      <w:r w:rsidR="004E3189" w:rsidRPr="006946E4">
        <w:rPr>
          <w:rFonts w:cs="David" w:hint="eastAsia"/>
          <w:b/>
          <w:bCs/>
          <w:sz w:val="24"/>
          <w:szCs w:val="24"/>
          <w:rtl/>
        </w:rPr>
        <w:t>ידי</w:t>
      </w:r>
      <w:r w:rsidR="004E3189" w:rsidRPr="006946E4">
        <w:rPr>
          <w:rFonts w:cs="David"/>
          <w:b/>
          <w:bCs/>
          <w:sz w:val="24"/>
          <w:szCs w:val="24"/>
          <w:rtl/>
        </w:rPr>
        <w:t xml:space="preserve"> </w:t>
      </w:r>
      <w:r w:rsidR="004E3189" w:rsidRPr="006946E4">
        <w:rPr>
          <w:rFonts w:cs="David" w:hint="eastAsia"/>
          <w:b/>
          <w:bCs/>
          <w:sz w:val="24"/>
          <w:szCs w:val="24"/>
          <w:rtl/>
        </w:rPr>
        <w:t>המדינה</w:t>
      </w:r>
      <w:r w:rsidR="00F550DC" w:rsidRPr="006946E4">
        <w:rPr>
          <w:rFonts w:cs="David"/>
          <w:b/>
          <w:bCs/>
          <w:sz w:val="24"/>
          <w:szCs w:val="24"/>
          <w:rtl/>
        </w:rPr>
        <w:t xml:space="preserve">, </w:t>
      </w:r>
      <w:r w:rsidR="00F550DC" w:rsidRPr="006946E4">
        <w:rPr>
          <w:rFonts w:cs="David" w:hint="eastAsia"/>
          <w:b/>
          <w:bCs/>
          <w:sz w:val="24"/>
          <w:szCs w:val="24"/>
          <w:rtl/>
        </w:rPr>
        <w:t>כמו</w:t>
      </w:r>
      <w:r w:rsidR="00F550DC" w:rsidRPr="006946E4">
        <w:rPr>
          <w:rFonts w:cs="David"/>
          <w:b/>
          <w:bCs/>
          <w:sz w:val="24"/>
          <w:szCs w:val="24"/>
          <w:rtl/>
        </w:rPr>
        <w:t xml:space="preserve"> </w:t>
      </w:r>
      <w:r w:rsidR="00F550DC" w:rsidRPr="006946E4">
        <w:rPr>
          <w:rFonts w:cs="David" w:hint="eastAsia"/>
          <w:b/>
          <w:bCs/>
          <w:sz w:val="24"/>
          <w:szCs w:val="24"/>
          <w:rtl/>
        </w:rPr>
        <w:t>מוסלמים</w:t>
      </w:r>
      <w:r w:rsidR="00F550DC" w:rsidRPr="006946E4">
        <w:rPr>
          <w:rFonts w:cs="David"/>
          <w:b/>
          <w:bCs/>
          <w:sz w:val="24"/>
          <w:szCs w:val="24"/>
          <w:rtl/>
        </w:rPr>
        <w:t xml:space="preserve">, </w:t>
      </w:r>
      <w:r w:rsidR="00F550DC" w:rsidRPr="006946E4">
        <w:rPr>
          <w:rFonts w:cs="David" w:hint="eastAsia"/>
          <w:b/>
          <w:bCs/>
          <w:sz w:val="24"/>
          <w:szCs w:val="24"/>
          <w:rtl/>
        </w:rPr>
        <w:t>דרוזים</w:t>
      </w:r>
      <w:r w:rsidR="00F550DC" w:rsidRPr="006946E4">
        <w:rPr>
          <w:rFonts w:cs="David"/>
          <w:b/>
          <w:bCs/>
          <w:sz w:val="24"/>
          <w:szCs w:val="24"/>
          <w:rtl/>
        </w:rPr>
        <w:t xml:space="preserve"> </w:t>
      </w:r>
      <w:r w:rsidR="00F550DC" w:rsidRPr="006946E4">
        <w:rPr>
          <w:rFonts w:cs="David" w:hint="eastAsia"/>
          <w:b/>
          <w:bCs/>
          <w:sz w:val="24"/>
          <w:szCs w:val="24"/>
          <w:rtl/>
        </w:rPr>
        <w:t>ונוצרים</w:t>
      </w:r>
      <w:r w:rsidR="004E3189" w:rsidRPr="006946E4">
        <w:rPr>
          <w:rFonts w:cs="David"/>
          <w:b/>
          <w:bCs/>
          <w:sz w:val="24"/>
          <w:szCs w:val="24"/>
          <w:rtl/>
        </w:rPr>
        <w:t>?</w:t>
      </w:r>
      <w:r w:rsidR="00626E8D">
        <w:rPr>
          <w:rFonts w:cs="David" w:hint="cs"/>
          <w:sz w:val="24"/>
          <w:szCs w:val="24"/>
          <w:rtl/>
        </w:rPr>
        <w:t xml:space="preserve"> </w:t>
      </w:r>
    </w:p>
    <w:p w:rsidR="00CE2362" w:rsidRDefault="00CE2362" w:rsidP="00AA3947">
      <w:pPr>
        <w:spacing w:after="0" w:line="360" w:lineRule="auto"/>
        <w:jc w:val="both"/>
        <w:rPr>
          <w:rFonts w:cs="David"/>
          <w:sz w:val="24"/>
          <w:szCs w:val="24"/>
          <w:rtl/>
        </w:rPr>
      </w:pPr>
    </w:p>
    <w:p w:rsidR="00CE2362" w:rsidRDefault="00C63E22" w:rsidP="00CE2362">
      <w:pPr>
        <w:spacing w:after="120" w:line="240" w:lineRule="auto"/>
        <w:jc w:val="both"/>
        <w:rPr>
          <w:rFonts w:cs="David"/>
          <w:sz w:val="24"/>
          <w:szCs w:val="24"/>
          <w:rtl/>
        </w:rPr>
      </w:pPr>
      <w:r w:rsidRPr="009B6F13">
        <w:rPr>
          <w:rFonts w:cs="David" w:hint="cs"/>
          <w:b/>
          <w:bCs/>
          <w:sz w:val="24"/>
          <w:szCs w:val="24"/>
          <w:rtl/>
        </w:rPr>
        <w:t>(</w:t>
      </w:r>
      <w:r w:rsidR="0038773B">
        <w:rPr>
          <w:rFonts w:cs="David" w:hint="cs"/>
          <w:b/>
          <w:bCs/>
          <w:sz w:val="24"/>
          <w:szCs w:val="24"/>
          <w:rtl/>
        </w:rPr>
        <w:t>3</w:t>
      </w:r>
      <w:r w:rsidRPr="009B6F13">
        <w:rPr>
          <w:rFonts w:cs="David" w:hint="cs"/>
          <w:b/>
          <w:bCs/>
          <w:sz w:val="24"/>
          <w:szCs w:val="24"/>
          <w:rtl/>
        </w:rPr>
        <w:t xml:space="preserve">) </w:t>
      </w:r>
      <w:r w:rsidR="00554E97">
        <w:rPr>
          <w:rFonts w:cs="David" w:hint="cs"/>
          <w:b/>
          <w:bCs/>
          <w:sz w:val="24"/>
          <w:szCs w:val="24"/>
          <w:rtl/>
        </w:rPr>
        <w:t>המתח שבין עקרונות ליברליים ובין הדין הדתי</w:t>
      </w:r>
      <w:r w:rsidR="001B10F7" w:rsidRPr="009B6F13">
        <w:rPr>
          <w:rFonts w:cs="David" w:hint="cs"/>
          <w:sz w:val="24"/>
          <w:szCs w:val="24"/>
          <w:rtl/>
        </w:rPr>
        <w:t xml:space="preserve"> </w:t>
      </w:r>
    </w:p>
    <w:p w:rsidR="00B0698F" w:rsidRDefault="00D45C8A" w:rsidP="00CE2362">
      <w:pPr>
        <w:spacing w:after="120" w:line="360" w:lineRule="auto"/>
        <w:jc w:val="both"/>
        <w:rPr>
          <w:rFonts w:cs="David"/>
          <w:sz w:val="24"/>
          <w:szCs w:val="24"/>
          <w:rtl/>
        </w:rPr>
      </w:pPr>
      <w:r>
        <w:rPr>
          <w:rFonts w:cs="David" w:hint="cs"/>
          <w:sz w:val="24"/>
          <w:szCs w:val="24"/>
          <w:rtl/>
        </w:rPr>
        <w:t xml:space="preserve">שאלה נוספת העולה במקרה זה היא המתח </w:t>
      </w:r>
      <w:r w:rsidR="00B0698F" w:rsidRPr="009B6F13">
        <w:rPr>
          <w:rFonts w:cs="David" w:hint="cs"/>
          <w:sz w:val="24"/>
          <w:szCs w:val="24"/>
          <w:rtl/>
        </w:rPr>
        <w:t xml:space="preserve">שיכול להיווצר בין </w:t>
      </w:r>
      <w:r w:rsidR="00EC0CBD" w:rsidRPr="009B6F13">
        <w:rPr>
          <w:rFonts w:cs="David" w:hint="cs"/>
          <w:sz w:val="24"/>
          <w:szCs w:val="24"/>
          <w:rtl/>
        </w:rPr>
        <w:t>התפיסה הפלורליסטית</w:t>
      </w:r>
      <w:r w:rsidR="00B0698F" w:rsidRPr="009B6F13">
        <w:rPr>
          <w:rFonts w:cs="David" w:hint="cs"/>
          <w:sz w:val="24"/>
          <w:szCs w:val="24"/>
          <w:rtl/>
        </w:rPr>
        <w:t>,</w:t>
      </w:r>
      <w:r w:rsidR="00EC0CBD" w:rsidRPr="009B6F13">
        <w:rPr>
          <w:rFonts w:cs="David" w:hint="cs"/>
          <w:sz w:val="24"/>
          <w:szCs w:val="24"/>
          <w:rtl/>
        </w:rPr>
        <w:t xml:space="preserve"> </w:t>
      </w:r>
      <w:r w:rsidR="00B0698F" w:rsidRPr="009B6F13">
        <w:rPr>
          <w:rFonts w:cs="David" w:hint="cs"/>
          <w:sz w:val="24"/>
          <w:szCs w:val="24"/>
          <w:rtl/>
        </w:rPr>
        <w:t>שמבקשת להכיר בייחודיות של הקהילה ובערכים הפנימיים שלה, לבין עקרונות יסוד של ה</w:t>
      </w:r>
      <w:r w:rsidR="00EC0CBD" w:rsidRPr="009B6F13">
        <w:rPr>
          <w:rFonts w:cs="David" w:hint="cs"/>
          <w:sz w:val="24"/>
          <w:szCs w:val="24"/>
          <w:rtl/>
        </w:rPr>
        <w:t>תפיסה הליברלית. עימות כזה יכול לבוא לידי ביטוי</w:t>
      </w:r>
      <w:r w:rsidR="00B0698F" w:rsidRPr="009B6F13">
        <w:rPr>
          <w:rFonts w:cs="David" w:hint="cs"/>
          <w:sz w:val="24"/>
          <w:szCs w:val="24"/>
          <w:rtl/>
        </w:rPr>
        <w:t>,</w:t>
      </w:r>
      <w:r w:rsidR="00EC0CBD" w:rsidRPr="009B6F13">
        <w:rPr>
          <w:rFonts w:cs="David" w:hint="cs"/>
          <w:sz w:val="24"/>
          <w:szCs w:val="24"/>
          <w:rtl/>
        </w:rPr>
        <w:t xml:space="preserve"> כשהערכים המקודמים על ידי </w:t>
      </w:r>
      <w:r w:rsidR="00B0698F" w:rsidRPr="009B6F13">
        <w:rPr>
          <w:rFonts w:cs="David" w:hint="cs"/>
          <w:sz w:val="24"/>
          <w:szCs w:val="24"/>
          <w:rtl/>
        </w:rPr>
        <w:t xml:space="preserve">קהילה </w:t>
      </w:r>
      <w:r w:rsidR="00D85176">
        <w:rPr>
          <w:rFonts w:cs="David" w:hint="cs"/>
          <w:sz w:val="24"/>
          <w:szCs w:val="24"/>
          <w:rtl/>
        </w:rPr>
        <w:t xml:space="preserve">ספציפית </w:t>
      </w:r>
      <w:r w:rsidR="00EC0CBD" w:rsidRPr="009B6F13">
        <w:rPr>
          <w:rFonts w:cs="David" w:hint="cs"/>
          <w:sz w:val="24"/>
          <w:szCs w:val="24"/>
          <w:rtl/>
        </w:rPr>
        <w:t xml:space="preserve">מתנגשים עם עקרונות יסוד </w:t>
      </w:r>
      <w:r w:rsidR="00B0698F" w:rsidRPr="009B6F13">
        <w:rPr>
          <w:rFonts w:cs="David" w:hint="cs"/>
          <w:sz w:val="24"/>
          <w:szCs w:val="24"/>
          <w:rtl/>
        </w:rPr>
        <w:t>של התפיסה הליברלית</w:t>
      </w:r>
      <w:r w:rsidR="00BB5A42" w:rsidRPr="009B6F13">
        <w:rPr>
          <w:rFonts w:cs="David" w:hint="cs"/>
          <w:sz w:val="24"/>
          <w:szCs w:val="24"/>
          <w:rtl/>
        </w:rPr>
        <w:t>,</w:t>
      </w:r>
      <w:r w:rsidR="00B0698F" w:rsidRPr="009B6F13">
        <w:rPr>
          <w:rFonts w:cs="David" w:hint="cs"/>
          <w:sz w:val="24"/>
          <w:szCs w:val="24"/>
          <w:rtl/>
        </w:rPr>
        <w:t xml:space="preserve"> כדוגמת </w:t>
      </w:r>
      <w:r w:rsidR="00EC0CBD" w:rsidRPr="009B6F13">
        <w:rPr>
          <w:rFonts w:cs="David" w:hint="cs"/>
          <w:sz w:val="24"/>
          <w:szCs w:val="24"/>
          <w:rtl/>
        </w:rPr>
        <w:t xml:space="preserve">עקרון השוויון. </w:t>
      </w:r>
      <w:r w:rsidR="00B0698F" w:rsidRPr="009B6F13">
        <w:rPr>
          <w:rFonts w:cs="David" w:hint="cs"/>
          <w:sz w:val="24"/>
          <w:szCs w:val="24"/>
          <w:rtl/>
        </w:rPr>
        <w:t>עימות אפשרי שכזה, עלול להיווצר גם במסגרת ההסדר המוצע. שכן, במקרים מסוימים, החלת הדין הדתי בסכסוכים אזרחיים, עלולה לפגוע בזכויות, בהגנות</w:t>
      </w:r>
      <w:r w:rsidR="00D85176">
        <w:rPr>
          <w:rFonts w:cs="David" w:hint="cs"/>
          <w:sz w:val="24"/>
          <w:szCs w:val="24"/>
          <w:rtl/>
        </w:rPr>
        <w:t xml:space="preserve"> </w:t>
      </w:r>
      <w:r w:rsidR="00B0698F" w:rsidRPr="009B6F13">
        <w:rPr>
          <w:rFonts w:cs="David" w:hint="cs"/>
          <w:sz w:val="24"/>
          <w:szCs w:val="24"/>
          <w:rtl/>
        </w:rPr>
        <w:t>ובתפיסות יסוד אחרות שנקבעו על ידי המחוקק. למשל, החלת הדין הדתי עלולה, בעניינים מסוימים, להתנגש עם עקרון השוויון כלפי נשים שמעוגן בחוק שיווי זכויות האשה, התשי"א-1951, עם חוקים שנועדו להגן על עובדים ולהעניק להם זכויות, עם חוקים שמעניקים הגנות מיוחדות לאוכלוסיות מוחלשות, דוגמת אנשים עם מוגבלות, ועוד</w:t>
      </w:r>
      <w:r w:rsidR="005C5E37">
        <w:rPr>
          <w:rStyle w:val="a5"/>
          <w:rFonts w:cs="David"/>
          <w:sz w:val="24"/>
          <w:szCs w:val="24"/>
          <w:rtl/>
        </w:rPr>
        <w:footnoteReference w:id="2"/>
      </w:r>
      <w:r w:rsidR="00B0698F" w:rsidRPr="009B6F13">
        <w:rPr>
          <w:rFonts w:cs="David" w:hint="cs"/>
          <w:sz w:val="24"/>
          <w:szCs w:val="24"/>
          <w:rtl/>
        </w:rPr>
        <w:t>.</w:t>
      </w:r>
    </w:p>
    <w:p w:rsidR="001922D7" w:rsidRDefault="004B285A" w:rsidP="001A098E">
      <w:pPr>
        <w:spacing w:after="120" w:line="360" w:lineRule="auto"/>
        <w:jc w:val="both"/>
        <w:rPr>
          <w:rFonts w:cs="David"/>
          <w:sz w:val="24"/>
          <w:szCs w:val="24"/>
          <w:rtl/>
        </w:rPr>
      </w:pPr>
      <w:r w:rsidRPr="004B285A">
        <w:rPr>
          <w:rFonts w:cs="David" w:hint="cs"/>
          <w:sz w:val="24"/>
          <w:szCs w:val="24"/>
          <w:u w:val="single"/>
          <w:rtl/>
        </w:rPr>
        <w:lastRenderedPageBreak/>
        <w:t xml:space="preserve">כדי למתן את עוצמתו של המתח האמור, ניתן </w:t>
      </w:r>
      <w:r w:rsidR="00BA0A15">
        <w:rPr>
          <w:rFonts w:cs="David" w:hint="cs"/>
          <w:sz w:val="24"/>
          <w:szCs w:val="24"/>
          <w:u w:val="single"/>
          <w:rtl/>
        </w:rPr>
        <w:t xml:space="preserve">לשקול אימוץ </w:t>
      </w:r>
      <w:r w:rsidRPr="004B285A">
        <w:rPr>
          <w:rFonts w:cs="David" w:hint="cs"/>
          <w:sz w:val="24"/>
          <w:szCs w:val="24"/>
          <w:u w:val="single"/>
          <w:rtl/>
        </w:rPr>
        <w:t>הוראה דומה לזו שהוצעה בתזכיר החוק הממשלתי</w:t>
      </w:r>
      <w:r w:rsidR="001922D7" w:rsidRPr="004B285A">
        <w:rPr>
          <w:rFonts w:cs="David" w:hint="cs"/>
          <w:sz w:val="24"/>
          <w:szCs w:val="24"/>
          <w:u w:val="single"/>
          <w:rtl/>
        </w:rPr>
        <w:t xml:space="preserve"> </w:t>
      </w:r>
      <w:r w:rsidR="001922D7" w:rsidRPr="004B285A">
        <w:rPr>
          <w:rFonts w:cs="David"/>
          <w:sz w:val="24"/>
          <w:szCs w:val="24"/>
          <w:u w:val="single"/>
          <w:rtl/>
        </w:rPr>
        <w:t>–</w:t>
      </w:r>
      <w:r w:rsidR="001922D7" w:rsidRPr="004B285A">
        <w:rPr>
          <w:rFonts w:cs="David" w:hint="cs"/>
          <w:sz w:val="24"/>
          <w:szCs w:val="24"/>
          <w:u w:val="single"/>
          <w:rtl/>
        </w:rPr>
        <w:t xml:space="preserve"> שכאמור הציע את מודל סמכות השיפוט ולא את מודל הבוררות </w:t>
      </w:r>
      <w:r w:rsidR="001922D7" w:rsidRPr="004B285A">
        <w:rPr>
          <w:rFonts w:cs="David"/>
          <w:sz w:val="24"/>
          <w:szCs w:val="24"/>
          <w:u w:val="single"/>
          <w:rtl/>
        </w:rPr>
        <w:t>–</w:t>
      </w:r>
      <w:r w:rsidR="001922D7" w:rsidRPr="004B285A">
        <w:rPr>
          <w:rFonts w:cs="David" w:hint="cs"/>
          <w:sz w:val="24"/>
          <w:szCs w:val="24"/>
          <w:u w:val="single"/>
          <w:rtl/>
        </w:rPr>
        <w:t xml:space="preserve"> </w:t>
      </w:r>
      <w:r w:rsidRPr="004B285A">
        <w:rPr>
          <w:rFonts w:cs="David" w:hint="cs"/>
          <w:sz w:val="24"/>
          <w:szCs w:val="24"/>
          <w:u w:val="single"/>
          <w:rtl/>
        </w:rPr>
        <w:t xml:space="preserve">ולפיה </w:t>
      </w:r>
      <w:r w:rsidR="001922D7" w:rsidRPr="004B285A">
        <w:rPr>
          <w:rFonts w:cs="David" w:hint="cs"/>
          <w:sz w:val="24"/>
          <w:szCs w:val="24"/>
          <w:u w:val="single"/>
          <w:rtl/>
        </w:rPr>
        <w:t xml:space="preserve">פסיקתו של בית הדין הרבני </w:t>
      </w:r>
      <w:r w:rsidRPr="004B285A">
        <w:rPr>
          <w:rFonts w:cs="David" w:hint="cs"/>
          <w:sz w:val="24"/>
          <w:szCs w:val="24"/>
          <w:u w:val="single"/>
          <w:rtl/>
        </w:rPr>
        <w:t xml:space="preserve">לפי דין תורה </w:t>
      </w:r>
      <w:r w:rsidR="001922D7" w:rsidRPr="004B285A">
        <w:rPr>
          <w:rFonts w:cs="David" w:hint="cs"/>
          <w:sz w:val="24"/>
          <w:szCs w:val="24"/>
          <w:u w:val="single"/>
          <w:rtl/>
        </w:rPr>
        <w:t>לא תוכל לפגוע בזכות מהותית של בעל דין לפי חוק שיווי זכויות האישה, התשי"א-1951, לפי חוקי מגן המעניקים זכויות לעובדים או לפי חוק</w:t>
      </w:r>
      <w:r w:rsidRPr="004B285A">
        <w:rPr>
          <w:rFonts w:cs="David" w:hint="cs"/>
          <w:sz w:val="24"/>
          <w:szCs w:val="24"/>
          <w:u w:val="single"/>
          <w:rtl/>
        </w:rPr>
        <w:t>ים</w:t>
      </w:r>
      <w:r w:rsidR="001922D7" w:rsidRPr="004B285A">
        <w:rPr>
          <w:rFonts w:cs="David" w:hint="cs"/>
          <w:sz w:val="24"/>
          <w:szCs w:val="24"/>
          <w:u w:val="single"/>
          <w:rtl/>
        </w:rPr>
        <w:t xml:space="preserve"> המעניק</w:t>
      </w:r>
      <w:r w:rsidRPr="004B285A">
        <w:rPr>
          <w:rFonts w:cs="David" w:hint="cs"/>
          <w:sz w:val="24"/>
          <w:szCs w:val="24"/>
          <w:u w:val="single"/>
          <w:rtl/>
        </w:rPr>
        <w:t>ים</w:t>
      </w:r>
      <w:r w:rsidR="001922D7" w:rsidRPr="004B285A">
        <w:rPr>
          <w:rFonts w:cs="David" w:hint="cs"/>
          <w:sz w:val="24"/>
          <w:szCs w:val="24"/>
          <w:u w:val="single"/>
          <w:rtl/>
        </w:rPr>
        <w:t xml:space="preserve"> הגנה לאדם עם מוגבלות</w:t>
      </w:r>
      <w:r w:rsidR="001922D7" w:rsidRPr="009B6F13">
        <w:rPr>
          <w:rFonts w:cs="David" w:hint="cs"/>
          <w:sz w:val="24"/>
          <w:szCs w:val="24"/>
          <w:rtl/>
        </w:rPr>
        <w:t>.</w:t>
      </w:r>
    </w:p>
    <w:p w:rsidR="00CE2362" w:rsidRPr="009B6F13" w:rsidRDefault="00CE2362" w:rsidP="00AA3947">
      <w:pPr>
        <w:spacing w:after="0" w:line="360" w:lineRule="auto"/>
        <w:jc w:val="both"/>
        <w:rPr>
          <w:rFonts w:cs="David"/>
          <w:sz w:val="24"/>
          <w:szCs w:val="24"/>
          <w:rtl/>
        </w:rPr>
      </w:pPr>
    </w:p>
    <w:p w:rsidR="00CE2362" w:rsidRDefault="00CC1FF5" w:rsidP="00CE2362">
      <w:pPr>
        <w:spacing w:after="120" w:line="240" w:lineRule="auto"/>
        <w:jc w:val="both"/>
        <w:rPr>
          <w:rFonts w:cs="David"/>
          <w:sz w:val="24"/>
          <w:szCs w:val="24"/>
          <w:rtl/>
        </w:rPr>
      </w:pPr>
      <w:r w:rsidRPr="00DF1B9E">
        <w:rPr>
          <w:rFonts w:cs="David" w:hint="cs"/>
          <w:b/>
          <w:bCs/>
          <w:sz w:val="24"/>
          <w:szCs w:val="24"/>
          <w:rtl/>
        </w:rPr>
        <w:t xml:space="preserve">(4) </w:t>
      </w:r>
      <w:r w:rsidR="00066607" w:rsidRPr="00DF1B9E">
        <w:rPr>
          <w:rFonts w:cs="David" w:hint="cs"/>
          <w:b/>
          <w:bCs/>
          <w:sz w:val="24"/>
          <w:szCs w:val="24"/>
          <w:rtl/>
        </w:rPr>
        <w:t>הסכמת הצדדים</w:t>
      </w:r>
      <w:r w:rsidRPr="00DF1B9E">
        <w:rPr>
          <w:rFonts w:cs="David" w:hint="cs"/>
          <w:sz w:val="24"/>
          <w:szCs w:val="24"/>
          <w:rtl/>
        </w:rPr>
        <w:t xml:space="preserve"> </w:t>
      </w:r>
    </w:p>
    <w:p w:rsidR="00DF1B9E" w:rsidRPr="00DF1B9E" w:rsidRDefault="0012332D" w:rsidP="00CE2362">
      <w:pPr>
        <w:spacing w:after="120" w:line="360" w:lineRule="auto"/>
        <w:jc w:val="both"/>
        <w:rPr>
          <w:rFonts w:cs="David"/>
          <w:sz w:val="24"/>
          <w:szCs w:val="24"/>
          <w:rtl/>
        </w:rPr>
      </w:pPr>
      <w:r w:rsidRPr="00DF1B9E">
        <w:rPr>
          <w:rFonts w:cs="David" w:hint="cs"/>
          <w:sz w:val="24"/>
          <w:szCs w:val="24"/>
          <w:rtl/>
        </w:rPr>
        <w:t>לפי ההסדר המוצע, תנאי הסף ש</w:t>
      </w:r>
      <w:r w:rsidR="004773CD">
        <w:rPr>
          <w:rFonts w:cs="David" w:hint="cs"/>
          <w:sz w:val="24"/>
          <w:szCs w:val="24"/>
          <w:rtl/>
        </w:rPr>
        <w:t>מ</w:t>
      </w:r>
      <w:r w:rsidRPr="00DF1B9E">
        <w:rPr>
          <w:rFonts w:cs="David" w:hint="cs"/>
          <w:sz w:val="24"/>
          <w:szCs w:val="24"/>
          <w:rtl/>
        </w:rPr>
        <w:t>אפשר לבתי הדין הרבניים לדון כבוררים בעניינים אזרחיים, הוא הסכמה בכתב של כל הצדדים הנוגעים בדבר.</w:t>
      </w:r>
      <w:r w:rsidR="00DF1B9E" w:rsidRPr="00DF1B9E">
        <w:rPr>
          <w:rFonts w:cs="David" w:hint="cs"/>
          <w:sz w:val="24"/>
          <w:szCs w:val="24"/>
          <w:rtl/>
        </w:rPr>
        <w:t xml:space="preserve"> הסוגיה של הסכמת הצדדים טומנת בחובה שאלות </w:t>
      </w:r>
      <w:r w:rsidR="004F4C12">
        <w:rPr>
          <w:rFonts w:cs="David" w:hint="cs"/>
          <w:sz w:val="24"/>
          <w:szCs w:val="24"/>
          <w:rtl/>
        </w:rPr>
        <w:t>מורכבות</w:t>
      </w:r>
      <w:r w:rsidR="00DF1B9E" w:rsidRPr="00DF1B9E">
        <w:rPr>
          <w:rFonts w:cs="David" w:hint="cs"/>
          <w:sz w:val="24"/>
          <w:szCs w:val="24"/>
          <w:rtl/>
        </w:rPr>
        <w:t>, בשני היבטים:</w:t>
      </w:r>
      <w:r w:rsidR="00DF1B9E">
        <w:rPr>
          <w:rFonts w:cs="David" w:hint="cs"/>
          <w:sz w:val="24"/>
          <w:szCs w:val="24"/>
          <w:rtl/>
        </w:rPr>
        <w:t xml:space="preserve"> </w:t>
      </w:r>
      <w:r w:rsidR="00DF1B9E" w:rsidRPr="00DF1B9E">
        <w:rPr>
          <w:rFonts w:cs="David" w:hint="cs"/>
          <w:sz w:val="24"/>
          <w:szCs w:val="24"/>
          <w:rtl/>
        </w:rPr>
        <w:t xml:space="preserve">הראשון </w:t>
      </w:r>
      <w:r w:rsidR="00DF1B9E" w:rsidRPr="00DF1B9E">
        <w:rPr>
          <w:rFonts w:cs="David"/>
          <w:sz w:val="24"/>
          <w:szCs w:val="24"/>
          <w:rtl/>
        </w:rPr>
        <w:t>–</w:t>
      </w:r>
      <w:r w:rsidR="00DF1B9E" w:rsidRPr="00DF1B9E">
        <w:rPr>
          <w:rFonts w:cs="David" w:hint="cs"/>
          <w:sz w:val="24"/>
          <w:szCs w:val="24"/>
          <w:rtl/>
        </w:rPr>
        <w:t xml:space="preserve"> </w:t>
      </w:r>
      <w:r w:rsidR="00DF1B9E" w:rsidRPr="004773CD">
        <w:rPr>
          <w:rFonts w:cs="David" w:hint="cs"/>
          <w:sz w:val="24"/>
          <w:szCs w:val="24"/>
          <w:u w:val="single"/>
          <w:rtl/>
        </w:rPr>
        <w:t>הצורך לוודא שהצדדים מבינים את מלוא המשמעויות שיש להסכמתם</w:t>
      </w:r>
      <w:r w:rsidR="00DF1B9E">
        <w:rPr>
          <w:rFonts w:cs="David" w:hint="cs"/>
          <w:sz w:val="24"/>
          <w:szCs w:val="24"/>
          <w:rtl/>
        </w:rPr>
        <w:t xml:space="preserve">; </w:t>
      </w:r>
      <w:r w:rsidR="00DF1B9E" w:rsidRPr="00DF1B9E">
        <w:rPr>
          <w:rFonts w:cs="David" w:hint="cs"/>
          <w:sz w:val="24"/>
          <w:szCs w:val="24"/>
          <w:rtl/>
        </w:rPr>
        <w:t xml:space="preserve">השני </w:t>
      </w:r>
      <w:r w:rsidR="00DF1B9E" w:rsidRPr="00DF1B9E">
        <w:rPr>
          <w:rFonts w:cs="David"/>
          <w:sz w:val="24"/>
          <w:szCs w:val="24"/>
          <w:rtl/>
        </w:rPr>
        <w:t>–</w:t>
      </w:r>
      <w:r w:rsidR="00DF1B9E" w:rsidRPr="00DF1B9E">
        <w:rPr>
          <w:rFonts w:cs="David" w:hint="cs"/>
          <w:sz w:val="24"/>
          <w:szCs w:val="24"/>
          <w:rtl/>
        </w:rPr>
        <w:t xml:space="preserve"> </w:t>
      </w:r>
      <w:r w:rsidR="00DF1B9E" w:rsidRPr="004773CD">
        <w:rPr>
          <w:rFonts w:cs="David" w:hint="cs"/>
          <w:sz w:val="24"/>
          <w:szCs w:val="24"/>
          <w:u w:val="single"/>
          <w:rtl/>
        </w:rPr>
        <w:t>הצורך לוודא שמדובר בהסכמה אמיתית וחופשית, שאינה נובעת מלחצים חברתיים של הקהילה הדתית שבה חברים הצדדים</w:t>
      </w:r>
      <w:r w:rsidR="00DF1B9E" w:rsidRPr="00DF1B9E">
        <w:rPr>
          <w:rFonts w:cs="David" w:hint="cs"/>
          <w:sz w:val="24"/>
          <w:szCs w:val="24"/>
          <w:rtl/>
        </w:rPr>
        <w:t>.</w:t>
      </w:r>
    </w:p>
    <w:p w:rsidR="00DF1B9E" w:rsidRDefault="00DF1B9E" w:rsidP="004773CD">
      <w:pPr>
        <w:spacing w:after="120" w:line="360" w:lineRule="auto"/>
        <w:jc w:val="both"/>
        <w:rPr>
          <w:rFonts w:cs="David"/>
          <w:sz w:val="24"/>
          <w:szCs w:val="24"/>
          <w:rtl/>
        </w:rPr>
      </w:pPr>
      <w:r w:rsidRPr="00DF1B9E">
        <w:rPr>
          <w:rFonts w:cs="David" w:hint="cs"/>
          <w:sz w:val="24"/>
          <w:szCs w:val="24"/>
          <w:rtl/>
        </w:rPr>
        <w:t xml:space="preserve">להלן, במסגרת הדיון בסעיף 3 להצעת החוק, יוצגו הקשיים </w:t>
      </w:r>
      <w:r w:rsidR="004773CD">
        <w:rPr>
          <w:rFonts w:cs="David" w:hint="cs"/>
          <w:sz w:val="24"/>
          <w:szCs w:val="24"/>
          <w:rtl/>
        </w:rPr>
        <w:t>שהצעת החוק מעוררת בסוגיית ההסכמה</w:t>
      </w:r>
      <w:r w:rsidRPr="00DF1B9E">
        <w:rPr>
          <w:rFonts w:cs="David" w:hint="cs"/>
          <w:sz w:val="24"/>
          <w:szCs w:val="24"/>
          <w:rtl/>
        </w:rPr>
        <w:t>, והצעות אפשריות לפתרונם.</w:t>
      </w:r>
    </w:p>
    <w:p w:rsidR="00CE2362" w:rsidRPr="00DF1B9E" w:rsidRDefault="00CE2362" w:rsidP="00AA3947">
      <w:pPr>
        <w:spacing w:after="0" w:line="360" w:lineRule="auto"/>
        <w:jc w:val="both"/>
        <w:rPr>
          <w:rFonts w:cs="David"/>
          <w:sz w:val="24"/>
          <w:szCs w:val="24"/>
          <w:rtl/>
        </w:rPr>
      </w:pPr>
    </w:p>
    <w:p w:rsidR="00CE2362" w:rsidRDefault="008104B4" w:rsidP="00CE2362">
      <w:pPr>
        <w:spacing w:after="120" w:line="240" w:lineRule="auto"/>
        <w:jc w:val="both"/>
        <w:rPr>
          <w:rFonts w:cs="David"/>
          <w:sz w:val="24"/>
          <w:szCs w:val="24"/>
          <w:rtl/>
        </w:rPr>
      </w:pPr>
      <w:r w:rsidRPr="009B6F13">
        <w:rPr>
          <w:rFonts w:cs="David" w:hint="cs"/>
          <w:b/>
          <w:bCs/>
          <w:sz w:val="24"/>
          <w:szCs w:val="24"/>
          <w:rtl/>
        </w:rPr>
        <w:t>(</w:t>
      </w:r>
      <w:r w:rsidR="00CC1FF5">
        <w:rPr>
          <w:rFonts w:cs="David" w:hint="cs"/>
          <w:b/>
          <w:bCs/>
          <w:sz w:val="24"/>
          <w:szCs w:val="24"/>
          <w:rtl/>
        </w:rPr>
        <w:t>5</w:t>
      </w:r>
      <w:r w:rsidRPr="009B6F13">
        <w:rPr>
          <w:rFonts w:cs="David" w:hint="cs"/>
          <w:b/>
          <w:bCs/>
          <w:sz w:val="24"/>
          <w:szCs w:val="24"/>
          <w:rtl/>
        </w:rPr>
        <w:t xml:space="preserve">) </w:t>
      </w:r>
      <w:r w:rsidR="00325E2D" w:rsidRPr="009B6F13">
        <w:rPr>
          <w:rFonts w:cs="David" w:hint="cs"/>
          <w:b/>
          <w:bCs/>
          <w:sz w:val="24"/>
          <w:szCs w:val="24"/>
          <w:rtl/>
        </w:rPr>
        <w:t>יצירת עומסים על בתי הדין הרבניים</w:t>
      </w:r>
      <w:r w:rsidR="000030E5" w:rsidRPr="009B6F13">
        <w:rPr>
          <w:rFonts w:cs="David" w:hint="cs"/>
          <w:sz w:val="24"/>
          <w:szCs w:val="24"/>
          <w:rtl/>
        </w:rPr>
        <w:t xml:space="preserve"> </w:t>
      </w:r>
    </w:p>
    <w:p w:rsidR="000030E5" w:rsidRPr="009B6F13" w:rsidRDefault="00E7095D" w:rsidP="00BB688D">
      <w:pPr>
        <w:spacing w:after="120" w:line="360" w:lineRule="auto"/>
        <w:jc w:val="both"/>
        <w:rPr>
          <w:rFonts w:cs="David"/>
          <w:sz w:val="24"/>
          <w:szCs w:val="24"/>
          <w:rtl/>
        </w:rPr>
      </w:pPr>
      <w:r w:rsidRPr="009B6F13">
        <w:rPr>
          <w:rFonts w:cs="David" w:hint="cs"/>
          <w:sz w:val="24"/>
          <w:szCs w:val="24"/>
          <w:rtl/>
        </w:rPr>
        <w:t xml:space="preserve">במהלך השנים, </w:t>
      </w:r>
      <w:r w:rsidR="00BA07EF" w:rsidRPr="009B6F13">
        <w:rPr>
          <w:rFonts w:cs="David" w:hint="cs"/>
          <w:sz w:val="24"/>
          <w:szCs w:val="24"/>
          <w:rtl/>
        </w:rPr>
        <w:t>טענו בתי הדין הרבניים כי העומס המוטל על כתפי הדיינים הוא אדיר</w:t>
      </w:r>
      <w:r w:rsidR="005D1120" w:rsidRPr="009B6F13">
        <w:rPr>
          <w:rFonts w:cs="David" w:hint="cs"/>
          <w:sz w:val="24"/>
          <w:szCs w:val="24"/>
          <w:rtl/>
        </w:rPr>
        <w:t xml:space="preserve">. כן נטען, </w:t>
      </w:r>
      <w:r w:rsidR="00BA07EF" w:rsidRPr="009B6F13">
        <w:rPr>
          <w:rFonts w:cs="David" w:hint="cs"/>
          <w:sz w:val="24"/>
          <w:szCs w:val="24"/>
          <w:rtl/>
        </w:rPr>
        <w:t xml:space="preserve">כי </w:t>
      </w:r>
      <w:r w:rsidR="005D1120" w:rsidRPr="009B6F13">
        <w:rPr>
          <w:rFonts w:cs="David" w:hint="cs"/>
          <w:sz w:val="24"/>
          <w:szCs w:val="24"/>
          <w:rtl/>
        </w:rPr>
        <w:t xml:space="preserve">יש חוסר רב בדיינים, בשל העדר </w:t>
      </w:r>
      <w:r w:rsidR="00BA07EF" w:rsidRPr="009B6F13">
        <w:rPr>
          <w:rFonts w:cs="David" w:hint="cs"/>
          <w:sz w:val="24"/>
          <w:szCs w:val="24"/>
          <w:rtl/>
        </w:rPr>
        <w:t xml:space="preserve">פרופורציה בין </w:t>
      </w:r>
      <w:r w:rsidR="00C516B1">
        <w:rPr>
          <w:rFonts w:cs="David" w:hint="cs"/>
          <w:sz w:val="24"/>
          <w:szCs w:val="24"/>
          <w:rtl/>
        </w:rPr>
        <w:t>הגידול ב</w:t>
      </w:r>
      <w:r w:rsidR="00BA07EF" w:rsidRPr="009B6F13">
        <w:rPr>
          <w:rFonts w:cs="David" w:hint="cs"/>
          <w:sz w:val="24"/>
          <w:szCs w:val="24"/>
          <w:rtl/>
        </w:rPr>
        <w:t>מספר תקני הדיינים</w:t>
      </w:r>
      <w:r w:rsidR="00C516B1">
        <w:rPr>
          <w:rFonts w:cs="David" w:hint="cs"/>
          <w:sz w:val="24"/>
          <w:szCs w:val="24"/>
          <w:rtl/>
        </w:rPr>
        <w:t xml:space="preserve"> </w:t>
      </w:r>
      <w:r w:rsidR="00343462" w:rsidRPr="009B6F13">
        <w:rPr>
          <w:rFonts w:cs="David" w:hint="cs"/>
          <w:sz w:val="24"/>
          <w:szCs w:val="24"/>
          <w:rtl/>
        </w:rPr>
        <w:t xml:space="preserve">לגידול </w:t>
      </w:r>
      <w:r w:rsidR="00BA07EF" w:rsidRPr="009B6F13">
        <w:rPr>
          <w:rFonts w:cs="David" w:hint="cs"/>
          <w:sz w:val="24"/>
          <w:szCs w:val="24"/>
          <w:rtl/>
        </w:rPr>
        <w:t>באוכלוסייה</w:t>
      </w:r>
      <w:r w:rsidR="00343462" w:rsidRPr="009B6F13">
        <w:rPr>
          <w:rFonts w:cs="David" w:hint="cs"/>
          <w:sz w:val="24"/>
          <w:szCs w:val="24"/>
          <w:rtl/>
        </w:rPr>
        <w:t xml:space="preserve"> ובשיעורי הגירושין</w:t>
      </w:r>
      <w:r w:rsidR="00BA07EF" w:rsidRPr="009B6F13">
        <w:rPr>
          <w:rFonts w:cs="David" w:hint="cs"/>
          <w:sz w:val="24"/>
          <w:szCs w:val="24"/>
          <w:rtl/>
        </w:rPr>
        <w:t>.</w:t>
      </w:r>
      <w:r w:rsidR="000030E5" w:rsidRPr="009B6F13">
        <w:rPr>
          <w:rFonts w:cs="David" w:hint="cs"/>
          <w:sz w:val="24"/>
          <w:szCs w:val="24"/>
          <w:rtl/>
        </w:rPr>
        <w:t xml:space="preserve"> </w:t>
      </w:r>
      <w:r w:rsidR="005D1120" w:rsidRPr="009B6F13">
        <w:rPr>
          <w:rFonts w:cs="David" w:hint="cs"/>
          <w:sz w:val="24"/>
          <w:szCs w:val="24"/>
          <w:rtl/>
        </w:rPr>
        <w:t xml:space="preserve">ככל שיאושר החוק המוצע, יתווסף על העומס האמור </w:t>
      </w:r>
      <w:r w:rsidR="000030E5" w:rsidRPr="009B6F13">
        <w:rPr>
          <w:rFonts w:cs="David" w:hint="cs"/>
          <w:sz w:val="24"/>
          <w:szCs w:val="24"/>
          <w:rtl/>
        </w:rPr>
        <w:t xml:space="preserve">מאות רבות (אם לא למעלה מכך) </w:t>
      </w:r>
      <w:r w:rsidR="005D1120" w:rsidRPr="009B6F13">
        <w:rPr>
          <w:rFonts w:cs="David" w:hint="cs"/>
          <w:sz w:val="24"/>
          <w:szCs w:val="24"/>
          <w:rtl/>
        </w:rPr>
        <w:t>של תיקים אזרחיים</w:t>
      </w:r>
      <w:r w:rsidR="000030E5" w:rsidRPr="009B6F13">
        <w:rPr>
          <w:rFonts w:cs="David" w:hint="cs"/>
          <w:sz w:val="24"/>
          <w:szCs w:val="24"/>
          <w:rtl/>
        </w:rPr>
        <w:t xml:space="preserve">, </w:t>
      </w:r>
      <w:r w:rsidR="005D1120" w:rsidRPr="009B6F13">
        <w:rPr>
          <w:rFonts w:cs="David" w:hint="cs"/>
          <w:sz w:val="24"/>
          <w:szCs w:val="24"/>
          <w:rtl/>
        </w:rPr>
        <w:t>שהטיפול בהם ידרוש זמן שיפוטי רב</w:t>
      </w:r>
      <w:r w:rsidR="0033527B">
        <w:rPr>
          <w:rFonts w:cs="David" w:hint="cs"/>
          <w:sz w:val="24"/>
          <w:szCs w:val="24"/>
          <w:rtl/>
        </w:rPr>
        <w:t>,</w:t>
      </w:r>
      <w:r w:rsidR="005D1120" w:rsidRPr="009B6F13">
        <w:rPr>
          <w:rFonts w:cs="David" w:hint="cs"/>
          <w:sz w:val="24"/>
          <w:szCs w:val="24"/>
          <w:rtl/>
        </w:rPr>
        <w:t xml:space="preserve"> והוא עלול לבוא </w:t>
      </w:r>
      <w:r w:rsidR="000030E5" w:rsidRPr="009B6F13">
        <w:rPr>
          <w:rFonts w:cs="David" w:hint="cs"/>
          <w:sz w:val="24"/>
          <w:szCs w:val="24"/>
          <w:rtl/>
        </w:rPr>
        <w:t>על חשבון הטיפול בתיקי הנישואין והגירושין המצויים כיום בסמכות</w:t>
      </w:r>
      <w:r w:rsidR="005D1120" w:rsidRPr="009B6F13">
        <w:rPr>
          <w:rFonts w:cs="David" w:hint="cs"/>
          <w:sz w:val="24"/>
          <w:szCs w:val="24"/>
          <w:rtl/>
        </w:rPr>
        <w:t xml:space="preserve"> בתי הדין</w:t>
      </w:r>
      <w:r w:rsidR="000030E5" w:rsidRPr="009B6F13">
        <w:rPr>
          <w:rFonts w:cs="David" w:hint="cs"/>
          <w:sz w:val="24"/>
          <w:szCs w:val="24"/>
          <w:rtl/>
        </w:rPr>
        <w:t xml:space="preserve">. נוכח הטענות אודות העומס הכבד הקיים כבר היום במערכת בתי הדין הרבניים, </w:t>
      </w:r>
      <w:r w:rsidR="005D1120" w:rsidRPr="009B6F13">
        <w:rPr>
          <w:rFonts w:cs="David" w:hint="cs"/>
          <w:sz w:val="24"/>
          <w:szCs w:val="24"/>
          <w:rtl/>
        </w:rPr>
        <w:t xml:space="preserve">והחוסר הרב בתקני דיינים, </w:t>
      </w:r>
      <w:r w:rsidR="000030E5" w:rsidRPr="009B6F13">
        <w:rPr>
          <w:rFonts w:cs="David" w:hint="cs"/>
          <w:sz w:val="24"/>
          <w:szCs w:val="24"/>
          <w:rtl/>
        </w:rPr>
        <w:t xml:space="preserve">ספק </w:t>
      </w:r>
      <w:r w:rsidR="005D1120" w:rsidRPr="009B6F13">
        <w:rPr>
          <w:rFonts w:cs="David" w:hint="cs"/>
          <w:sz w:val="24"/>
          <w:szCs w:val="24"/>
          <w:rtl/>
        </w:rPr>
        <w:t xml:space="preserve">רב אם </w:t>
      </w:r>
      <w:r w:rsidR="003441FE">
        <w:rPr>
          <w:rFonts w:cs="David" w:hint="cs"/>
          <w:sz w:val="24"/>
          <w:szCs w:val="24"/>
          <w:rtl/>
        </w:rPr>
        <w:t>תוספת של מספר מצומצם של תקנים (4 ב</w:t>
      </w:r>
      <w:r w:rsidR="00C22FB2">
        <w:rPr>
          <w:rFonts w:cs="David" w:hint="cs"/>
          <w:sz w:val="24"/>
          <w:szCs w:val="24"/>
          <w:rtl/>
        </w:rPr>
        <w:t xml:space="preserve">שנת </w:t>
      </w:r>
      <w:r w:rsidR="003441FE">
        <w:rPr>
          <w:rFonts w:cs="David" w:hint="cs"/>
          <w:sz w:val="24"/>
          <w:szCs w:val="24"/>
          <w:rtl/>
        </w:rPr>
        <w:t>2017 ועוד 4 ב</w:t>
      </w:r>
      <w:r w:rsidR="00C22FB2">
        <w:rPr>
          <w:rFonts w:cs="David" w:hint="cs"/>
          <w:sz w:val="24"/>
          <w:szCs w:val="24"/>
          <w:rtl/>
        </w:rPr>
        <w:t xml:space="preserve">שנת </w:t>
      </w:r>
      <w:r w:rsidR="003441FE">
        <w:rPr>
          <w:rFonts w:cs="David" w:hint="cs"/>
          <w:sz w:val="24"/>
          <w:szCs w:val="24"/>
          <w:rtl/>
        </w:rPr>
        <w:t>2018)</w:t>
      </w:r>
      <w:r w:rsidR="00C22FB2">
        <w:rPr>
          <w:rStyle w:val="a5"/>
          <w:rFonts w:cs="David"/>
          <w:sz w:val="24"/>
          <w:szCs w:val="24"/>
          <w:rtl/>
        </w:rPr>
        <w:footnoteReference w:id="3"/>
      </w:r>
      <w:r w:rsidR="003441FE">
        <w:rPr>
          <w:rFonts w:cs="David" w:hint="cs"/>
          <w:sz w:val="24"/>
          <w:szCs w:val="24"/>
          <w:rtl/>
        </w:rPr>
        <w:t xml:space="preserve"> וייעוד 2 או 3 תקנים מתוכם ליישום החוק המוצע, </w:t>
      </w:r>
      <w:r w:rsidR="005D1120" w:rsidRPr="009B6F13">
        <w:rPr>
          <w:rFonts w:cs="David" w:hint="cs"/>
          <w:sz w:val="24"/>
          <w:szCs w:val="24"/>
          <w:rtl/>
        </w:rPr>
        <w:t xml:space="preserve">אכן יכולים לתת מענה לעומס הקיים כבר היום בבתי הדין הרבניים, </w:t>
      </w:r>
      <w:r w:rsidR="00E5212A" w:rsidRPr="009B6F13">
        <w:rPr>
          <w:rFonts w:cs="David" w:hint="cs"/>
          <w:sz w:val="24"/>
          <w:szCs w:val="24"/>
          <w:rtl/>
        </w:rPr>
        <w:t xml:space="preserve">שיגדל עוד יותר </w:t>
      </w:r>
      <w:r w:rsidR="005D1120" w:rsidRPr="009B6F13">
        <w:rPr>
          <w:rFonts w:cs="David" w:hint="cs"/>
          <w:sz w:val="24"/>
          <w:szCs w:val="24"/>
          <w:rtl/>
        </w:rPr>
        <w:t xml:space="preserve">בעקבות </w:t>
      </w:r>
      <w:r w:rsidR="0061525C" w:rsidRPr="009B6F13">
        <w:rPr>
          <w:rFonts w:cs="David" w:hint="cs"/>
          <w:sz w:val="24"/>
          <w:szCs w:val="24"/>
          <w:rtl/>
        </w:rPr>
        <w:t xml:space="preserve">ההסדר המוצע. </w:t>
      </w:r>
    </w:p>
    <w:p w:rsidR="00C5556F" w:rsidRDefault="00C22FB2" w:rsidP="00722EB8">
      <w:pPr>
        <w:spacing w:after="120" w:line="360" w:lineRule="auto"/>
        <w:jc w:val="both"/>
        <w:rPr>
          <w:rFonts w:cs="David"/>
          <w:sz w:val="24"/>
          <w:szCs w:val="24"/>
          <w:rtl/>
        </w:rPr>
      </w:pPr>
      <w:r w:rsidRPr="00722EB8">
        <w:rPr>
          <w:rFonts w:cs="David" w:hint="cs"/>
          <w:sz w:val="24"/>
          <w:szCs w:val="24"/>
          <w:u w:val="single"/>
          <w:rtl/>
        </w:rPr>
        <w:t xml:space="preserve">מוצע לברר </w:t>
      </w:r>
      <w:r w:rsidR="00872991" w:rsidRPr="00722EB8">
        <w:rPr>
          <w:rFonts w:cs="David" w:hint="cs"/>
          <w:sz w:val="24"/>
          <w:szCs w:val="24"/>
          <w:u w:val="single"/>
          <w:rtl/>
        </w:rPr>
        <w:t>עם משרד האוצר</w:t>
      </w:r>
      <w:r w:rsidR="00722EB8" w:rsidRPr="00722EB8">
        <w:rPr>
          <w:rFonts w:cs="David" w:hint="cs"/>
          <w:sz w:val="24"/>
          <w:szCs w:val="24"/>
          <w:u w:val="single"/>
          <w:rtl/>
        </w:rPr>
        <w:t xml:space="preserve"> ומערכת בתי הדין הרבניים</w:t>
      </w:r>
      <w:r w:rsidR="00872991" w:rsidRPr="00722EB8">
        <w:rPr>
          <w:rFonts w:cs="David" w:hint="cs"/>
          <w:sz w:val="24"/>
          <w:szCs w:val="24"/>
          <w:u w:val="single"/>
          <w:rtl/>
        </w:rPr>
        <w:t xml:space="preserve">, </w:t>
      </w:r>
      <w:r w:rsidR="00722EB8" w:rsidRPr="00722EB8">
        <w:rPr>
          <w:rFonts w:cs="David" w:hint="cs"/>
          <w:sz w:val="24"/>
          <w:szCs w:val="24"/>
          <w:u w:val="single"/>
          <w:rtl/>
        </w:rPr>
        <w:t xml:space="preserve">מהו המענה </w:t>
      </w:r>
      <w:r w:rsidR="00872991" w:rsidRPr="00722EB8">
        <w:rPr>
          <w:rFonts w:cs="David" w:hint="cs"/>
          <w:sz w:val="24"/>
          <w:szCs w:val="24"/>
          <w:u w:val="single"/>
          <w:rtl/>
        </w:rPr>
        <w:t xml:space="preserve">תקציבי </w:t>
      </w:r>
      <w:r w:rsidR="00722EB8" w:rsidRPr="00722EB8">
        <w:rPr>
          <w:rFonts w:cs="David" w:hint="cs"/>
          <w:sz w:val="24"/>
          <w:szCs w:val="24"/>
          <w:u w:val="single"/>
          <w:rtl/>
        </w:rPr>
        <w:t xml:space="preserve">שצפוי להינתן </w:t>
      </w:r>
      <w:r w:rsidR="00E442E8" w:rsidRPr="00722EB8">
        <w:rPr>
          <w:rFonts w:cs="David" w:hint="cs"/>
          <w:sz w:val="24"/>
          <w:szCs w:val="24"/>
          <w:u w:val="single"/>
          <w:rtl/>
        </w:rPr>
        <w:t xml:space="preserve">להגדלת העומס המוטלת על מערכת בתי הדין הרבניים, </w:t>
      </w:r>
      <w:r w:rsidR="00722EB8" w:rsidRPr="00722EB8">
        <w:rPr>
          <w:rFonts w:cs="David" w:hint="cs"/>
          <w:sz w:val="24"/>
          <w:szCs w:val="24"/>
          <w:u w:val="single"/>
          <w:rtl/>
        </w:rPr>
        <w:t xml:space="preserve">כדי לוודא </w:t>
      </w:r>
      <w:r w:rsidR="00E442E8" w:rsidRPr="00722EB8">
        <w:rPr>
          <w:rFonts w:cs="David" w:hint="cs"/>
          <w:sz w:val="24"/>
          <w:szCs w:val="24"/>
          <w:u w:val="single"/>
          <w:rtl/>
        </w:rPr>
        <w:t>שהטיפול בענייני הנישואין והגירושין לא ייפגע</w:t>
      </w:r>
      <w:r w:rsidR="00E442E8">
        <w:rPr>
          <w:rFonts w:cs="David" w:hint="cs"/>
          <w:sz w:val="24"/>
          <w:szCs w:val="24"/>
          <w:rtl/>
        </w:rPr>
        <w:t>.</w:t>
      </w:r>
    </w:p>
    <w:p w:rsidR="001B53E5" w:rsidRPr="009B6F13" w:rsidRDefault="001B53E5" w:rsidP="001B53E5">
      <w:pPr>
        <w:spacing w:after="0" w:line="360" w:lineRule="auto"/>
        <w:jc w:val="both"/>
        <w:rPr>
          <w:rFonts w:cs="David"/>
          <w:sz w:val="24"/>
          <w:szCs w:val="24"/>
          <w:rtl/>
        </w:rPr>
      </w:pPr>
    </w:p>
    <w:p w:rsidR="005C00BD" w:rsidRDefault="00947656" w:rsidP="005C00BD">
      <w:pPr>
        <w:spacing w:after="120" w:line="240" w:lineRule="auto"/>
        <w:jc w:val="both"/>
        <w:rPr>
          <w:rFonts w:cs="David"/>
          <w:sz w:val="24"/>
          <w:szCs w:val="24"/>
          <w:rtl/>
        </w:rPr>
      </w:pPr>
      <w:r w:rsidRPr="009B6F13">
        <w:rPr>
          <w:rFonts w:cs="David" w:hint="cs"/>
          <w:b/>
          <w:bCs/>
          <w:sz w:val="24"/>
          <w:szCs w:val="24"/>
          <w:rtl/>
        </w:rPr>
        <w:t>(</w:t>
      </w:r>
      <w:r w:rsidR="00722EB8">
        <w:rPr>
          <w:rFonts w:cs="David" w:hint="cs"/>
          <w:b/>
          <w:bCs/>
          <w:sz w:val="24"/>
          <w:szCs w:val="24"/>
          <w:rtl/>
        </w:rPr>
        <w:t>6</w:t>
      </w:r>
      <w:r w:rsidRPr="009B6F13">
        <w:rPr>
          <w:rFonts w:cs="David" w:hint="cs"/>
          <w:b/>
          <w:bCs/>
          <w:sz w:val="24"/>
          <w:szCs w:val="24"/>
          <w:rtl/>
        </w:rPr>
        <w:t xml:space="preserve">) ערכאה שיפוטית כבורר </w:t>
      </w:r>
    </w:p>
    <w:p w:rsidR="00947656" w:rsidRDefault="00947656" w:rsidP="005C00BD">
      <w:pPr>
        <w:spacing w:after="120" w:line="360" w:lineRule="auto"/>
        <w:jc w:val="both"/>
        <w:rPr>
          <w:rFonts w:cs="David"/>
          <w:sz w:val="24"/>
          <w:szCs w:val="24"/>
          <w:rtl/>
        </w:rPr>
      </w:pPr>
      <w:r w:rsidRPr="009B6F13">
        <w:rPr>
          <w:rFonts w:cs="David" w:hint="cs"/>
          <w:sz w:val="24"/>
          <w:szCs w:val="24"/>
          <w:rtl/>
        </w:rPr>
        <w:t xml:space="preserve">סוגיה </w:t>
      </w:r>
      <w:r w:rsidR="00414A98">
        <w:rPr>
          <w:rFonts w:cs="David" w:hint="cs"/>
          <w:sz w:val="24"/>
          <w:szCs w:val="24"/>
          <w:rtl/>
        </w:rPr>
        <w:t xml:space="preserve">נוספת, </w:t>
      </w:r>
      <w:r w:rsidRPr="009B6F13">
        <w:rPr>
          <w:rFonts w:cs="David" w:hint="cs"/>
          <w:sz w:val="24"/>
          <w:szCs w:val="24"/>
          <w:rtl/>
        </w:rPr>
        <w:t xml:space="preserve">שנוגעת למודל הבוררות </w:t>
      </w:r>
      <w:r w:rsidR="00414A98">
        <w:rPr>
          <w:rFonts w:cs="David" w:hint="cs"/>
          <w:sz w:val="24"/>
          <w:szCs w:val="24"/>
          <w:rtl/>
        </w:rPr>
        <w:t>שבהצעת החוק הפרטית</w:t>
      </w:r>
      <w:r w:rsidRPr="009B6F13">
        <w:rPr>
          <w:rFonts w:cs="David" w:hint="cs"/>
          <w:sz w:val="24"/>
          <w:szCs w:val="24"/>
          <w:rtl/>
        </w:rPr>
        <w:t>, היא</w:t>
      </w:r>
      <w:r w:rsidR="006A5552" w:rsidRPr="009B6F13">
        <w:rPr>
          <w:rFonts w:cs="David" w:hint="cs"/>
          <w:sz w:val="24"/>
          <w:szCs w:val="24"/>
          <w:rtl/>
        </w:rPr>
        <w:t>,</w:t>
      </w:r>
      <w:r w:rsidRPr="009B6F13">
        <w:rPr>
          <w:rFonts w:cs="David" w:hint="cs"/>
          <w:sz w:val="24"/>
          <w:szCs w:val="24"/>
          <w:rtl/>
        </w:rPr>
        <w:t xml:space="preserve"> </w:t>
      </w:r>
      <w:r w:rsidRPr="009B6F13">
        <w:rPr>
          <w:rFonts w:cs="David" w:hint="cs"/>
          <w:sz w:val="24"/>
          <w:szCs w:val="24"/>
          <w:u w:val="single"/>
          <w:rtl/>
        </w:rPr>
        <w:t xml:space="preserve">האם נכון שערכאה </w:t>
      </w:r>
      <w:r w:rsidR="006A5552" w:rsidRPr="009B6F13">
        <w:rPr>
          <w:rFonts w:cs="David" w:hint="cs"/>
          <w:sz w:val="24"/>
          <w:szCs w:val="24"/>
          <w:u w:val="single"/>
          <w:rtl/>
        </w:rPr>
        <w:t xml:space="preserve">שיפוטית </w:t>
      </w:r>
      <w:r w:rsidRPr="009B6F13">
        <w:rPr>
          <w:rFonts w:cs="David" w:hint="cs"/>
          <w:sz w:val="24"/>
          <w:szCs w:val="24"/>
          <w:u w:val="single"/>
          <w:rtl/>
        </w:rPr>
        <w:t>תפעל כבורר</w:t>
      </w:r>
      <w:r w:rsidR="00336C8C" w:rsidRPr="009B6F13">
        <w:rPr>
          <w:rFonts w:cs="David" w:hint="cs"/>
          <w:sz w:val="24"/>
          <w:szCs w:val="24"/>
          <w:u w:val="single"/>
          <w:rtl/>
        </w:rPr>
        <w:t>?</w:t>
      </w:r>
      <w:r w:rsidRPr="009B6F13">
        <w:rPr>
          <w:rFonts w:cs="David" w:hint="cs"/>
          <w:sz w:val="24"/>
          <w:szCs w:val="24"/>
          <w:u w:val="single"/>
          <w:rtl/>
        </w:rPr>
        <w:t xml:space="preserve"> האם אין </w:t>
      </w:r>
      <w:r w:rsidR="006A5552" w:rsidRPr="009B6F13">
        <w:rPr>
          <w:rFonts w:cs="David" w:hint="cs"/>
          <w:sz w:val="24"/>
          <w:szCs w:val="24"/>
          <w:u w:val="single"/>
          <w:rtl/>
        </w:rPr>
        <w:t>חשש שהדבר י</w:t>
      </w:r>
      <w:r w:rsidRPr="009B6F13">
        <w:rPr>
          <w:rFonts w:cs="David" w:hint="cs"/>
          <w:sz w:val="24"/>
          <w:szCs w:val="24"/>
          <w:u w:val="single"/>
          <w:rtl/>
        </w:rPr>
        <w:t xml:space="preserve">גרום לבלבול בין תפקידיה של </w:t>
      </w:r>
      <w:r w:rsidR="00336C8C" w:rsidRPr="009B6F13">
        <w:rPr>
          <w:rFonts w:cs="David" w:hint="cs"/>
          <w:sz w:val="24"/>
          <w:szCs w:val="24"/>
          <w:u w:val="single"/>
          <w:rtl/>
        </w:rPr>
        <w:t xml:space="preserve">אותה ערכאה </w:t>
      </w:r>
      <w:r w:rsidRPr="009B6F13">
        <w:rPr>
          <w:rFonts w:cs="David" w:hint="cs"/>
          <w:sz w:val="24"/>
          <w:szCs w:val="24"/>
          <w:u w:val="single"/>
          <w:rtl/>
        </w:rPr>
        <w:t>שיפוטית כבעלת סמכות שיפוט לבין תפקידה כבוררת</w:t>
      </w:r>
      <w:r w:rsidR="00336C8C" w:rsidRPr="009B6F13">
        <w:rPr>
          <w:rFonts w:cs="David" w:hint="cs"/>
          <w:sz w:val="24"/>
          <w:szCs w:val="24"/>
          <w:u w:val="single"/>
          <w:rtl/>
        </w:rPr>
        <w:t>?</w:t>
      </w:r>
      <w:r w:rsidRPr="009B6F13">
        <w:rPr>
          <w:rFonts w:cs="David" w:hint="cs"/>
          <w:sz w:val="24"/>
          <w:szCs w:val="24"/>
          <w:rtl/>
        </w:rPr>
        <w:t xml:space="preserve"> בלבול זה יכול להיות גם כלפי חוץ</w:t>
      </w:r>
      <w:r w:rsidR="00336C8C" w:rsidRPr="009B6F13">
        <w:rPr>
          <w:rFonts w:cs="David" w:hint="cs"/>
          <w:sz w:val="24"/>
          <w:szCs w:val="24"/>
          <w:rtl/>
        </w:rPr>
        <w:t>, דהיינו: שצדדים להליך יסברו בטעות כי מדובר בהליך שיפוטי לכל דבר ועניין ולא בהליך בוררות,</w:t>
      </w:r>
      <w:r w:rsidRPr="009B6F13">
        <w:rPr>
          <w:rFonts w:cs="David" w:hint="cs"/>
          <w:sz w:val="24"/>
          <w:szCs w:val="24"/>
          <w:rtl/>
        </w:rPr>
        <w:t xml:space="preserve"> וגם כלפי פנים</w:t>
      </w:r>
      <w:r w:rsidR="00336C8C" w:rsidRPr="009B6F13">
        <w:rPr>
          <w:rFonts w:cs="David" w:hint="cs"/>
          <w:sz w:val="24"/>
          <w:szCs w:val="24"/>
          <w:rtl/>
        </w:rPr>
        <w:t>, דהיינו: שהערכאה השיפוטית תשתמש בסמכויות שמוקנות לה במסגרת הליכים משפטיים רגילים, גם במסגרת הליכי הבוררות</w:t>
      </w:r>
      <w:r w:rsidRPr="009B6F13">
        <w:rPr>
          <w:rFonts w:cs="David" w:hint="cs"/>
          <w:sz w:val="24"/>
          <w:szCs w:val="24"/>
          <w:rtl/>
        </w:rPr>
        <w:t xml:space="preserve">. </w:t>
      </w:r>
    </w:p>
    <w:p w:rsidR="00D62A21" w:rsidRPr="009B6F13" w:rsidRDefault="00D62A21" w:rsidP="0086466E">
      <w:pPr>
        <w:spacing w:after="120" w:line="360" w:lineRule="auto"/>
        <w:jc w:val="both"/>
        <w:rPr>
          <w:rFonts w:cs="David"/>
          <w:sz w:val="24"/>
          <w:szCs w:val="24"/>
          <w:rtl/>
        </w:rPr>
      </w:pPr>
    </w:p>
    <w:p w:rsidR="00BE6806" w:rsidRPr="00BE6806" w:rsidRDefault="00BE6806" w:rsidP="00BE6806">
      <w:pPr>
        <w:shd w:val="clear" w:color="auto" w:fill="BFBFBF" w:themeFill="background1" w:themeFillShade="BF"/>
        <w:spacing w:after="120" w:line="240" w:lineRule="auto"/>
        <w:jc w:val="center"/>
        <w:rPr>
          <w:rFonts w:cs="David"/>
          <w:b/>
          <w:bCs/>
          <w:sz w:val="28"/>
          <w:szCs w:val="28"/>
          <w:rtl/>
        </w:rPr>
      </w:pPr>
      <w:r w:rsidRPr="00BE6806">
        <w:rPr>
          <w:rFonts w:cs="David" w:hint="cs"/>
          <w:b/>
          <w:bCs/>
          <w:sz w:val="28"/>
          <w:szCs w:val="28"/>
          <w:rtl/>
        </w:rPr>
        <w:t>סעיפי הצעת החוק הפרטית</w:t>
      </w:r>
    </w:p>
    <w:p w:rsidR="007C263C" w:rsidRDefault="007C263C" w:rsidP="00F26E2D">
      <w:pPr>
        <w:spacing w:after="120" w:line="240" w:lineRule="auto"/>
        <w:jc w:val="both"/>
        <w:rPr>
          <w:rFonts w:cs="David"/>
          <w:b/>
          <w:bCs/>
          <w:sz w:val="24"/>
          <w:szCs w:val="24"/>
          <w:u w:val="single"/>
          <w:rtl/>
        </w:rPr>
      </w:pPr>
      <w:r w:rsidRPr="007C263C">
        <w:rPr>
          <w:rFonts w:cs="David" w:hint="cs"/>
          <w:b/>
          <w:bCs/>
          <w:sz w:val="24"/>
          <w:szCs w:val="24"/>
          <w:u w:val="single"/>
          <w:rtl/>
        </w:rPr>
        <w:t xml:space="preserve">סעיף 1 </w:t>
      </w:r>
      <w:r w:rsidRPr="007C263C">
        <w:rPr>
          <w:rFonts w:cs="David"/>
          <w:b/>
          <w:bCs/>
          <w:sz w:val="24"/>
          <w:szCs w:val="24"/>
          <w:u w:val="single"/>
          <w:rtl/>
        </w:rPr>
        <w:t>–</w:t>
      </w:r>
      <w:r w:rsidRPr="007C263C">
        <w:rPr>
          <w:rFonts w:cs="David" w:hint="cs"/>
          <w:b/>
          <w:bCs/>
          <w:sz w:val="24"/>
          <w:szCs w:val="24"/>
          <w:u w:val="single"/>
          <w:rtl/>
        </w:rPr>
        <w:t xml:space="preserve"> הגדרות</w:t>
      </w:r>
    </w:p>
    <w:tbl>
      <w:tblPr>
        <w:tblStyle w:val="a7"/>
        <w:bidiVisual/>
        <w:tblW w:w="0" w:type="auto"/>
        <w:tblLook w:val="04A0" w:firstRow="1" w:lastRow="0" w:firstColumn="1" w:lastColumn="0" w:noHBand="0" w:noVBand="1"/>
      </w:tblPr>
      <w:tblGrid>
        <w:gridCol w:w="8296"/>
      </w:tblGrid>
      <w:tr w:rsidR="002F2827" w:rsidTr="002F2827">
        <w:tc>
          <w:tcPr>
            <w:tcW w:w="8296" w:type="dxa"/>
          </w:tcPr>
          <w:p w:rsidR="002F2827" w:rsidRPr="00423471" w:rsidRDefault="002F2827" w:rsidP="002F2827">
            <w:pPr>
              <w:pStyle w:val="TableBlock"/>
              <w:spacing w:before="60" w:after="60" w:line="240" w:lineRule="auto"/>
              <w:rPr>
                <w:rFonts w:ascii="Narkisim" w:hAnsi="Narkisim" w:cs="Narkisim"/>
                <w:sz w:val="24"/>
                <w:szCs w:val="24"/>
              </w:rPr>
            </w:pPr>
            <w:r w:rsidRPr="00423471">
              <w:rPr>
                <w:rFonts w:ascii="Narkisim" w:hAnsi="Narkisim" w:cs="Narkisim"/>
                <w:sz w:val="24"/>
                <w:szCs w:val="24"/>
                <w:rtl/>
              </w:rPr>
              <w:t>בחוק זה –</w:t>
            </w:r>
          </w:p>
          <w:p w:rsidR="002F2827" w:rsidRPr="00423471" w:rsidRDefault="002F2827" w:rsidP="002F2827">
            <w:pPr>
              <w:pStyle w:val="TableBlock"/>
              <w:spacing w:before="60" w:after="60" w:line="240" w:lineRule="auto"/>
              <w:rPr>
                <w:rFonts w:ascii="Narkisim" w:hAnsi="Narkisim" w:cs="Narkisim"/>
                <w:sz w:val="24"/>
                <w:szCs w:val="24"/>
              </w:rPr>
            </w:pPr>
            <w:r w:rsidRPr="00423471">
              <w:rPr>
                <w:rFonts w:ascii="Narkisim" w:hAnsi="Narkisim" w:cs="Narkisim"/>
                <w:sz w:val="24"/>
                <w:szCs w:val="24"/>
                <w:rtl/>
              </w:rPr>
              <w:t>"בית דין" – בית דין רבני, בית דין שרעי ובית דין דתי דרוזי;</w:t>
            </w:r>
          </w:p>
          <w:p w:rsidR="002F2827" w:rsidRPr="00423471" w:rsidRDefault="002F2827" w:rsidP="002F2827">
            <w:pPr>
              <w:pStyle w:val="TableBlockOutdent"/>
              <w:spacing w:before="60" w:after="60" w:line="240" w:lineRule="auto"/>
              <w:ind w:left="0"/>
              <w:rPr>
                <w:rFonts w:ascii="Narkisim" w:hAnsi="Narkisim" w:cs="Narkisim"/>
                <w:sz w:val="24"/>
                <w:szCs w:val="24"/>
              </w:rPr>
            </w:pPr>
            <w:r>
              <w:rPr>
                <w:rFonts w:ascii="Narkisim" w:hAnsi="Narkisim" w:cs="Narkisim"/>
                <w:sz w:val="24"/>
                <w:szCs w:val="24"/>
                <w:rtl/>
              </w:rPr>
              <w:tab/>
            </w:r>
            <w:r w:rsidRPr="00423471">
              <w:rPr>
                <w:rFonts w:ascii="Narkisim" w:hAnsi="Narkisim" w:cs="Narkisim"/>
                <w:sz w:val="24"/>
                <w:szCs w:val="24"/>
                <w:rtl/>
              </w:rPr>
              <w:t>"חסוי" ו"פסול דין" – כמשמעותם בחוק הכשרות המשפטית והאפוטרופסות, התשכ"ב–1962;</w:t>
            </w:r>
          </w:p>
          <w:p w:rsidR="002F2827" w:rsidRPr="00423471" w:rsidRDefault="002F2827" w:rsidP="002F2827">
            <w:pPr>
              <w:pStyle w:val="TableBlock"/>
              <w:spacing w:before="60" w:after="60" w:line="240" w:lineRule="auto"/>
              <w:rPr>
                <w:rFonts w:ascii="Narkisim" w:hAnsi="Narkisim" w:cs="Narkisim"/>
                <w:sz w:val="24"/>
                <w:szCs w:val="24"/>
              </w:rPr>
            </w:pPr>
            <w:r w:rsidRPr="00423471">
              <w:rPr>
                <w:rFonts w:ascii="Narkisim" w:hAnsi="Narkisim" w:cs="Narkisim"/>
                <w:sz w:val="24"/>
                <w:szCs w:val="24"/>
                <w:rtl/>
              </w:rPr>
              <w:t>"עניין אזרחי" – עניין שאינו אחד מאלה:</w:t>
            </w:r>
          </w:p>
          <w:p w:rsidR="002F2827" w:rsidRPr="00423471" w:rsidRDefault="002F2827" w:rsidP="002F2827">
            <w:pPr>
              <w:pStyle w:val="TableBlock"/>
              <w:spacing w:before="60" w:after="60" w:line="240" w:lineRule="auto"/>
              <w:rPr>
                <w:rFonts w:ascii="Narkisim" w:hAnsi="Narkisim" w:cs="Narkisim"/>
                <w:sz w:val="24"/>
                <w:szCs w:val="24"/>
              </w:rPr>
            </w:pPr>
            <w:r>
              <w:rPr>
                <w:rFonts w:ascii="Narkisim" w:hAnsi="Narkisim" w:cs="Narkisim"/>
                <w:sz w:val="24"/>
                <w:szCs w:val="24"/>
                <w:rtl/>
              </w:rPr>
              <w:tab/>
            </w:r>
            <w:r w:rsidRPr="00423471">
              <w:rPr>
                <w:rFonts w:ascii="Narkisim" w:hAnsi="Narkisim" w:cs="Narkisim"/>
                <w:sz w:val="24"/>
                <w:szCs w:val="24"/>
                <w:rtl/>
              </w:rPr>
              <w:t>(1)</w:t>
            </w:r>
            <w:r>
              <w:rPr>
                <w:rFonts w:ascii="Narkisim" w:hAnsi="Narkisim" w:cs="Narkisim" w:hint="cs"/>
                <w:sz w:val="24"/>
                <w:szCs w:val="24"/>
                <w:rtl/>
              </w:rPr>
              <w:t xml:space="preserve"> </w:t>
            </w:r>
            <w:r w:rsidRPr="00423471">
              <w:rPr>
                <w:rFonts w:ascii="Narkisim" w:hAnsi="Narkisim" w:cs="Narkisim"/>
                <w:sz w:val="24"/>
                <w:szCs w:val="24"/>
                <w:rtl/>
              </w:rPr>
              <w:t>עניין פלילי;</w:t>
            </w:r>
          </w:p>
          <w:p w:rsidR="002F2827" w:rsidRDefault="002F2827" w:rsidP="002F2827">
            <w:pPr>
              <w:pStyle w:val="TableBlock"/>
              <w:spacing w:before="60" w:after="60" w:line="240" w:lineRule="auto"/>
              <w:rPr>
                <w:rFonts w:ascii="Narkisim" w:hAnsi="Narkisim" w:cs="Narkisim"/>
                <w:sz w:val="24"/>
                <w:szCs w:val="24"/>
                <w:rtl/>
              </w:rPr>
            </w:pPr>
            <w:r>
              <w:rPr>
                <w:rFonts w:ascii="Narkisim" w:hAnsi="Narkisim" w:cs="Narkisim"/>
                <w:sz w:val="24"/>
                <w:szCs w:val="24"/>
                <w:rtl/>
              </w:rPr>
              <w:tab/>
            </w:r>
            <w:r w:rsidRPr="00423471">
              <w:rPr>
                <w:rFonts w:ascii="Narkisim" w:hAnsi="Narkisim" w:cs="Narkisim"/>
                <w:sz w:val="24"/>
                <w:szCs w:val="24"/>
                <w:rtl/>
              </w:rPr>
              <w:t>(2)</w:t>
            </w:r>
            <w:r>
              <w:rPr>
                <w:rFonts w:ascii="Narkisim" w:hAnsi="Narkisim" w:cs="Narkisim" w:hint="cs"/>
                <w:sz w:val="24"/>
                <w:szCs w:val="24"/>
                <w:rtl/>
              </w:rPr>
              <w:t xml:space="preserve"> </w:t>
            </w:r>
            <w:r w:rsidRPr="00423471">
              <w:rPr>
                <w:rFonts w:ascii="Narkisim" w:hAnsi="Narkisim" w:cs="Narkisim"/>
                <w:sz w:val="24"/>
                <w:szCs w:val="24"/>
                <w:rtl/>
              </w:rPr>
              <w:t>עניין מינהלי, כהגדרתו בחוק בתי משפט לעניינים מינהליים, התש"ס–2000;</w:t>
            </w:r>
          </w:p>
          <w:p w:rsidR="002F2827" w:rsidRPr="00423471" w:rsidRDefault="002F2827" w:rsidP="002F2827">
            <w:pPr>
              <w:pStyle w:val="TableBlock"/>
              <w:spacing w:before="60" w:after="60" w:line="240" w:lineRule="auto"/>
              <w:rPr>
                <w:rFonts w:ascii="Narkisim" w:hAnsi="Narkisim" w:cs="Narkisim"/>
                <w:sz w:val="24"/>
                <w:szCs w:val="24"/>
              </w:rPr>
            </w:pPr>
            <w:r>
              <w:rPr>
                <w:rFonts w:ascii="Narkisim" w:hAnsi="Narkisim" w:cs="Narkisim"/>
                <w:sz w:val="24"/>
                <w:szCs w:val="24"/>
                <w:rtl/>
              </w:rPr>
              <w:tab/>
            </w:r>
            <w:r w:rsidRPr="00423471">
              <w:rPr>
                <w:rFonts w:ascii="Narkisim" w:hAnsi="Narkisim" w:cs="Narkisim"/>
                <w:sz w:val="24"/>
                <w:szCs w:val="24"/>
                <w:rtl/>
              </w:rPr>
              <w:t>(3)</w:t>
            </w:r>
            <w:r>
              <w:rPr>
                <w:rFonts w:ascii="Narkisim" w:hAnsi="Narkisim" w:cs="Narkisim" w:hint="cs"/>
                <w:sz w:val="24"/>
                <w:szCs w:val="24"/>
                <w:rtl/>
              </w:rPr>
              <w:t xml:space="preserve"> </w:t>
            </w:r>
            <w:r w:rsidRPr="00423471">
              <w:rPr>
                <w:rFonts w:ascii="Narkisim" w:hAnsi="Narkisim" w:cs="Narkisim"/>
                <w:sz w:val="24"/>
                <w:szCs w:val="24"/>
                <w:rtl/>
              </w:rPr>
              <w:t xml:space="preserve">עניין שבסמכות שיפוט של בית דין לפי חוק, לרבות עניין שניתן להסכים לגביו כי יהיה </w:t>
            </w:r>
            <w:r>
              <w:rPr>
                <w:rFonts w:ascii="Narkisim" w:hAnsi="Narkisim" w:cs="Narkisim"/>
                <w:sz w:val="24"/>
                <w:szCs w:val="24"/>
                <w:rtl/>
              </w:rPr>
              <w:tab/>
            </w:r>
            <w:r w:rsidRPr="00423471">
              <w:rPr>
                <w:rFonts w:ascii="Narkisim" w:hAnsi="Narkisim" w:cs="Narkisim"/>
                <w:sz w:val="24"/>
                <w:szCs w:val="24"/>
                <w:rtl/>
              </w:rPr>
              <w:t>בסמכות שיפוטו של בית דין;</w:t>
            </w:r>
          </w:p>
          <w:p w:rsidR="002F2827" w:rsidRPr="002F2827" w:rsidRDefault="002F2827" w:rsidP="002F2827">
            <w:pPr>
              <w:spacing w:before="60" w:after="60"/>
              <w:jc w:val="both"/>
              <w:rPr>
                <w:rFonts w:ascii="Narkisim" w:hAnsi="Narkisim" w:cs="Narkisim"/>
                <w:sz w:val="24"/>
                <w:szCs w:val="24"/>
                <w:rtl/>
              </w:rPr>
            </w:pPr>
            <w:r w:rsidRPr="00423471">
              <w:rPr>
                <w:rFonts w:ascii="Narkisim" w:hAnsi="Narkisim" w:cs="Narkisim"/>
                <w:sz w:val="24"/>
                <w:szCs w:val="24"/>
                <w:rtl/>
              </w:rPr>
              <w:t>"שליטה" – כהגדרתה בחוק ניירות ערך, התשכ"ח–1968.</w:t>
            </w:r>
          </w:p>
        </w:tc>
      </w:tr>
    </w:tbl>
    <w:p w:rsidR="00E271FD" w:rsidRDefault="00344466" w:rsidP="00E271FD">
      <w:pPr>
        <w:spacing w:before="120" w:after="120" w:line="360" w:lineRule="auto"/>
        <w:jc w:val="both"/>
        <w:rPr>
          <w:rFonts w:cs="David"/>
          <w:sz w:val="24"/>
          <w:szCs w:val="24"/>
          <w:rtl/>
        </w:rPr>
      </w:pPr>
      <w:r w:rsidRPr="00846AFC">
        <w:rPr>
          <w:rFonts w:cs="David" w:hint="cs"/>
          <w:sz w:val="24"/>
          <w:szCs w:val="24"/>
          <w:rtl/>
        </w:rPr>
        <w:t>מוצע</w:t>
      </w:r>
      <w:r w:rsidR="00344A5B" w:rsidRPr="00846AFC">
        <w:rPr>
          <w:rFonts w:cs="David" w:hint="cs"/>
          <w:sz w:val="24"/>
          <w:szCs w:val="24"/>
          <w:rtl/>
        </w:rPr>
        <w:t xml:space="preserve"> לקבוע </w:t>
      </w:r>
      <w:r w:rsidR="00E271FD">
        <w:rPr>
          <w:rFonts w:cs="David" w:hint="cs"/>
          <w:sz w:val="24"/>
          <w:szCs w:val="24"/>
          <w:rtl/>
        </w:rPr>
        <w:t xml:space="preserve">מספר הגדרות שייעשה בהם שימוש בסעיפי הצעת החוק. </w:t>
      </w:r>
    </w:p>
    <w:p w:rsidR="00344466" w:rsidRPr="00846AFC" w:rsidRDefault="00E271FD" w:rsidP="001A098E">
      <w:pPr>
        <w:spacing w:before="120" w:after="120" w:line="360" w:lineRule="auto"/>
        <w:jc w:val="both"/>
        <w:rPr>
          <w:rFonts w:cs="David"/>
          <w:sz w:val="24"/>
          <w:szCs w:val="24"/>
          <w:rtl/>
        </w:rPr>
      </w:pPr>
      <w:r>
        <w:rPr>
          <w:rFonts w:cs="David" w:hint="cs"/>
          <w:sz w:val="24"/>
          <w:szCs w:val="24"/>
          <w:rtl/>
        </w:rPr>
        <w:t xml:space="preserve">לעניין הגדרת "בית דין" </w:t>
      </w:r>
      <w:r>
        <w:rPr>
          <w:rFonts w:cs="David"/>
          <w:sz w:val="24"/>
          <w:szCs w:val="24"/>
          <w:rtl/>
        </w:rPr>
        <w:t>–</w:t>
      </w:r>
      <w:r>
        <w:rPr>
          <w:rFonts w:cs="David" w:hint="cs"/>
          <w:sz w:val="24"/>
          <w:szCs w:val="24"/>
          <w:rtl/>
        </w:rPr>
        <w:t xml:space="preserve"> מוצע </w:t>
      </w:r>
      <w:r w:rsidR="000C4957">
        <w:rPr>
          <w:rFonts w:cs="David" w:hint="cs"/>
          <w:sz w:val="24"/>
          <w:szCs w:val="24"/>
          <w:rtl/>
        </w:rPr>
        <w:t xml:space="preserve">בהצעת החוק </w:t>
      </w:r>
      <w:r>
        <w:rPr>
          <w:rFonts w:cs="David" w:hint="cs"/>
          <w:sz w:val="24"/>
          <w:szCs w:val="24"/>
          <w:rtl/>
        </w:rPr>
        <w:t xml:space="preserve">לקבוע </w:t>
      </w:r>
      <w:r w:rsidR="000C4957">
        <w:rPr>
          <w:rFonts w:cs="David" w:hint="cs"/>
          <w:sz w:val="24"/>
          <w:szCs w:val="24"/>
          <w:rtl/>
        </w:rPr>
        <w:t>ש</w:t>
      </w:r>
      <w:r>
        <w:rPr>
          <w:rFonts w:cs="David" w:hint="cs"/>
          <w:sz w:val="24"/>
          <w:szCs w:val="24"/>
          <w:rtl/>
        </w:rPr>
        <w:t xml:space="preserve">מונח זה </w:t>
      </w:r>
      <w:r w:rsidR="006E3EBB">
        <w:rPr>
          <w:rFonts w:cs="David" w:hint="cs"/>
          <w:sz w:val="24"/>
          <w:szCs w:val="24"/>
          <w:rtl/>
        </w:rPr>
        <w:t>י</w:t>
      </w:r>
      <w:r w:rsidR="00344466" w:rsidRPr="00846AFC">
        <w:rPr>
          <w:rFonts w:cs="David" w:hint="cs"/>
          <w:sz w:val="24"/>
          <w:szCs w:val="24"/>
          <w:rtl/>
        </w:rPr>
        <w:t xml:space="preserve">תייחס הן לבית דין רבני, הן לבית דין שרעי והן לבית דין דתי דרוזי. בדברי ההסבר נטען, כי אין מניעה להחיל את החוק גם על בתי הדין של העדות הנוצריות המוכרות בישראל, אך </w:t>
      </w:r>
      <w:r w:rsidR="0018295A" w:rsidRPr="00846AFC">
        <w:rPr>
          <w:rFonts w:cs="David" w:hint="cs"/>
          <w:sz w:val="24"/>
          <w:szCs w:val="24"/>
          <w:rtl/>
        </w:rPr>
        <w:t>מכיוון ש</w:t>
      </w:r>
      <w:r w:rsidR="002A17A2" w:rsidRPr="00846AFC">
        <w:rPr>
          <w:rFonts w:cs="David" w:hint="cs"/>
          <w:sz w:val="24"/>
          <w:szCs w:val="24"/>
          <w:rtl/>
        </w:rPr>
        <w:t xml:space="preserve">אין חוק המסדיר את ייסודם ומינוי דייניהם, נראה </w:t>
      </w:r>
      <w:r w:rsidR="0018295A" w:rsidRPr="00846AFC">
        <w:rPr>
          <w:rFonts w:cs="David"/>
          <w:sz w:val="24"/>
          <w:szCs w:val="24"/>
          <w:rtl/>
        </w:rPr>
        <w:t>–</w:t>
      </w:r>
      <w:r w:rsidR="0018295A" w:rsidRPr="00846AFC">
        <w:rPr>
          <w:rFonts w:cs="David" w:hint="cs"/>
          <w:sz w:val="24"/>
          <w:szCs w:val="24"/>
          <w:rtl/>
        </w:rPr>
        <w:t xml:space="preserve"> כך נטען </w:t>
      </w:r>
      <w:r w:rsidR="0018295A" w:rsidRPr="00846AFC">
        <w:rPr>
          <w:rFonts w:cs="David"/>
          <w:sz w:val="24"/>
          <w:szCs w:val="24"/>
          <w:rtl/>
        </w:rPr>
        <w:t>–</w:t>
      </w:r>
      <w:r w:rsidR="0018295A" w:rsidRPr="00846AFC">
        <w:rPr>
          <w:rFonts w:cs="David" w:hint="cs"/>
          <w:sz w:val="24"/>
          <w:szCs w:val="24"/>
          <w:rtl/>
        </w:rPr>
        <w:t xml:space="preserve"> </w:t>
      </w:r>
      <w:r w:rsidR="002A17A2" w:rsidRPr="00846AFC">
        <w:rPr>
          <w:rFonts w:cs="David" w:hint="cs"/>
          <w:sz w:val="24"/>
          <w:szCs w:val="24"/>
          <w:rtl/>
        </w:rPr>
        <w:t>כי גם ללא הסדר מפורש בחוק הם מוסמכים לדון כבוררים.</w:t>
      </w:r>
    </w:p>
    <w:p w:rsidR="00CD17AE" w:rsidRPr="00846AFC" w:rsidRDefault="00CD17AE" w:rsidP="0086466E">
      <w:pPr>
        <w:spacing w:after="120" w:line="360" w:lineRule="auto"/>
        <w:jc w:val="both"/>
        <w:rPr>
          <w:rFonts w:cs="David"/>
          <w:sz w:val="24"/>
          <w:szCs w:val="24"/>
          <w:rtl/>
        </w:rPr>
      </w:pPr>
      <w:r w:rsidRPr="00846AFC">
        <w:rPr>
          <w:rFonts w:cs="David" w:hint="cs"/>
          <w:sz w:val="24"/>
          <w:szCs w:val="24"/>
          <w:u w:val="single"/>
          <w:rtl/>
        </w:rPr>
        <w:t>נקודות לדיון</w:t>
      </w:r>
      <w:r w:rsidRPr="00846AFC">
        <w:rPr>
          <w:rFonts w:cs="David" w:hint="cs"/>
          <w:sz w:val="24"/>
          <w:szCs w:val="24"/>
          <w:rtl/>
        </w:rPr>
        <w:t>:</w:t>
      </w:r>
    </w:p>
    <w:p w:rsidR="003C3E72" w:rsidRDefault="00B952C2" w:rsidP="003C3E72">
      <w:pPr>
        <w:spacing w:after="120" w:line="240" w:lineRule="auto"/>
        <w:jc w:val="both"/>
        <w:rPr>
          <w:rFonts w:cs="David"/>
          <w:sz w:val="24"/>
          <w:szCs w:val="24"/>
          <w:rtl/>
        </w:rPr>
      </w:pPr>
      <w:r w:rsidRPr="008104B4">
        <w:rPr>
          <w:rFonts w:cs="David" w:hint="cs"/>
          <w:b/>
          <w:bCs/>
          <w:sz w:val="24"/>
          <w:szCs w:val="24"/>
          <w:rtl/>
        </w:rPr>
        <w:t xml:space="preserve">(1) </w:t>
      </w:r>
      <w:r w:rsidR="00FC40D4" w:rsidRPr="008104B4">
        <w:rPr>
          <w:rFonts w:cs="David" w:hint="cs"/>
          <w:b/>
          <w:bCs/>
          <w:sz w:val="24"/>
          <w:szCs w:val="24"/>
          <w:rtl/>
        </w:rPr>
        <w:t xml:space="preserve">הגדרת סמכויות על דרך השלילה </w:t>
      </w:r>
    </w:p>
    <w:p w:rsidR="0005556D" w:rsidRDefault="009718C7" w:rsidP="003C3E72">
      <w:pPr>
        <w:spacing w:after="120" w:line="360" w:lineRule="auto"/>
        <w:jc w:val="both"/>
        <w:rPr>
          <w:rFonts w:cs="David"/>
          <w:sz w:val="24"/>
          <w:szCs w:val="24"/>
          <w:rtl/>
        </w:rPr>
      </w:pPr>
      <w:r w:rsidRPr="008104B4">
        <w:rPr>
          <w:rFonts w:cs="David" w:hint="cs"/>
          <w:sz w:val="24"/>
          <w:szCs w:val="24"/>
          <w:rtl/>
        </w:rPr>
        <w:t xml:space="preserve">הענקת סמכות, ובכלל זה הענקת סמכות סטטוטורית לערכאה שיפוטית לדון כבורר, </w:t>
      </w:r>
      <w:r w:rsidR="00EC6431" w:rsidRPr="008104B4">
        <w:rPr>
          <w:rFonts w:cs="David" w:hint="cs"/>
          <w:sz w:val="24"/>
          <w:szCs w:val="24"/>
          <w:rtl/>
        </w:rPr>
        <w:t xml:space="preserve">צריכה להיות ברורה ומדויקת עד כמה שניתן, באופן </w:t>
      </w:r>
      <w:r w:rsidRPr="008104B4">
        <w:rPr>
          <w:rFonts w:cs="David" w:hint="cs"/>
          <w:sz w:val="24"/>
          <w:szCs w:val="24"/>
          <w:rtl/>
        </w:rPr>
        <w:t xml:space="preserve">שימנע </w:t>
      </w:r>
      <w:r w:rsidR="00EC6431" w:rsidRPr="008104B4">
        <w:rPr>
          <w:rFonts w:cs="David" w:hint="cs"/>
          <w:sz w:val="24"/>
          <w:szCs w:val="24"/>
          <w:rtl/>
        </w:rPr>
        <w:t>ספקות</w:t>
      </w:r>
      <w:r w:rsidRPr="008104B4">
        <w:rPr>
          <w:rFonts w:cs="David" w:hint="cs"/>
          <w:sz w:val="24"/>
          <w:szCs w:val="24"/>
          <w:rtl/>
        </w:rPr>
        <w:t xml:space="preserve"> באשר לתחומי הסמכות. </w:t>
      </w:r>
      <w:r w:rsidR="00495011">
        <w:rPr>
          <w:rFonts w:cs="David" w:hint="cs"/>
          <w:sz w:val="24"/>
          <w:szCs w:val="24"/>
          <w:rtl/>
        </w:rPr>
        <w:t>הגדרת תוכן ה</w:t>
      </w:r>
      <w:r w:rsidRPr="008104B4">
        <w:rPr>
          <w:rFonts w:cs="David" w:hint="cs"/>
          <w:sz w:val="24"/>
          <w:szCs w:val="24"/>
          <w:rtl/>
        </w:rPr>
        <w:t>סמכות על דרך השלילה, עלולה ליצור ספקות באשר לתחומי המשפט שיכולים להידון בפני בית הדין הרבני כבורר, ובמקביל היא עלולה</w:t>
      </w:r>
      <w:r w:rsidR="001B638B" w:rsidRPr="008104B4">
        <w:rPr>
          <w:rFonts w:cs="David" w:hint="cs"/>
          <w:sz w:val="24"/>
          <w:szCs w:val="24"/>
          <w:rtl/>
        </w:rPr>
        <w:t>, מבלי משים, להפוך תחומי משפט שונים שדבר אין להם עם סכסוכים אזרחיים</w:t>
      </w:r>
      <w:r w:rsidR="008440AA">
        <w:rPr>
          <w:rFonts w:cs="David" w:hint="cs"/>
          <w:sz w:val="24"/>
          <w:szCs w:val="24"/>
          <w:rtl/>
        </w:rPr>
        <w:t xml:space="preserve"> (למשל, הדין המשמעתי)</w:t>
      </w:r>
      <w:r w:rsidR="001B638B" w:rsidRPr="008104B4">
        <w:rPr>
          <w:rFonts w:cs="David" w:hint="cs"/>
          <w:sz w:val="24"/>
          <w:szCs w:val="24"/>
          <w:rtl/>
        </w:rPr>
        <w:t>, ל"עניין אזרחי" שיכול להידון בבוררות בפני בית הדין הרבני</w:t>
      </w:r>
      <w:r w:rsidRPr="008104B4">
        <w:rPr>
          <w:rFonts w:cs="David" w:hint="cs"/>
          <w:sz w:val="24"/>
          <w:szCs w:val="24"/>
          <w:rtl/>
        </w:rPr>
        <w:t xml:space="preserve">. </w:t>
      </w:r>
    </w:p>
    <w:p w:rsidR="008440AA" w:rsidRDefault="00AB67D6" w:rsidP="009818D2">
      <w:pPr>
        <w:spacing w:after="120" w:line="360" w:lineRule="auto"/>
        <w:jc w:val="both"/>
        <w:rPr>
          <w:rFonts w:cs="David"/>
          <w:sz w:val="24"/>
          <w:szCs w:val="24"/>
          <w:rtl/>
        </w:rPr>
      </w:pPr>
      <w:r w:rsidRPr="008104B4">
        <w:rPr>
          <w:rFonts w:cs="David" w:hint="cs"/>
          <w:sz w:val="24"/>
          <w:szCs w:val="24"/>
          <w:rtl/>
        </w:rPr>
        <w:t xml:space="preserve">כדי </w:t>
      </w:r>
      <w:r w:rsidR="000350C6" w:rsidRPr="008104B4">
        <w:rPr>
          <w:rFonts w:cs="David" w:hint="cs"/>
          <w:sz w:val="24"/>
          <w:szCs w:val="24"/>
          <w:rtl/>
        </w:rPr>
        <w:t xml:space="preserve">שגדרי הסמכות יהיו ברורים, </w:t>
      </w:r>
      <w:r w:rsidR="007F484A" w:rsidRPr="003025B9">
        <w:rPr>
          <w:rFonts w:cs="David" w:hint="eastAsia"/>
          <w:b/>
          <w:bCs/>
          <w:sz w:val="24"/>
          <w:szCs w:val="24"/>
          <w:u w:val="single"/>
          <w:rtl/>
        </w:rPr>
        <w:t>אנו</w:t>
      </w:r>
      <w:r w:rsidR="007F484A" w:rsidRPr="003025B9">
        <w:rPr>
          <w:rFonts w:cs="David"/>
          <w:b/>
          <w:bCs/>
          <w:sz w:val="24"/>
          <w:szCs w:val="24"/>
          <w:u w:val="single"/>
          <w:rtl/>
        </w:rPr>
        <w:t xml:space="preserve"> סבורים </w:t>
      </w:r>
      <w:r w:rsidR="008440AA" w:rsidRPr="006946E4">
        <w:rPr>
          <w:rFonts w:cs="David" w:hint="eastAsia"/>
          <w:b/>
          <w:bCs/>
          <w:sz w:val="24"/>
          <w:szCs w:val="24"/>
          <w:u w:val="single"/>
          <w:rtl/>
        </w:rPr>
        <w:t>כי</w:t>
      </w:r>
      <w:r w:rsidR="008440AA" w:rsidRPr="006946E4">
        <w:rPr>
          <w:rFonts w:cs="David"/>
          <w:b/>
          <w:bCs/>
          <w:sz w:val="24"/>
          <w:szCs w:val="24"/>
          <w:u w:val="single"/>
          <w:rtl/>
        </w:rPr>
        <w:t xml:space="preserve"> הגדרת התחומים שבהם בית הדין הרבני יהיה מוסמך לדון כבורר, </w:t>
      </w:r>
      <w:r w:rsidR="009818D2">
        <w:rPr>
          <w:rFonts w:cs="David" w:hint="cs"/>
          <w:b/>
          <w:bCs/>
          <w:sz w:val="24"/>
          <w:szCs w:val="24"/>
          <w:u w:val="single"/>
          <w:rtl/>
        </w:rPr>
        <w:t>צריכה להיעשות</w:t>
      </w:r>
      <w:r w:rsidR="007F484A" w:rsidRPr="006946E4">
        <w:rPr>
          <w:rFonts w:cs="David"/>
          <w:b/>
          <w:bCs/>
          <w:sz w:val="24"/>
          <w:szCs w:val="24"/>
          <w:u w:val="single"/>
          <w:rtl/>
        </w:rPr>
        <w:t xml:space="preserve"> </w:t>
      </w:r>
      <w:r w:rsidR="008440AA" w:rsidRPr="006946E4">
        <w:rPr>
          <w:rFonts w:cs="David" w:hint="eastAsia"/>
          <w:b/>
          <w:bCs/>
          <w:sz w:val="24"/>
          <w:szCs w:val="24"/>
          <w:u w:val="single"/>
          <w:rtl/>
        </w:rPr>
        <w:t>על</w:t>
      </w:r>
      <w:r w:rsidR="008440AA" w:rsidRPr="006946E4">
        <w:rPr>
          <w:rFonts w:cs="David"/>
          <w:b/>
          <w:bCs/>
          <w:sz w:val="24"/>
          <w:szCs w:val="24"/>
          <w:u w:val="single"/>
          <w:rtl/>
        </w:rPr>
        <w:t xml:space="preserve"> דרך החיוב ולא על דרך השלילה, קרי: </w:t>
      </w:r>
      <w:r w:rsidR="007F484A" w:rsidRPr="006946E4">
        <w:rPr>
          <w:rFonts w:cs="David" w:hint="eastAsia"/>
          <w:b/>
          <w:bCs/>
          <w:sz w:val="24"/>
          <w:szCs w:val="24"/>
          <w:u w:val="single"/>
          <w:rtl/>
        </w:rPr>
        <w:t>ייכתב</w:t>
      </w:r>
      <w:r w:rsidR="007F484A" w:rsidRPr="006946E4">
        <w:rPr>
          <w:rFonts w:cs="David"/>
          <w:b/>
          <w:bCs/>
          <w:sz w:val="24"/>
          <w:szCs w:val="24"/>
          <w:u w:val="single"/>
          <w:rtl/>
        </w:rPr>
        <w:t xml:space="preserve"> </w:t>
      </w:r>
      <w:r w:rsidR="000350C6" w:rsidRPr="006946E4">
        <w:rPr>
          <w:rFonts w:cs="David" w:hint="eastAsia"/>
          <w:b/>
          <w:bCs/>
          <w:sz w:val="24"/>
          <w:szCs w:val="24"/>
          <w:u w:val="single"/>
          <w:rtl/>
        </w:rPr>
        <w:t>בצורה</w:t>
      </w:r>
      <w:r w:rsidR="000350C6" w:rsidRPr="006946E4">
        <w:rPr>
          <w:rFonts w:cs="David"/>
          <w:b/>
          <w:bCs/>
          <w:sz w:val="24"/>
          <w:szCs w:val="24"/>
          <w:u w:val="single"/>
          <w:rtl/>
        </w:rPr>
        <w:t xml:space="preserve"> מפורשת באלו נושאים בית הדין יהיה מוסמך לדון כבורר, </w:t>
      </w:r>
      <w:r w:rsidR="009455F1" w:rsidRPr="006946E4">
        <w:rPr>
          <w:rFonts w:cs="David" w:hint="eastAsia"/>
          <w:b/>
          <w:bCs/>
          <w:sz w:val="24"/>
          <w:szCs w:val="24"/>
          <w:u w:val="single"/>
          <w:rtl/>
        </w:rPr>
        <w:t>במקום</w:t>
      </w:r>
      <w:r w:rsidR="009455F1" w:rsidRPr="006946E4">
        <w:rPr>
          <w:rFonts w:cs="David"/>
          <w:b/>
          <w:bCs/>
          <w:sz w:val="24"/>
          <w:szCs w:val="24"/>
          <w:u w:val="single"/>
          <w:rtl/>
        </w:rPr>
        <w:t xml:space="preserve"> </w:t>
      </w:r>
      <w:r w:rsidR="000350C6" w:rsidRPr="006946E4">
        <w:rPr>
          <w:rFonts w:cs="David" w:hint="eastAsia"/>
          <w:b/>
          <w:bCs/>
          <w:sz w:val="24"/>
          <w:szCs w:val="24"/>
          <w:u w:val="single"/>
          <w:rtl/>
        </w:rPr>
        <w:t>הניסוח</w:t>
      </w:r>
      <w:r w:rsidR="000350C6" w:rsidRPr="006946E4">
        <w:rPr>
          <w:rFonts w:cs="David"/>
          <w:b/>
          <w:bCs/>
          <w:sz w:val="24"/>
          <w:szCs w:val="24"/>
          <w:u w:val="single"/>
          <w:rtl/>
        </w:rPr>
        <w:t xml:space="preserve"> השלילי שקובע </w:t>
      </w:r>
      <w:r w:rsidRPr="006946E4">
        <w:rPr>
          <w:rFonts w:cs="David" w:hint="eastAsia"/>
          <w:b/>
          <w:bCs/>
          <w:sz w:val="24"/>
          <w:szCs w:val="24"/>
          <w:u w:val="single"/>
          <w:rtl/>
        </w:rPr>
        <w:t>באלו</w:t>
      </w:r>
      <w:r w:rsidRPr="006946E4">
        <w:rPr>
          <w:rFonts w:cs="David"/>
          <w:b/>
          <w:bCs/>
          <w:sz w:val="24"/>
          <w:szCs w:val="24"/>
          <w:u w:val="single"/>
          <w:rtl/>
        </w:rPr>
        <w:t xml:space="preserve"> </w:t>
      </w:r>
      <w:r w:rsidRPr="006946E4">
        <w:rPr>
          <w:rFonts w:cs="David" w:hint="eastAsia"/>
          <w:b/>
          <w:bCs/>
          <w:sz w:val="24"/>
          <w:szCs w:val="24"/>
          <w:u w:val="single"/>
          <w:rtl/>
        </w:rPr>
        <w:t>נושאים</w:t>
      </w:r>
      <w:r w:rsidRPr="006946E4">
        <w:rPr>
          <w:rFonts w:cs="David"/>
          <w:b/>
          <w:bCs/>
          <w:sz w:val="24"/>
          <w:szCs w:val="24"/>
          <w:u w:val="single"/>
          <w:rtl/>
        </w:rPr>
        <w:t xml:space="preserve"> </w:t>
      </w:r>
      <w:r w:rsidRPr="006946E4">
        <w:rPr>
          <w:rFonts w:cs="David" w:hint="eastAsia"/>
          <w:b/>
          <w:bCs/>
          <w:sz w:val="24"/>
          <w:szCs w:val="24"/>
          <w:u w:val="single"/>
          <w:rtl/>
        </w:rPr>
        <w:t>בית</w:t>
      </w:r>
      <w:r w:rsidRPr="006946E4">
        <w:rPr>
          <w:rFonts w:cs="David"/>
          <w:b/>
          <w:bCs/>
          <w:sz w:val="24"/>
          <w:szCs w:val="24"/>
          <w:u w:val="single"/>
          <w:rtl/>
        </w:rPr>
        <w:t xml:space="preserve"> </w:t>
      </w:r>
      <w:r w:rsidRPr="006946E4">
        <w:rPr>
          <w:rFonts w:cs="David" w:hint="eastAsia"/>
          <w:b/>
          <w:bCs/>
          <w:sz w:val="24"/>
          <w:szCs w:val="24"/>
          <w:u w:val="single"/>
          <w:rtl/>
        </w:rPr>
        <w:t>הדין</w:t>
      </w:r>
      <w:r w:rsidRPr="006946E4">
        <w:rPr>
          <w:rFonts w:cs="David"/>
          <w:b/>
          <w:bCs/>
          <w:sz w:val="24"/>
          <w:szCs w:val="24"/>
          <w:u w:val="single"/>
          <w:rtl/>
        </w:rPr>
        <w:t xml:space="preserve"> </w:t>
      </w:r>
      <w:r w:rsidRPr="006946E4">
        <w:rPr>
          <w:rFonts w:cs="David" w:hint="eastAsia"/>
          <w:b/>
          <w:bCs/>
          <w:sz w:val="24"/>
          <w:szCs w:val="24"/>
          <w:u w:val="single"/>
          <w:rtl/>
        </w:rPr>
        <w:t>אינו</w:t>
      </w:r>
      <w:r w:rsidRPr="006946E4">
        <w:rPr>
          <w:rFonts w:cs="David"/>
          <w:b/>
          <w:bCs/>
          <w:sz w:val="24"/>
          <w:szCs w:val="24"/>
          <w:u w:val="single"/>
          <w:rtl/>
        </w:rPr>
        <w:t xml:space="preserve"> </w:t>
      </w:r>
      <w:r w:rsidRPr="006946E4">
        <w:rPr>
          <w:rFonts w:cs="David" w:hint="eastAsia"/>
          <w:b/>
          <w:bCs/>
          <w:sz w:val="24"/>
          <w:szCs w:val="24"/>
          <w:u w:val="single"/>
          <w:rtl/>
        </w:rPr>
        <w:t>מוסמך</w:t>
      </w:r>
      <w:r w:rsidRPr="006946E4">
        <w:rPr>
          <w:rFonts w:cs="David"/>
          <w:b/>
          <w:bCs/>
          <w:sz w:val="24"/>
          <w:szCs w:val="24"/>
          <w:u w:val="single"/>
          <w:rtl/>
        </w:rPr>
        <w:t xml:space="preserve"> </w:t>
      </w:r>
      <w:r w:rsidRPr="006946E4">
        <w:rPr>
          <w:rFonts w:cs="David" w:hint="eastAsia"/>
          <w:b/>
          <w:bCs/>
          <w:sz w:val="24"/>
          <w:szCs w:val="24"/>
          <w:u w:val="single"/>
          <w:rtl/>
        </w:rPr>
        <w:t>לדון</w:t>
      </w:r>
      <w:r w:rsidRPr="006946E4">
        <w:rPr>
          <w:rFonts w:cs="David"/>
          <w:b/>
          <w:bCs/>
          <w:sz w:val="24"/>
          <w:szCs w:val="24"/>
          <w:u w:val="single"/>
          <w:rtl/>
        </w:rPr>
        <w:t xml:space="preserve"> </w:t>
      </w:r>
      <w:r w:rsidRPr="006946E4">
        <w:rPr>
          <w:rFonts w:cs="David" w:hint="eastAsia"/>
          <w:b/>
          <w:bCs/>
          <w:sz w:val="24"/>
          <w:szCs w:val="24"/>
          <w:u w:val="single"/>
          <w:rtl/>
        </w:rPr>
        <w:t>כבורר</w:t>
      </w:r>
      <w:r w:rsidRPr="008104B4">
        <w:rPr>
          <w:rFonts w:cs="David" w:hint="cs"/>
          <w:sz w:val="24"/>
          <w:szCs w:val="24"/>
          <w:rtl/>
        </w:rPr>
        <w:t>.</w:t>
      </w:r>
      <w:r w:rsidR="00294919">
        <w:rPr>
          <w:rFonts w:cs="David" w:hint="cs"/>
          <w:sz w:val="24"/>
          <w:szCs w:val="24"/>
          <w:rtl/>
        </w:rPr>
        <w:t xml:space="preserve"> </w:t>
      </w:r>
      <w:r w:rsidR="008440AA">
        <w:rPr>
          <w:rFonts w:cs="David" w:hint="cs"/>
          <w:sz w:val="24"/>
          <w:szCs w:val="24"/>
          <w:rtl/>
        </w:rPr>
        <w:t xml:space="preserve">למשל, </w:t>
      </w:r>
      <w:r w:rsidR="00C15533">
        <w:rPr>
          <w:rFonts w:cs="David" w:hint="cs"/>
          <w:sz w:val="24"/>
          <w:szCs w:val="24"/>
          <w:rtl/>
        </w:rPr>
        <w:t xml:space="preserve">ניתן </w:t>
      </w:r>
      <w:r w:rsidR="008440AA">
        <w:rPr>
          <w:rFonts w:cs="David" w:hint="cs"/>
          <w:sz w:val="24"/>
          <w:szCs w:val="24"/>
          <w:rtl/>
        </w:rPr>
        <w:t xml:space="preserve">לכתוב כי "עניין אזרחי", הוא כל אחד מאלה: עניין שבא בגדרו של חוק החוזים, חוק השכירות והשאילה, חוק המכר וכן הלאה. </w:t>
      </w:r>
    </w:p>
    <w:p w:rsidR="003C3E72" w:rsidRPr="008104B4" w:rsidRDefault="003C3E72" w:rsidP="003C3E72">
      <w:pPr>
        <w:spacing w:after="0" w:line="360" w:lineRule="auto"/>
        <w:jc w:val="both"/>
        <w:rPr>
          <w:rFonts w:cs="David"/>
          <w:sz w:val="24"/>
          <w:szCs w:val="24"/>
          <w:rtl/>
        </w:rPr>
      </w:pPr>
    </w:p>
    <w:p w:rsidR="003C3E72" w:rsidRDefault="00F678EC" w:rsidP="003C3E72">
      <w:pPr>
        <w:spacing w:after="120" w:line="240" w:lineRule="auto"/>
        <w:jc w:val="both"/>
        <w:rPr>
          <w:rFonts w:cs="David"/>
          <w:sz w:val="24"/>
          <w:szCs w:val="24"/>
          <w:rtl/>
        </w:rPr>
      </w:pPr>
      <w:r w:rsidRPr="008104B4">
        <w:rPr>
          <w:rFonts w:cs="David" w:hint="cs"/>
          <w:b/>
          <w:bCs/>
          <w:sz w:val="24"/>
          <w:szCs w:val="24"/>
          <w:rtl/>
        </w:rPr>
        <w:t>(</w:t>
      </w:r>
      <w:r w:rsidR="003B5C15">
        <w:rPr>
          <w:rFonts w:cs="David" w:hint="cs"/>
          <w:b/>
          <w:bCs/>
          <w:sz w:val="24"/>
          <w:szCs w:val="24"/>
          <w:rtl/>
        </w:rPr>
        <w:t>2</w:t>
      </w:r>
      <w:r w:rsidRPr="008104B4">
        <w:rPr>
          <w:rFonts w:cs="David" w:hint="cs"/>
          <w:b/>
          <w:bCs/>
          <w:sz w:val="24"/>
          <w:szCs w:val="24"/>
          <w:rtl/>
        </w:rPr>
        <w:t xml:space="preserve">) </w:t>
      </w:r>
      <w:r w:rsidR="00451DC0" w:rsidRPr="008104B4">
        <w:rPr>
          <w:rFonts w:cs="David" w:hint="cs"/>
          <w:b/>
          <w:bCs/>
          <w:sz w:val="24"/>
          <w:szCs w:val="24"/>
          <w:rtl/>
        </w:rPr>
        <w:t xml:space="preserve">"עניין </w:t>
      </w:r>
      <w:r w:rsidR="004D529F" w:rsidRPr="008104B4">
        <w:rPr>
          <w:rFonts w:cs="David" w:hint="cs"/>
          <w:b/>
          <w:bCs/>
          <w:sz w:val="24"/>
          <w:szCs w:val="24"/>
          <w:rtl/>
        </w:rPr>
        <w:t xml:space="preserve">שאינו </w:t>
      </w:r>
      <w:r w:rsidR="00451DC0" w:rsidRPr="008104B4">
        <w:rPr>
          <w:rFonts w:cs="David" w:hint="cs"/>
          <w:b/>
          <w:bCs/>
          <w:sz w:val="24"/>
          <w:szCs w:val="24"/>
          <w:rtl/>
        </w:rPr>
        <w:t>בסמכות שיפוט של בית דין</w:t>
      </w:r>
      <w:r w:rsidR="004D529F" w:rsidRPr="008104B4">
        <w:rPr>
          <w:rFonts w:cs="David" w:hint="cs"/>
          <w:sz w:val="24"/>
          <w:szCs w:val="24"/>
          <w:rtl/>
        </w:rPr>
        <w:t>...</w:t>
      </w:r>
      <w:r w:rsidR="00451DC0" w:rsidRPr="008104B4">
        <w:rPr>
          <w:rFonts w:cs="David" w:hint="cs"/>
          <w:sz w:val="24"/>
          <w:szCs w:val="24"/>
          <w:rtl/>
        </w:rPr>
        <w:t xml:space="preserve">" </w:t>
      </w:r>
    </w:p>
    <w:p w:rsidR="00BB0528" w:rsidRPr="008104B4" w:rsidRDefault="004D529F" w:rsidP="003C3E72">
      <w:pPr>
        <w:spacing w:after="120" w:line="360" w:lineRule="auto"/>
        <w:jc w:val="both"/>
        <w:rPr>
          <w:rFonts w:cs="David"/>
          <w:sz w:val="24"/>
          <w:szCs w:val="24"/>
          <w:rtl/>
        </w:rPr>
      </w:pPr>
      <w:r w:rsidRPr="008104B4">
        <w:rPr>
          <w:rFonts w:cs="David" w:hint="cs"/>
          <w:sz w:val="24"/>
          <w:szCs w:val="24"/>
          <w:rtl/>
        </w:rPr>
        <w:t xml:space="preserve">בדברי ההסבר להצעת החוק נטען, כי כדי לגבש הסכמה רחבה ולהימנע ממחלוקת ציבורית באשר להרחבת סמכויות בתי הדין הדתיים בענייני </w:t>
      </w:r>
      <w:r w:rsidR="00270CD1">
        <w:rPr>
          <w:rFonts w:cs="David" w:hint="cs"/>
          <w:sz w:val="24"/>
          <w:szCs w:val="24"/>
          <w:rtl/>
        </w:rPr>
        <w:t>נישואין ו</w:t>
      </w:r>
      <w:r w:rsidRPr="008104B4">
        <w:rPr>
          <w:rFonts w:cs="David" w:hint="cs"/>
          <w:sz w:val="24"/>
          <w:szCs w:val="24"/>
          <w:rtl/>
        </w:rPr>
        <w:t xml:space="preserve">גירושין, מוצע </w:t>
      </w:r>
      <w:r w:rsidR="009D0FDF">
        <w:rPr>
          <w:rFonts w:cs="David" w:hint="cs"/>
          <w:sz w:val="24"/>
          <w:szCs w:val="24"/>
          <w:rtl/>
        </w:rPr>
        <w:t xml:space="preserve">להחריג </w:t>
      </w:r>
      <w:r w:rsidRPr="008104B4">
        <w:rPr>
          <w:rFonts w:cs="David" w:hint="cs"/>
          <w:sz w:val="24"/>
          <w:szCs w:val="24"/>
          <w:rtl/>
        </w:rPr>
        <w:t xml:space="preserve">במפורש </w:t>
      </w:r>
      <w:r w:rsidR="009D0FDF">
        <w:rPr>
          <w:rFonts w:cs="David" w:hint="cs"/>
          <w:sz w:val="24"/>
          <w:szCs w:val="24"/>
          <w:rtl/>
        </w:rPr>
        <w:t>מסמכותו של בית הדין כבורר, עניינים ה</w:t>
      </w:r>
      <w:r w:rsidRPr="008104B4">
        <w:rPr>
          <w:rFonts w:cs="David" w:hint="cs"/>
          <w:sz w:val="24"/>
          <w:szCs w:val="24"/>
          <w:rtl/>
        </w:rPr>
        <w:t xml:space="preserve">כרוכים בגירושין או </w:t>
      </w:r>
      <w:r w:rsidR="009D0FDF">
        <w:rPr>
          <w:rFonts w:cs="David" w:hint="cs"/>
          <w:sz w:val="24"/>
          <w:szCs w:val="24"/>
          <w:rtl/>
        </w:rPr>
        <w:t xml:space="preserve">עניינים </w:t>
      </w:r>
      <w:r w:rsidRPr="008104B4">
        <w:rPr>
          <w:rFonts w:cs="David" w:hint="cs"/>
          <w:sz w:val="24"/>
          <w:szCs w:val="24"/>
          <w:rtl/>
        </w:rPr>
        <w:t>אחר</w:t>
      </w:r>
      <w:r w:rsidR="009D0FDF">
        <w:rPr>
          <w:rFonts w:cs="David" w:hint="cs"/>
          <w:sz w:val="24"/>
          <w:szCs w:val="24"/>
          <w:rtl/>
        </w:rPr>
        <w:t>ים</w:t>
      </w:r>
      <w:r w:rsidRPr="008104B4">
        <w:rPr>
          <w:rFonts w:cs="David" w:hint="cs"/>
          <w:sz w:val="24"/>
          <w:szCs w:val="24"/>
          <w:rtl/>
        </w:rPr>
        <w:t xml:space="preserve"> של מעמד אישי </w:t>
      </w:r>
      <w:r w:rsidRPr="002A2A12">
        <w:rPr>
          <w:rFonts w:cs="David" w:hint="cs"/>
          <w:sz w:val="24"/>
          <w:szCs w:val="24"/>
          <w:rtl/>
        </w:rPr>
        <w:t xml:space="preserve">שלבית דין דתי קיימת </w:t>
      </w:r>
      <w:r w:rsidR="009D0FDF" w:rsidRPr="002A2A12">
        <w:rPr>
          <w:rFonts w:cs="David" w:hint="cs"/>
          <w:sz w:val="24"/>
          <w:szCs w:val="24"/>
          <w:rtl/>
        </w:rPr>
        <w:t xml:space="preserve">לגביהם </w:t>
      </w:r>
      <w:r w:rsidRPr="00DD23A5">
        <w:rPr>
          <w:rFonts w:cs="David" w:hint="cs"/>
          <w:sz w:val="24"/>
          <w:szCs w:val="24"/>
          <w:rtl/>
        </w:rPr>
        <w:t>סמכות שיפוט</w:t>
      </w:r>
      <w:r w:rsidRPr="00A90F45">
        <w:rPr>
          <w:rFonts w:cs="David"/>
          <w:sz w:val="24"/>
          <w:szCs w:val="24"/>
          <w:rtl/>
        </w:rPr>
        <w:t>,</w:t>
      </w:r>
      <w:r w:rsidRPr="008104B4">
        <w:rPr>
          <w:rFonts w:cs="David" w:hint="cs"/>
          <w:sz w:val="24"/>
          <w:szCs w:val="24"/>
          <w:rtl/>
        </w:rPr>
        <w:t xml:space="preserve"> ולו בהסכמה. </w:t>
      </w:r>
      <w:r w:rsidR="00C30784" w:rsidRPr="006946E4">
        <w:rPr>
          <w:rFonts w:cs="David" w:hint="eastAsia"/>
          <w:b/>
          <w:bCs/>
          <w:sz w:val="24"/>
          <w:szCs w:val="24"/>
          <w:u w:val="single"/>
          <w:rtl/>
        </w:rPr>
        <w:t>ואולם</w:t>
      </w:r>
      <w:r w:rsidR="00C30784" w:rsidRPr="006946E4">
        <w:rPr>
          <w:rFonts w:cs="David"/>
          <w:b/>
          <w:bCs/>
          <w:sz w:val="24"/>
          <w:szCs w:val="24"/>
          <w:u w:val="single"/>
          <w:rtl/>
        </w:rPr>
        <w:t xml:space="preserve">, </w:t>
      </w:r>
      <w:r w:rsidR="00294FFB" w:rsidRPr="006946E4">
        <w:rPr>
          <w:rFonts w:cs="David" w:hint="eastAsia"/>
          <w:b/>
          <w:bCs/>
          <w:sz w:val="24"/>
          <w:szCs w:val="24"/>
          <w:u w:val="single"/>
          <w:rtl/>
        </w:rPr>
        <w:t>בעניין</w:t>
      </w:r>
      <w:r w:rsidR="00294FFB" w:rsidRPr="006946E4">
        <w:rPr>
          <w:rFonts w:cs="David"/>
          <w:b/>
          <w:bCs/>
          <w:sz w:val="24"/>
          <w:szCs w:val="24"/>
          <w:u w:val="single"/>
          <w:rtl/>
        </w:rPr>
        <w:t xml:space="preserve"> </w:t>
      </w:r>
      <w:r w:rsidR="00294FFB" w:rsidRPr="006946E4">
        <w:rPr>
          <w:rFonts w:cs="David" w:hint="eastAsia"/>
          <w:b/>
          <w:bCs/>
          <w:sz w:val="24"/>
          <w:szCs w:val="24"/>
          <w:u w:val="single"/>
          <w:rtl/>
        </w:rPr>
        <w:t>זה</w:t>
      </w:r>
      <w:r w:rsidR="00294FFB" w:rsidRPr="006946E4">
        <w:rPr>
          <w:rFonts w:cs="David"/>
          <w:b/>
          <w:bCs/>
          <w:sz w:val="24"/>
          <w:szCs w:val="24"/>
          <w:u w:val="single"/>
          <w:rtl/>
        </w:rPr>
        <w:t xml:space="preserve"> </w:t>
      </w:r>
      <w:r w:rsidR="00294FFB" w:rsidRPr="006946E4">
        <w:rPr>
          <w:rFonts w:cs="David" w:hint="eastAsia"/>
          <w:b/>
          <w:bCs/>
          <w:sz w:val="24"/>
          <w:szCs w:val="24"/>
          <w:u w:val="single"/>
          <w:rtl/>
        </w:rPr>
        <w:t>קיים</w:t>
      </w:r>
      <w:r w:rsidR="00294FFB" w:rsidRPr="006946E4">
        <w:rPr>
          <w:rFonts w:cs="David"/>
          <w:b/>
          <w:bCs/>
          <w:sz w:val="24"/>
          <w:szCs w:val="24"/>
          <w:u w:val="single"/>
          <w:rtl/>
        </w:rPr>
        <w:t xml:space="preserve"> </w:t>
      </w:r>
      <w:r w:rsidR="00294FFB" w:rsidRPr="006946E4">
        <w:rPr>
          <w:rFonts w:cs="David" w:hint="eastAsia"/>
          <w:b/>
          <w:bCs/>
          <w:sz w:val="24"/>
          <w:szCs w:val="24"/>
          <w:u w:val="single"/>
          <w:rtl/>
        </w:rPr>
        <w:t>פער</w:t>
      </w:r>
      <w:r w:rsidR="00294FFB" w:rsidRPr="006946E4">
        <w:rPr>
          <w:rFonts w:cs="David"/>
          <w:b/>
          <w:bCs/>
          <w:sz w:val="24"/>
          <w:szCs w:val="24"/>
          <w:u w:val="single"/>
          <w:rtl/>
        </w:rPr>
        <w:t xml:space="preserve"> </w:t>
      </w:r>
      <w:r w:rsidR="00294FFB" w:rsidRPr="006946E4">
        <w:rPr>
          <w:rFonts w:cs="David" w:hint="eastAsia"/>
          <w:b/>
          <w:bCs/>
          <w:sz w:val="24"/>
          <w:szCs w:val="24"/>
          <w:u w:val="single"/>
          <w:rtl/>
        </w:rPr>
        <w:t>בין</w:t>
      </w:r>
      <w:r w:rsidR="00294FFB" w:rsidRPr="006946E4">
        <w:rPr>
          <w:rFonts w:cs="David"/>
          <w:b/>
          <w:bCs/>
          <w:sz w:val="24"/>
          <w:szCs w:val="24"/>
          <w:u w:val="single"/>
          <w:rtl/>
        </w:rPr>
        <w:t xml:space="preserve"> </w:t>
      </w:r>
      <w:r w:rsidR="00294FFB" w:rsidRPr="006946E4">
        <w:rPr>
          <w:rFonts w:cs="David" w:hint="eastAsia"/>
          <w:b/>
          <w:bCs/>
          <w:sz w:val="24"/>
          <w:szCs w:val="24"/>
          <w:u w:val="single"/>
          <w:rtl/>
        </w:rPr>
        <w:t>דברי</w:t>
      </w:r>
      <w:r w:rsidR="00294FFB" w:rsidRPr="006946E4">
        <w:rPr>
          <w:rFonts w:cs="David"/>
          <w:b/>
          <w:bCs/>
          <w:sz w:val="24"/>
          <w:szCs w:val="24"/>
          <w:u w:val="single"/>
          <w:rtl/>
        </w:rPr>
        <w:t xml:space="preserve"> </w:t>
      </w:r>
      <w:r w:rsidR="00294FFB" w:rsidRPr="006946E4">
        <w:rPr>
          <w:rFonts w:cs="David" w:hint="eastAsia"/>
          <w:b/>
          <w:bCs/>
          <w:sz w:val="24"/>
          <w:szCs w:val="24"/>
          <w:u w:val="single"/>
          <w:rtl/>
        </w:rPr>
        <w:t>ההסבר</w:t>
      </w:r>
      <w:r w:rsidR="00294FFB" w:rsidRPr="006946E4">
        <w:rPr>
          <w:rFonts w:cs="David"/>
          <w:b/>
          <w:bCs/>
          <w:sz w:val="24"/>
          <w:szCs w:val="24"/>
          <w:u w:val="single"/>
          <w:rtl/>
        </w:rPr>
        <w:t xml:space="preserve"> </w:t>
      </w:r>
      <w:r w:rsidR="00294FFB" w:rsidRPr="006946E4">
        <w:rPr>
          <w:rFonts w:cs="David" w:hint="eastAsia"/>
          <w:b/>
          <w:bCs/>
          <w:sz w:val="24"/>
          <w:szCs w:val="24"/>
          <w:u w:val="single"/>
          <w:rtl/>
        </w:rPr>
        <w:t>לנוסח</w:t>
      </w:r>
      <w:r w:rsidR="00294FFB" w:rsidRPr="006946E4">
        <w:rPr>
          <w:rFonts w:cs="David"/>
          <w:b/>
          <w:bCs/>
          <w:sz w:val="24"/>
          <w:szCs w:val="24"/>
          <w:u w:val="single"/>
          <w:rtl/>
        </w:rPr>
        <w:t xml:space="preserve"> </w:t>
      </w:r>
      <w:r w:rsidR="00294FFB" w:rsidRPr="006946E4">
        <w:rPr>
          <w:rFonts w:cs="David" w:hint="eastAsia"/>
          <w:b/>
          <w:bCs/>
          <w:sz w:val="24"/>
          <w:szCs w:val="24"/>
          <w:u w:val="single"/>
          <w:rtl/>
        </w:rPr>
        <w:t>המוצע</w:t>
      </w:r>
      <w:r w:rsidR="00294FFB">
        <w:rPr>
          <w:rFonts w:cs="David" w:hint="cs"/>
          <w:sz w:val="24"/>
          <w:szCs w:val="24"/>
          <w:rtl/>
        </w:rPr>
        <w:t xml:space="preserve">. </w:t>
      </w:r>
      <w:r w:rsidR="00A63383" w:rsidRPr="008104B4">
        <w:rPr>
          <w:rFonts w:cs="David" w:hint="cs"/>
          <w:sz w:val="24"/>
          <w:szCs w:val="24"/>
          <w:rtl/>
        </w:rPr>
        <w:t>כיצד? מהגדרת המונח "עניין אזרחי" עולה</w:t>
      </w:r>
      <w:r w:rsidR="00270CD1">
        <w:rPr>
          <w:rFonts w:cs="David" w:hint="cs"/>
          <w:sz w:val="24"/>
          <w:szCs w:val="24"/>
          <w:rtl/>
        </w:rPr>
        <w:t>,</w:t>
      </w:r>
      <w:r w:rsidR="00A63383" w:rsidRPr="008104B4">
        <w:rPr>
          <w:rFonts w:cs="David" w:hint="cs"/>
          <w:sz w:val="24"/>
          <w:szCs w:val="24"/>
          <w:rtl/>
        </w:rPr>
        <w:t xml:space="preserve"> כי כל עניין שאינו בסמכות השיפוט של בית הדין הרבני</w:t>
      </w:r>
      <w:r w:rsidR="0023251B" w:rsidRPr="008104B4">
        <w:rPr>
          <w:rFonts w:cs="David" w:hint="cs"/>
          <w:sz w:val="24"/>
          <w:szCs w:val="24"/>
          <w:rtl/>
        </w:rPr>
        <w:t xml:space="preserve"> </w:t>
      </w:r>
      <w:r w:rsidR="001A098E">
        <w:rPr>
          <w:rFonts w:cs="David" w:hint="cs"/>
          <w:sz w:val="24"/>
          <w:szCs w:val="24"/>
          <w:rtl/>
        </w:rPr>
        <w:t>(</w:t>
      </w:r>
      <w:r w:rsidR="0023251B" w:rsidRPr="008104B4">
        <w:rPr>
          <w:rFonts w:cs="David" w:hint="cs"/>
          <w:sz w:val="24"/>
          <w:szCs w:val="24"/>
          <w:rtl/>
        </w:rPr>
        <w:t>ואינו עניין פלילי או מינהלי</w:t>
      </w:r>
      <w:r w:rsidR="001A098E">
        <w:rPr>
          <w:rFonts w:cs="David" w:hint="cs"/>
          <w:sz w:val="24"/>
          <w:szCs w:val="24"/>
          <w:rtl/>
        </w:rPr>
        <w:t>)</w:t>
      </w:r>
      <w:r w:rsidR="0023251B" w:rsidRPr="008104B4">
        <w:rPr>
          <w:rFonts w:cs="David" w:hint="cs"/>
          <w:sz w:val="24"/>
          <w:szCs w:val="24"/>
          <w:rtl/>
        </w:rPr>
        <w:t xml:space="preserve"> </w:t>
      </w:r>
      <w:r w:rsidR="00A63383" w:rsidRPr="008104B4">
        <w:rPr>
          <w:rFonts w:cs="David" w:hint="cs"/>
          <w:sz w:val="24"/>
          <w:szCs w:val="24"/>
          <w:rtl/>
        </w:rPr>
        <w:t>הוא "עניין אזרחי" שיכול להידון בבו</w:t>
      </w:r>
      <w:r w:rsidR="0006785C" w:rsidRPr="008104B4">
        <w:rPr>
          <w:rFonts w:cs="David" w:hint="cs"/>
          <w:sz w:val="24"/>
          <w:szCs w:val="24"/>
          <w:rtl/>
        </w:rPr>
        <w:t>ר</w:t>
      </w:r>
      <w:r w:rsidR="00A63383" w:rsidRPr="008104B4">
        <w:rPr>
          <w:rFonts w:cs="David" w:hint="cs"/>
          <w:sz w:val="24"/>
          <w:szCs w:val="24"/>
          <w:rtl/>
        </w:rPr>
        <w:t xml:space="preserve">רות בפני בית הדין הרבני. </w:t>
      </w:r>
      <w:r w:rsidR="00294FFB" w:rsidRPr="00294FFB">
        <w:rPr>
          <w:rFonts w:cs="David" w:hint="cs"/>
          <w:sz w:val="24"/>
          <w:szCs w:val="24"/>
          <w:rtl/>
        </w:rPr>
        <w:t xml:space="preserve">למעשה, </w:t>
      </w:r>
      <w:r w:rsidR="00A63383" w:rsidRPr="008104B4">
        <w:rPr>
          <w:rFonts w:cs="David" w:hint="cs"/>
          <w:sz w:val="24"/>
          <w:szCs w:val="24"/>
          <w:u w:val="single"/>
          <w:rtl/>
        </w:rPr>
        <w:t xml:space="preserve">בהגדרה </w:t>
      </w:r>
      <w:r w:rsidR="0023251B" w:rsidRPr="008104B4">
        <w:rPr>
          <w:rFonts w:cs="David" w:hint="cs"/>
          <w:sz w:val="24"/>
          <w:szCs w:val="24"/>
          <w:u w:val="single"/>
          <w:rtl/>
        </w:rPr>
        <w:t xml:space="preserve">רחבה </w:t>
      </w:r>
      <w:r w:rsidR="00A63383" w:rsidRPr="008104B4">
        <w:rPr>
          <w:rFonts w:cs="David" w:hint="cs"/>
          <w:sz w:val="24"/>
          <w:szCs w:val="24"/>
          <w:u w:val="single"/>
          <w:rtl/>
        </w:rPr>
        <w:t xml:space="preserve">זו כלולים </w:t>
      </w:r>
      <w:r w:rsidR="0023251B" w:rsidRPr="008104B4">
        <w:rPr>
          <w:rFonts w:cs="David" w:hint="cs"/>
          <w:sz w:val="24"/>
          <w:szCs w:val="24"/>
          <w:u w:val="single"/>
          <w:rtl/>
        </w:rPr>
        <w:t xml:space="preserve">גם </w:t>
      </w:r>
      <w:r w:rsidR="00A63383" w:rsidRPr="008104B4">
        <w:rPr>
          <w:rFonts w:cs="David" w:hint="cs"/>
          <w:sz w:val="24"/>
          <w:szCs w:val="24"/>
          <w:u w:val="single"/>
          <w:rtl/>
        </w:rPr>
        <w:t xml:space="preserve">כל אותם </w:t>
      </w:r>
      <w:r w:rsidR="0006785C" w:rsidRPr="008104B4">
        <w:rPr>
          <w:rFonts w:cs="David" w:hint="cs"/>
          <w:sz w:val="24"/>
          <w:szCs w:val="24"/>
          <w:u w:val="single"/>
          <w:rtl/>
        </w:rPr>
        <w:t>עניינים מ</w:t>
      </w:r>
      <w:r w:rsidR="00A63383" w:rsidRPr="008104B4">
        <w:rPr>
          <w:rFonts w:cs="David" w:hint="cs"/>
          <w:sz w:val="24"/>
          <w:szCs w:val="24"/>
          <w:u w:val="single"/>
          <w:rtl/>
        </w:rPr>
        <w:t xml:space="preserve">תחום </w:t>
      </w:r>
      <w:r w:rsidR="0011717E">
        <w:rPr>
          <w:rFonts w:cs="David" w:hint="cs"/>
          <w:sz w:val="24"/>
          <w:szCs w:val="24"/>
          <w:u w:val="single"/>
          <w:rtl/>
        </w:rPr>
        <w:t xml:space="preserve">הרחבה של </w:t>
      </w:r>
      <w:r w:rsidR="00A63383" w:rsidRPr="008104B4">
        <w:rPr>
          <w:rFonts w:cs="David" w:hint="cs"/>
          <w:sz w:val="24"/>
          <w:szCs w:val="24"/>
          <w:u w:val="single"/>
          <w:rtl/>
        </w:rPr>
        <w:t>"דיני המשפחה"</w:t>
      </w:r>
      <w:r w:rsidR="0006785C" w:rsidRPr="008104B4">
        <w:rPr>
          <w:rFonts w:cs="David" w:hint="cs"/>
          <w:sz w:val="24"/>
          <w:szCs w:val="24"/>
          <w:u w:val="single"/>
          <w:rtl/>
        </w:rPr>
        <w:t>,</w:t>
      </w:r>
      <w:r w:rsidR="00A63383" w:rsidRPr="008104B4">
        <w:rPr>
          <w:rFonts w:cs="David" w:hint="cs"/>
          <w:sz w:val="24"/>
          <w:szCs w:val="24"/>
          <w:u w:val="single"/>
          <w:rtl/>
        </w:rPr>
        <w:t xml:space="preserve"> שבמהלך השנים </w:t>
      </w:r>
      <w:r w:rsidR="008A1DF1">
        <w:rPr>
          <w:rFonts w:cs="David" w:hint="cs"/>
          <w:sz w:val="24"/>
          <w:szCs w:val="24"/>
          <w:u w:val="single"/>
          <w:rtl/>
        </w:rPr>
        <w:t>בג</w:t>
      </w:r>
      <w:r w:rsidR="008A1DF1">
        <w:rPr>
          <w:rFonts w:cs="David"/>
          <w:sz w:val="24"/>
          <w:szCs w:val="24"/>
          <w:u w:val="single"/>
          <w:rtl/>
        </w:rPr>
        <w:t>"</w:t>
      </w:r>
      <w:r w:rsidR="008A1DF1">
        <w:rPr>
          <w:rFonts w:cs="David" w:hint="cs"/>
          <w:sz w:val="24"/>
          <w:szCs w:val="24"/>
          <w:u w:val="single"/>
          <w:rtl/>
        </w:rPr>
        <w:t>ץ</w:t>
      </w:r>
      <w:r w:rsidR="0006785C" w:rsidRPr="008104B4">
        <w:rPr>
          <w:rFonts w:cs="David" w:hint="cs"/>
          <w:sz w:val="24"/>
          <w:szCs w:val="24"/>
          <w:u w:val="single"/>
          <w:rtl/>
        </w:rPr>
        <w:t xml:space="preserve"> קבע </w:t>
      </w:r>
      <w:r w:rsidR="0023251B" w:rsidRPr="008104B4">
        <w:rPr>
          <w:rFonts w:cs="David" w:hint="cs"/>
          <w:sz w:val="24"/>
          <w:szCs w:val="24"/>
          <w:u w:val="single"/>
          <w:rtl/>
        </w:rPr>
        <w:t xml:space="preserve">לגביהם </w:t>
      </w:r>
      <w:r w:rsidR="00A63383" w:rsidRPr="008104B4">
        <w:rPr>
          <w:rFonts w:cs="David" w:hint="cs"/>
          <w:sz w:val="24"/>
          <w:szCs w:val="24"/>
          <w:u w:val="single"/>
          <w:rtl/>
        </w:rPr>
        <w:t>כי הם</w:t>
      </w:r>
      <w:r w:rsidR="0005556D">
        <w:rPr>
          <w:rFonts w:cs="David" w:hint="cs"/>
          <w:sz w:val="24"/>
          <w:szCs w:val="24"/>
          <w:u w:val="single"/>
          <w:rtl/>
        </w:rPr>
        <w:t xml:space="preserve"> אינם בסמכותו של בית הדין הרבני.</w:t>
      </w:r>
      <w:r w:rsidR="00F678EC" w:rsidRPr="008104B4">
        <w:rPr>
          <w:rFonts w:cs="David" w:hint="cs"/>
          <w:sz w:val="24"/>
          <w:szCs w:val="24"/>
          <w:rtl/>
        </w:rPr>
        <w:t xml:space="preserve"> </w:t>
      </w:r>
      <w:r w:rsidR="00A63383" w:rsidRPr="008104B4">
        <w:rPr>
          <w:rFonts w:cs="David" w:hint="cs"/>
          <w:sz w:val="24"/>
          <w:szCs w:val="24"/>
          <w:rtl/>
        </w:rPr>
        <w:t xml:space="preserve">כך, למשל, בפרשת </w:t>
      </w:r>
      <w:r w:rsidR="00A63383" w:rsidRPr="003B5C15">
        <w:rPr>
          <w:rFonts w:cs="David" w:hint="cs"/>
          <w:b/>
          <w:bCs/>
          <w:sz w:val="24"/>
          <w:szCs w:val="24"/>
          <w:rtl/>
        </w:rPr>
        <w:lastRenderedPageBreak/>
        <w:t>סימה אמיר</w:t>
      </w:r>
      <w:r w:rsidR="00A63383" w:rsidRPr="008104B4">
        <w:rPr>
          <w:rFonts w:cs="David" w:hint="cs"/>
          <w:sz w:val="24"/>
          <w:szCs w:val="24"/>
          <w:rtl/>
        </w:rPr>
        <w:t xml:space="preserve"> נקבע, כי </w:t>
      </w:r>
      <w:r w:rsidR="009C21B0" w:rsidRPr="008104B4">
        <w:rPr>
          <w:rFonts w:cs="David" w:hint="cs"/>
          <w:sz w:val="24"/>
          <w:szCs w:val="24"/>
          <w:rtl/>
        </w:rPr>
        <w:t xml:space="preserve">תביעה לאכיפה של סעיף שיפוי </w:t>
      </w:r>
      <w:r w:rsidR="001A098E">
        <w:rPr>
          <w:rFonts w:cs="David" w:hint="cs"/>
          <w:sz w:val="24"/>
          <w:szCs w:val="24"/>
          <w:rtl/>
        </w:rPr>
        <w:t>ב</w:t>
      </w:r>
      <w:r w:rsidR="009C21B0" w:rsidRPr="008104B4">
        <w:rPr>
          <w:rFonts w:cs="David" w:hint="cs"/>
          <w:sz w:val="24"/>
          <w:szCs w:val="24"/>
          <w:rtl/>
        </w:rPr>
        <w:t xml:space="preserve">הסכם גירושין </w:t>
      </w:r>
      <w:r w:rsidR="0006785C" w:rsidRPr="008104B4">
        <w:rPr>
          <w:rFonts w:cs="David" w:hint="cs"/>
          <w:sz w:val="24"/>
          <w:szCs w:val="24"/>
          <w:rtl/>
        </w:rPr>
        <w:t xml:space="preserve">שאושר על ידי בית הדין הרבני, </w:t>
      </w:r>
      <w:r w:rsidR="009C21B0" w:rsidRPr="008104B4">
        <w:rPr>
          <w:rFonts w:cs="David" w:hint="cs"/>
          <w:sz w:val="24"/>
          <w:szCs w:val="24"/>
          <w:rtl/>
        </w:rPr>
        <w:t xml:space="preserve">אינה מצויה בסמכות השיפוט של בית הדין הרבני והוא אף אינו יכול לדון בה כבורר. </w:t>
      </w:r>
      <w:r w:rsidR="001A098E">
        <w:rPr>
          <w:rFonts w:cs="David" w:hint="cs"/>
          <w:sz w:val="24"/>
          <w:szCs w:val="24"/>
          <w:rtl/>
        </w:rPr>
        <w:t xml:space="preserve">באופן פרדוקסלי, </w:t>
      </w:r>
      <w:r w:rsidR="0006785C" w:rsidRPr="008104B4">
        <w:rPr>
          <w:rFonts w:cs="David" w:hint="cs"/>
          <w:sz w:val="24"/>
          <w:szCs w:val="24"/>
          <w:rtl/>
        </w:rPr>
        <w:t xml:space="preserve">דווקא </w:t>
      </w:r>
      <w:r w:rsidR="0023251B" w:rsidRPr="008104B4">
        <w:rPr>
          <w:rFonts w:cs="David" w:hint="cs"/>
          <w:sz w:val="24"/>
          <w:szCs w:val="24"/>
          <w:rtl/>
        </w:rPr>
        <w:t>ה</w:t>
      </w:r>
      <w:r w:rsidR="0006785C" w:rsidRPr="008104B4">
        <w:rPr>
          <w:rFonts w:cs="David" w:hint="cs"/>
          <w:sz w:val="24"/>
          <w:szCs w:val="24"/>
          <w:rtl/>
        </w:rPr>
        <w:t xml:space="preserve">קביעה </w:t>
      </w:r>
      <w:r w:rsidR="00270CD1">
        <w:rPr>
          <w:rFonts w:cs="David" w:hint="cs"/>
          <w:sz w:val="24"/>
          <w:szCs w:val="24"/>
          <w:rtl/>
        </w:rPr>
        <w:t xml:space="preserve">של </w:t>
      </w:r>
      <w:r w:rsidR="008A1DF1">
        <w:rPr>
          <w:rFonts w:cs="David" w:hint="cs"/>
          <w:sz w:val="24"/>
          <w:szCs w:val="24"/>
          <w:rtl/>
        </w:rPr>
        <w:t>בג</w:t>
      </w:r>
      <w:r w:rsidR="008A1DF1">
        <w:rPr>
          <w:rFonts w:cs="David"/>
          <w:sz w:val="24"/>
          <w:szCs w:val="24"/>
          <w:rtl/>
        </w:rPr>
        <w:t>"</w:t>
      </w:r>
      <w:r w:rsidR="008A1DF1">
        <w:rPr>
          <w:rFonts w:cs="David" w:hint="cs"/>
          <w:sz w:val="24"/>
          <w:szCs w:val="24"/>
          <w:rtl/>
        </w:rPr>
        <w:t>ץ</w:t>
      </w:r>
      <w:r w:rsidR="00270CD1">
        <w:rPr>
          <w:rFonts w:cs="David" w:hint="cs"/>
          <w:sz w:val="24"/>
          <w:szCs w:val="24"/>
          <w:rtl/>
        </w:rPr>
        <w:t xml:space="preserve"> </w:t>
      </w:r>
      <w:r w:rsidR="0023251B" w:rsidRPr="008104B4">
        <w:rPr>
          <w:rFonts w:cs="David" w:hint="cs"/>
          <w:sz w:val="24"/>
          <w:szCs w:val="24"/>
          <w:rtl/>
        </w:rPr>
        <w:t>ש</w:t>
      </w:r>
      <w:r w:rsidR="0006785C" w:rsidRPr="008104B4">
        <w:rPr>
          <w:rFonts w:cs="David" w:hint="cs"/>
          <w:sz w:val="24"/>
          <w:szCs w:val="24"/>
          <w:rtl/>
        </w:rPr>
        <w:t xml:space="preserve">תביעה </w:t>
      </w:r>
      <w:r w:rsidR="009C21B0" w:rsidRPr="008104B4">
        <w:rPr>
          <w:rFonts w:cs="David" w:hint="cs"/>
          <w:sz w:val="24"/>
          <w:szCs w:val="24"/>
          <w:rtl/>
        </w:rPr>
        <w:t xml:space="preserve">כאמור </w:t>
      </w:r>
      <w:r w:rsidR="009C21B0" w:rsidRPr="003B5C15">
        <w:rPr>
          <w:rFonts w:cs="David" w:hint="cs"/>
          <w:sz w:val="24"/>
          <w:szCs w:val="24"/>
          <w:u w:val="single"/>
          <w:rtl/>
        </w:rPr>
        <w:t>אינה</w:t>
      </w:r>
      <w:r w:rsidR="009C21B0" w:rsidRPr="008104B4">
        <w:rPr>
          <w:rFonts w:cs="David" w:hint="cs"/>
          <w:sz w:val="24"/>
          <w:szCs w:val="24"/>
          <w:rtl/>
        </w:rPr>
        <w:t xml:space="preserve"> בסמכותו של בית הדין הרבני, </w:t>
      </w:r>
      <w:r w:rsidR="0023251B" w:rsidRPr="008104B4">
        <w:rPr>
          <w:rFonts w:cs="David" w:hint="cs"/>
          <w:sz w:val="24"/>
          <w:szCs w:val="24"/>
          <w:rtl/>
        </w:rPr>
        <w:t xml:space="preserve">תהפוך אותה </w:t>
      </w:r>
      <w:r w:rsidR="0023251B" w:rsidRPr="008104B4">
        <w:rPr>
          <w:rFonts w:cs="David"/>
          <w:sz w:val="24"/>
          <w:szCs w:val="24"/>
          <w:rtl/>
        </w:rPr>
        <w:t>–</w:t>
      </w:r>
      <w:r w:rsidR="0023251B" w:rsidRPr="008104B4">
        <w:rPr>
          <w:rFonts w:cs="David" w:hint="cs"/>
          <w:sz w:val="24"/>
          <w:szCs w:val="24"/>
          <w:rtl/>
        </w:rPr>
        <w:t xml:space="preserve"> לעניין הצעת החוק דנן </w:t>
      </w:r>
      <w:r w:rsidR="0023251B" w:rsidRPr="008104B4">
        <w:rPr>
          <w:rFonts w:cs="David"/>
          <w:sz w:val="24"/>
          <w:szCs w:val="24"/>
          <w:rtl/>
        </w:rPr>
        <w:t>–</w:t>
      </w:r>
      <w:r w:rsidR="0023251B" w:rsidRPr="008104B4">
        <w:rPr>
          <w:rFonts w:cs="David" w:hint="cs"/>
          <w:sz w:val="24"/>
          <w:szCs w:val="24"/>
          <w:rtl/>
        </w:rPr>
        <w:t xml:space="preserve"> </w:t>
      </w:r>
      <w:r w:rsidR="0006785C" w:rsidRPr="008104B4">
        <w:rPr>
          <w:rFonts w:cs="David" w:hint="cs"/>
          <w:sz w:val="24"/>
          <w:szCs w:val="24"/>
          <w:rtl/>
        </w:rPr>
        <w:t xml:space="preserve">להיות </w:t>
      </w:r>
      <w:r w:rsidR="009C21B0" w:rsidRPr="008104B4">
        <w:rPr>
          <w:rFonts w:cs="David" w:hint="cs"/>
          <w:sz w:val="24"/>
          <w:szCs w:val="24"/>
          <w:rtl/>
        </w:rPr>
        <w:t>"עניין אזרחי" שיכול להידון בבוררות בפני בית הדין הרבני</w:t>
      </w:r>
      <w:r w:rsidR="003B5C15">
        <w:rPr>
          <w:rFonts w:cs="David" w:hint="cs"/>
          <w:sz w:val="24"/>
          <w:szCs w:val="24"/>
          <w:rtl/>
        </w:rPr>
        <w:t>.</w:t>
      </w:r>
      <w:r w:rsidR="0006785C" w:rsidRPr="008104B4">
        <w:rPr>
          <w:rFonts w:cs="David" w:hint="cs"/>
          <w:sz w:val="24"/>
          <w:szCs w:val="24"/>
          <w:rtl/>
        </w:rPr>
        <w:t xml:space="preserve"> </w:t>
      </w:r>
      <w:r w:rsidR="009D0FDF">
        <w:rPr>
          <w:rFonts w:cs="David" w:hint="cs"/>
          <w:sz w:val="24"/>
          <w:szCs w:val="24"/>
          <w:rtl/>
        </w:rPr>
        <w:t xml:space="preserve">במלים אחרות, </w:t>
      </w:r>
      <w:r w:rsidR="00F678EC" w:rsidRPr="008104B4">
        <w:rPr>
          <w:rFonts w:cs="David" w:hint="cs"/>
          <w:sz w:val="24"/>
          <w:szCs w:val="24"/>
          <w:u w:val="single"/>
          <w:rtl/>
        </w:rPr>
        <w:t>דווקא באותם עניינים מעוררי מחלוקת בתחום דיני המשפחה, ש</w:t>
      </w:r>
      <w:r w:rsidR="008A1DF1">
        <w:rPr>
          <w:rFonts w:cs="David" w:hint="cs"/>
          <w:sz w:val="24"/>
          <w:szCs w:val="24"/>
          <w:u w:val="single"/>
          <w:rtl/>
        </w:rPr>
        <w:t>בג</w:t>
      </w:r>
      <w:r w:rsidR="008A1DF1">
        <w:rPr>
          <w:rFonts w:cs="David"/>
          <w:sz w:val="24"/>
          <w:szCs w:val="24"/>
          <w:u w:val="single"/>
          <w:rtl/>
        </w:rPr>
        <w:t>"</w:t>
      </w:r>
      <w:r w:rsidR="008A1DF1">
        <w:rPr>
          <w:rFonts w:cs="David" w:hint="cs"/>
          <w:sz w:val="24"/>
          <w:szCs w:val="24"/>
          <w:u w:val="single"/>
          <w:rtl/>
        </w:rPr>
        <w:t>ץ</w:t>
      </w:r>
      <w:r w:rsidR="00F678EC" w:rsidRPr="008104B4">
        <w:rPr>
          <w:rFonts w:cs="David" w:hint="cs"/>
          <w:sz w:val="24"/>
          <w:szCs w:val="24"/>
          <w:u w:val="single"/>
          <w:rtl/>
        </w:rPr>
        <w:t xml:space="preserve"> קבע כי לבית הדין הרבני אין סמכות לדון בהם, יהפכו כעת להיות "עניינים אזרחיים" שבית הדין הרבני יהא רשאי לדון בהם כבורר</w:t>
      </w:r>
      <w:r w:rsidR="003B5C15" w:rsidRPr="003B5C15">
        <w:rPr>
          <w:rFonts w:cs="David" w:hint="cs"/>
          <w:sz w:val="24"/>
          <w:szCs w:val="24"/>
          <w:rtl/>
        </w:rPr>
        <w:t>.</w:t>
      </w:r>
      <w:r w:rsidR="00BB0528" w:rsidRPr="008104B4">
        <w:rPr>
          <w:rFonts w:cs="David" w:hint="cs"/>
          <w:sz w:val="24"/>
          <w:szCs w:val="24"/>
          <w:rtl/>
        </w:rPr>
        <w:t xml:space="preserve"> </w:t>
      </w:r>
    </w:p>
    <w:p w:rsidR="0011717E" w:rsidRPr="009A262E" w:rsidRDefault="00F678EC" w:rsidP="00667CF3">
      <w:pPr>
        <w:spacing w:after="120" w:line="360" w:lineRule="auto"/>
        <w:jc w:val="both"/>
        <w:rPr>
          <w:rFonts w:cs="David"/>
          <w:b/>
          <w:bCs/>
          <w:sz w:val="24"/>
          <w:szCs w:val="24"/>
          <w:u w:val="single"/>
          <w:rtl/>
        </w:rPr>
      </w:pPr>
      <w:r w:rsidRPr="001A501B">
        <w:rPr>
          <w:rFonts w:cs="David" w:hint="cs"/>
          <w:sz w:val="24"/>
          <w:szCs w:val="24"/>
          <w:rtl/>
        </w:rPr>
        <w:t xml:space="preserve">כדי להימנע מהבעיה האמורה, </w:t>
      </w:r>
      <w:r w:rsidR="003B5C15" w:rsidRPr="006946E4">
        <w:rPr>
          <w:rFonts w:cs="David" w:hint="eastAsia"/>
          <w:b/>
          <w:bCs/>
          <w:sz w:val="24"/>
          <w:szCs w:val="24"/>
          <w:u w:val="single"/>
          <w:rtl/>
        </w:rPr>
        <w:t>ניתן</w:t>
      </w:r>
      <w:r w:rsidR="003B5C15" w:rsidRPr="006946E4">
        <w:rPr>
          <w:rFonts w:cs="David"/>
          <w:b/>
          <w:bCs/>
          <w:sz w:val="24"/>
          <w:szCs w:val="24"/>
          <w:u w:val="single"/>
          <w:rtl/>
        </w:rPr>
        <w:t xml:space="preserve"> להציע הבהרה ולפיה </w:t>
      </w:r>
      <w:r w:rsidRPr="006946E4">
        <w:rPr>
          <w:rFonts w:cs="David"/>
          <w:b/>
          <w:bCs/>
          <w:sz w:val="24"/>
          <w:szCs w:val="24"/>
          <w:u w:val="single"/>
          <w:rtl/>
        </w:rPr>
        <w:t xml:space="preserve">"עניין אזרחי" אינו כולל כל עניין שנובע, במישרין או בעקיפין, </w:t>
      </w:r>
      <w:r w:rsidRPr="009A262E">
        <w:rPr>
          <w:rFonts w:cs="David"/>
          <w:b/>
          <w:bCs/>
          <w:sz w:val="24"/>
          <w:szCs w:val="24"/>
          <w:u w:val="single"/>
          <w:rtl/>
        </w:rPr>
        <w:t xml:space="preserve">מסכסוך שבסמכות שיפוט של בית הדין הרבני, או שסכסוך כאמור הוא מקורו, גם אם </w:t>
      </w:r>
      <w:r w:rsidR="00270CD1" w:rsidRPr="009A262E">
        <w:rPr>
          <w:rFonts w:cs="David" w:hint="eastAsia"/>
          <w:b/>
          <w:bCs/>
          <w:sz w:val="24"/>
          <w:szCs w:val="24"/>
          <w:u w:val="single"/>
          <w:rtl/>
        </w:rPr>
        <w:t>אותו</w:t>
      </w:r>
      <w:r w:rsidR="00270CD1" w:rsidRPr="009A262E">
        <w:rPr>
          <w:rFonts w:cs="David"/>
          <w:b/>
          <w:bCs/>
          <w:sz w:val="24"/>
          <w:szCs w:val="24"/>
          <w:u w:val="single"/>
          <w:rtl/>
        </w:rPr>
        <w:t xml:space="preserve"> עניין כשלעצמו </w:t>
      </w:r>
      <w:r w:rsidRPr="009A262E">
        <w:rPr>
          <w:rFonts w:cs="David" w:hint="eastAsia"/>
          <w:b/>
          <w:bCs/>
          <w:sz w:val="24"/>
          <w:szCs w:val="24"/>
          <w:u w:val="single"/>
          <w:rtl/>
        </w:rPr>
        <w:t>אינו</w:t>
      </w:r>
      <w:r w:rsidRPr="009A262E">
        <w:rPr>
          <w:rFonts w:cs="David"/>
          <w:b/>
          <w:bCs/>
          <w:sz w:val="24"/>
          <w:szCs w:val="24"/>
          <w:u w:val="single"/>
          <w:rtl/>
        </w:rPr>
        <w:t xml:space="preserve"> </w:t>
      </w:r>
      <w:r w:rsidRPr="009A262E">
        <w:rPr>
          <w:rFonts w:cs="David" w:hint="eastAsia"/>
          <w:b/>
          <w:bCs/>
          <w:sz w:val="24"/>
          <w:szCs w:val="24"/>
          <w:u w:val="single"/>
          <w:rtl/>
        </w:rPr>
        <w:t>בסמכות</w:t>
      </w:r>
      <w:r w:rsidRPr="009A262E">
        <w:rPr>
          <w:rFonts w:cs="David"/>
          <w:b/>
          <w:bCs/>
          <w:sz w:val="24"/>
          <w:szCs w:val="24"/>
          <w:u w:val="single"/>
          <w:rtl/>
        </w:rPr>
        <w:t xml:space="preserve"> </w:t>
      </w:r>
      <w:r w:rsidRPr="009A262E">
        <w:rPr>
          <w:rFonts w:cs="David" w:hint="eastAsia"/>
          <w:b/>
          <w:bCs/>
          <w:sz w:val="24"/>
          <w:szCs w:val="24"/>
          <w:u w:val="single"/>
          <w:rtl/>
        </w:rPr>
        <w:t>שיפוט</w:t>
      </w:r>
      <w:r w:rsidRPr="009A262E">
        <w:rPr>
          <w:rFonts w:cs="David"/>
          <w:b/>
          <w:bCs/>
          <w:sz w:val="24"/>
          <w:szCs w:val="24"/>
          <w:u w:val="single"/>
          <w:rtl/>
        </w:rPr>
        <w:t xml:space="preserve"> </w:t>
      </w:r>
      <w:r w:rsidRPr="009A262E">
        <w:rPr>
          <w:rFonts w:cs="David" w:hint="eastAsia"/>
          <w:b/>
          <w:bCs/>
          <w:sz w:val="24"/>
          <w:szCs w:val="24"/>
          <w:u w:val="single"/>
          <w:rtl/>
        </w:rPr>
        <w:t>של</w:t>
      </w:r>
      <w:r w:rsidRPr="009A262E">
        <w:rPr>
          <w:rFonts w:cs="David"/>
          <w:b/>
          <w:bCs/>
          <w:sz w:val="24"/>
          <w:szCs w:val="24"/>
          <w:u w:val="single"/>
          <w:rtl/>
        </w:rPr>
        <w:t xml:space="preserve"> </w:t>
      </w:r>
      <w:r w:rsidRPr="009A262E">
        <w:rPr>
          <w:rFonts w:cs="David" w:hint="eastAsia"/>
          <w:b/>
          <w:bCs/>
          <w:sz w:val="24"/>
          <w:szCs w:val="24"/>
          <w:u w:val="single"/>
          <w:rtl/>
        </w:rPr>
        <w:t>בית</w:t>
      </w:r>
      <w:r w:rsidRPr="009A262E">
        <w:rPr>
          <w:rFonts w:cs="David"/>
          <w:b/>
          <w:bCs/>
          <w:sz w:val="24"/>
          <w:szCs w:val="24"/>
          <w:u w:val="single"/>
          <w:rtl/>
        </w:rPr>
        <w:t xml:space="preserve"> </w:t>
      </w:r>
      <w:r w:rsidRPr="009A262E">
        <w:rPr>
          <w:rFonts w:cs="David" w:hint="eastAsia"/>
          <w:b/>
          <w:bCs/>
          <w:sz w:val="24"/>
          <w:szCs w:val="24"/>
          <w:u w:val="single"/>
          <w:rtl/>
        </w:rPr>
        <w:t>הדין</w:t>
      </w:r>
      <w:r w:rsidRPr="009A262E">
        <w:rPr>
          <w:rFonts w:cs="David"/>
          <w:b/>
          <w:bCs/>
          <w:sz w:val="24"/>
          <w:szCs w:val="24"/>
          <w:u w:val="single"/>
          <w:rtl/>
        </w:rPr>
        <w:t xml:space="preserve"> </w:t>
      </w:r>
      <w:r w:rsidRPr="009A262E">
        <w:rPr>
          <w:rFonts w:cs="David" w:hint="eastAsia"/>
          <w:b/>
          <w:bCs/>
          <w:sz w:val="24"/>
          <w:szCs w:val="24"/>
          <w:u w:val="single"/>
          <w:rtl/>
        </w:rPr>
        <w:t>הרבני</w:t>
      </w:r>
      <w:r w:rsidR="00392B74" w:rsidRPr="009A262E">
        <w:rPr>
          <w:rFonts w:cs="David"/>
          <w:b/>
          <w:bCs/>
          <w:sz w:val="24"/>
          <w:szCs w:val="24"/>
          <w:u w:val="single"/>
          <w:rtl/>
        </w:rPr>
        <w:t xml:space="preserve">. </w:t>
      </w:r>
    </w:p>
    <w:p w:rsidR="0011717E" w:rsidRPr="009A262E" w:rsidRDefault="0011717E" w:rsidP="00BB688D">
      <w:pPr>
        <w:spacing w:after="0" w:line="360" w:lineRule="auto"/>
        <w:jc w:val="both"/>
        <w:rPr>
          <w:rFonts w:cs="David"/>
          <w:b/>
          <w:bCs/>
          <w:sz w:val="24"/>
          <w:szCs w:val="24"/>
          <w:u w:val="single"/>
          <w:rtl/>
        </w:rPr>
      </w:pPr>
    </w:p>
    <w:p w:rsidR="0011717E" w:rsidRPr="009A262E" w:rsidRDefault="00045D60" w:rsidP="00A42531">
      <w:pPr>
        <w:spacing w:after="120" w:line="240" w:lineRule="auto"/>
        <w:jc w:val="both"/>
        <w:rPr>
          <w:rFonts w:cs="David"/>
          <w:b/>
          <w:bCs/>
          <w:sz w:val="24"/>
          <w:szCs w:val="24"/>
          <w:rtl/>
        </w:rPr>
      </w:pPr>
      <w:r w:rsidRPr="009A262E">
        <w:rPr>
          <w:rFonts w:cs="David" w:hint="cs"/>
          <w:b/>
          <w:bCs/>
          <w:sz w:val="24"/>
          <w:szCs w:val="24"/>
          <w:rtl/>
        </w:rPr>
        <w:t xml:space="preserve">(3) </w:t>
      </w:r>
      <w:r w:rsidR="00A42531" w:rsidRPr="009A262E">
        <w:rPr>
          <w:rFonts w:cs="David" w:hint="cs"/>
          <w:b/>
          <w:bCs/>
          <w:sz w:val="24"/>
          <w:szCs w:val="24"/>
          <w:rtl/>
        </w:rPr>
        <w:t>"</w:t>
      </w:r>
      <w:r w:rsidRPr="009A262E">
        <w:rPr>
          <w:rFonts w:cs="David" w:hint="cs"/>
          <w:b/>
          <w:bCs/>
          <w:sz w:val="24"/>
          <w:szCs w:val="24"/>
          <w:rtl/>
        </w:rPr>
        <w:t>עניי</w:t>
      </w:r>
      <w:r w:rsidR="00A42531" w:rsidRPr="009A262E">
        <w:rPr>
          <w:rFonts w:cs="David" w:hint="cs"/>
          <w:b/>
          <w:bCs/>
          <w:sz w:val="24"/>
          <w:szCs w:val="24"/>
          <w:rtl/>
        </w:rPr>
        <w:t>ן</w:t>
      </w:r>
      <w:r w:rsidRPr="009A262E">
        <w:rPr>
          <w:rFonts w:cs="David" w:hint="cs"/>
          <w:b/>
          <w:bCs/>
          <w:sz w:val="24"/>
          <w:szCs w:val="24"/>
          <w:rtl/>
        </w:rPr>
        <w:t xml:space="preserve"> </w:t>
      </w:r>
      <w:r w:rsidR="00A42531" w:rsidRPr="009A262E">
        <w:rPr>
          <w:rFonts w:cs="David" w:hint="cs"/>
          <w:b/>
          <w:bCs/>
          <w:sz w:val="24"/>
          <w:szCs w:val="24"/>
          <w:rtl/>
        </w:rPr>
        <w:t xml:space="preserve">אזרחי" </w:t>
      </w:r>
      <w:r w:rsidRPr="009A262E">
        <w:rPr>
          <w:rFonts w:cs="David" w:hint="cs"/>
          <w:b/>
          <w:bCs/>
          <w:sz w:val="24"/>
          <w:szCs w:val="24"/>
          <w:rtl/>
        </w:rPr>
        <w:t>הנדו</w:t>
      </w:r>
      <w:r w:rsidR="00A42531" w:rsidRPr="009A262E">
        <w:rPr>
          <w:rFonts w:cs="David" w:hint="cs"/>
          <w:b/>
          <w:bCs/>
          <w:sz w:val="24"/>
          <w:szCs w:val="24"/>
          <w:rtl/>
        </w:rPr>
        <w:t>ן</w:t>
      </w:r>
      <w:r w:rsidRPr="009A262E">
        <w:rPr>
          <w:rFonts w:cs="David" w:hint="cs"/>
          <w:b/>
          <w:bCs/>
          <w:sz w:val="24"/>
          <w:szCs w:val="24"/>
          <w:rtl/>
        </w:rPr>
        <w:t xml:space="preserve"> במקביל לדיון </w:t>
      </w:r>
      <w:r w:rsidR="00A42531" w:rsidRPr="009A262E">
        <w:rPr>
          <w:rFonts w:cs="David" w:hint="cs"/>
          <w:b/>
          <w:bCs/>
          <w:sz w:val="24"/>
          <w:szCs w:val="24"/>
          <w:rtl/>
        </w:rPr>
        <w:t xml:space="preserve">בדיני משפחה </w:t>
      </w:r>
      <w:r w:rsidRPr="009A262E">
        <w:rPr>
          <w:rFonts w:cs="David" w:hint="cs"/>
          <w:b/>
          <w:bCs/>
          <w:sz w:val="24"/>
          <w:szCs w:val="24"/>
          <w:rtl/>
        </w:rPr>
        <w:t>המתקיים בבתי הדין הרבניים</w:t>
      </w:r>
    </w:p>
    <w:p w:rsidR="00F678EC" w:rsidRPr="009A262E" w:rsidRDefault="00266545" w:rsidP="00DA0530">
      <w:pPr>
        <w:spacing w:after="120" w:line="360" w:lineRule="auto"/>
        <w:jc w:val="both"/>
        <w:rPr>
          <w:rFonts w:cs="David"/>
          <w:sz w:val="24"/>
          <w:szCs w:val="24"/>
          <w:rtl/>
        </w:rPr>
      </w:pPr>
      <w:r w:rsidRPr="009A262E">
        <w:rPr>
          <w:rFonts w:cs="David" w:hint="cs"/>
          <w:sz w:val="24"/>
          <w:szCs w:val="24"/>
          <w:rtl/>
        </w:rPr>
        <w:t>כדי להימנע מלחצים אפשריים שעלולים לפגום ברצון החופשי של הצדדים להתדיין בפני ב</w:t>
      </w:r>
      <w:r w:rsidR="00DA0530" w:rsidRPr="009A262E">
        <w:rPr>
          <w:rFonts w:cs="David" w:hint="cs"/>
          <w:sz w:val="24"/>
          <w:szCs w:val="24"/>
          <w:rtl/>
        </w:rPr>
        <w:t>י</w:t>
      </w:r>
      <w:r w:rsidRPr="009A262E">
        <w:rPr>
          <w:rFonts w:cs="David" w:hint="cs"/>
          <w:sz w:val="24"/>
          <w:szCs w:val="24"/>
          <w:rtl/>
        </w:rPr>
        <w:t xml:space="preserve">ת הדין הרבני, </w:t>
      </w:r>
      <w:r w:rsidR="00986633" w:rsidRPr="009A262E">
        <w:rPr>
          <w:rFonts w:cs="David" w:hint="cs"/>
          <w:sz w:val="24"/>
          <w:szCs w:val="24"/>
          <w:rtl/>
        </w:rPr>
        <w:t xml:space="preserve">וכדי להימנע מהאפשרות של מי מהצדדים לקשור </w:t>
      </w:r>
      <w:r w:rsidR="00986633" w:rsidRPr="009A262E">
        <w:rPr>
          <w:rFonts w:cs="David"/>
          <w:sz w:val="24"/>
          <w:szCs w:val="24"/>
          <w:rtl/>
        </w:rPr>
        <w:t>–</w:t>
      </w:r>
      <w:r w:rsidR="00986633" w:rsidRPr="009A262E">
        <w:rPr>
          <w:rFonts w:cs="David" w:hint="cs"/>
          <w:sz w:val="24"/>
          <w:szCs w:val="24"/>
          <w:rtl/>
        </w:rPr>
        <w:t xml:space="preserve"> בצורה ישירה או עקיפה </w:t>
      </w:r>
      <w:r w:rsidR="00986633" w:rsidRPr="009A262E">
        <w:rPr>
          <w:rFonts w:cs="David"/>
          <w:sz w:val="24"/>
          <w:szCs w:val="24"/>
          <w:rtl/>
        </w:rPr>
        <w:t>–</w:t>
      </w:r>
      <w:r w:rsidR="00986633" w:rsidRPr="009A262E">
        <w:rPr>
          <w:rFonts w:cs="David" w:hint="cs"/>
          <w:sz w:val="24"/>
          <w:szCs w:val="24"/>
          <w:rtl/>
        </w:rPr>
        <w:t xml:space="preserve"> בין סכסוך שקיים בין הצדדים בתחום דיני המשפחה לבין סכסוך ב"עניין אזרחי", </w:t>
      </w:r>
      <w:r w:rsidRPr="009A262E">
        <w:rPr>
          <w:rFonts w:cs="David" w:hint="cs"/>
          <w:sz w:val="24"/>
          <w:szCs w:val="24"/>
          <w:rtl/>
        </w:rPr>
        <w:t xml:space="preserve">יש מקום לקבוע כי </w:t>
      </w:r>
      <w:r w:rsidRPr="009A262E">
        <w:rPr>
          <w:rFonts w:cs="David" w:hint="cs"/>
          <w:b/>
          <w:bCs/>
          <w:sz w:val="24"/>
          <w:szCs w:val="24"/>
          <w:u w:val="single"/>
          <w:rtl/>
        </w:rPr>
        <w:t xml:space="preserve">בית הדין </w:t>
      </w:r>
      <w:r w:rsidR="00E148A5" w:rsidRPr="009A262E">
        <w:rPr>
          <w:rFonts w:cs="David"/>
          <w:b/>
          <w:bCs/>
          <w:sz w:val="24"/>
          <w:szCs w:val="24"/>
          <w:u w:val="single"/>
          <w:rtl/>
        </w:rPr>
        <w:t xml:space="preserve">הרבני לא יהא רשאי לדון </w:t>
      </w:r>
      <w:r w:rsidR="004B7634" w:rsidRPr="009A262E">
        <w:rPr>
          <w:rFonts w:cs="David" w:hint="eastAsia"/>
          <w:b/>
          <w:bCs/>
          <w:sz w:val="24"/>
          <w:szCs w:val="24"/>
          <w:u w:val="single"/>
          <w:rtl/>
        </w:rPr>
        <w:t>כבורר</w:t>
      </w:r>
      <w:r w:rsidR="004B7634" w:rsidRPr="009A262E">
        <w:rPr>
          <w:rFonts w:cs="David"/>
          <w:b/>
          <w:bCs/>
          <w:sz w:val="24"/>
          <w:szCs w:val="24"/>
          <w:u w:val="single"/>
          <w:rtl/>
        </w:rPr>
        <w:t xml:space="preserve"> </w:t>
      </w:r>
      <w:r w:rsidR="004B7634" w:rsidRPr="009A262E">
        <w:rPr>
          <w:rFonts w:cs="David" w:hint="eastAsia"/>
          <w:b/>
          <w:bCs/>
          <w:sz w:val="24"/>
          <w:szCs w:val="24"/>
          <w:u w:val="single"/>
          <w:rtl/>
        </w:rPr>
        <w:t>ב</w:t>
      </w:r>
      <w:r w:rsidR="004B7634" w:rsidRPr="009A262E">
        <w:rPr>
          <w:rFonts w:cs="David"/>
          <w:b/>
          <w:bCs/>
          <w:sz w:val="24"/>
          <w:szCs w:val="24"/>
          <w:u w:val="single"/>
          <w:rtl/>
        </w:rPr>
        <w:t xml:space="preserve">"עניין </w:t>
      </w:r>
      <w:r w:rsidR="004B7634" w:rsidRPr="009A262E">
        <w:rPr>
          <w:rFonts w:cs="David" w:hint="eastAsia"/>
          <w:b/>
          <w:bCs/>
          <w:sz w:val="24"/>
          <w:szCs w:val="24"/>
          <w:u w:val="single"/>
          <w:rtl/>
        </w:rPr>
        <w:t>אזרחי</w:t>
      </w:r>
      <w:r w:rsidR="004B7634" w:rsidRPr="009A262E">
        <w:rPr>
          <w:rFonts w:cs="David"/>
          <w:b/>
          <w:bCs/>
          <w:sz w:val="24"/>
          <w:szCs w:val="24"/>
          <w:u w:val="single"/>
          <w:rtl/>
        </w:rPr>
        <w:t xml:space="preserve">" </w:t>
      </w:r>
      <w:r w:rsidR="004B7634" w:rsidRPr="009A262E">
        <w:rPr>
          <w:rFonts w:cs="David" w:hint="eastAsia"/>
          <w:b/>
          <w:bCs/>
          <w:sz w:val="24"/>
          <w:szCs w:val="24"/>
          <w:u w:val="single"/>
          <w:rtl/>
        </w:rPr>
        <w:t>במקביל</w:t>
      </w:r>
      <w:r w:rsidR="004B7634" w:rsidRPr="009A262E">
        <w:rPr>
          <w:rFonts w:cs="David"/>
          <w:b/>
          <w:bCs/>
          <w:sz w:val="24"/>
          <w:szCs w:val="24"/>
          <w:u w:val="single"/>
          <w:rtl/>
        </w:rPr>
        <w:t xml:space="preserve"> </w:t>
      </w:r>
      <w:r w:rsidR="004B7634" w:rsidRPr="009A262E">
        <w:rPr>
          <w:rFonts w:cs="David" w:hint="eastAsia"/>
          <w:b/>
          <w:bCs/>
          <w:sz w:val="24"/>
          <w:szCs w:val="24"/>
          <w:u w:val="single"/>
          <w:rtl/>
        </w:rPr>
        <w:t>לדיון</w:t>
      </w:r>
      <w:r w:rsidR="004B7634" w:rsidRPr="009A262E">
        <w:rPr>
          <w:rFonts w:cs="David"/>
          <w:b/>
          <w:bCs/>
          <w:sz w:val="24"/>
          <w:szCs w:val="24"/>
          <w:u w:val="single"/>
          <w:rtl/>
        </w:rPr>
        <w:t xml:space="preserve"> </w:t>
      </w:r>
      <w:r w:rsidR="004B7634" w:rsidRPr="009A262E">
        <w:rPr>
          <w:rFonts w:cs="David" w:hint="eastAsia"/>
          <w:b/>
          <w:bCs/>
          <w:sz w:val="24"/>
          <w:szCs w:val="24"/>
          <w:u w:val="single"/>
          <w:rtl/>
        </w:rPr>
        <w:t>שמתנהל</w:t>
      </w:r>
      <w:r w:rsidR="004B7634" w:rsidRPr="009A262E">
        <w:rPr>
          <w:rFonts w:cs="David"/>
          <w:b/>
          <w:bCs/>
          <w:sz w:val="24"/>
          <w:szCs w:val="24"/>
          <w:u w:val="single"/>
          <w:rtl/>
        </w:rPr>
        <w:t xml:space="preserve"> </w:t>
      </w:r>
      <w:r w:rsidR="004B7634" w:rsidRPr="009A262E">
        <w:rPr>
          <w:rFonts w:cs="David" w:hint="eastAsia"/>
          <w:b/>
          <w:bCs/>
          <w:sz w:val="24"/>
          <w:szCs w:val="24"/>
          <w:u w:val="single"/>
          <w:rtl/>
        </w:rPr>
        <w:t>לגבי</w:t>
      </w:r>
      <w:r w:rsidR="004B7634" w:rsidRPr="009A262E">
        <w:rPr>
          <w:rFonts w:cs="David"/>
          <w:b/>
          <w:bCs/>
          <w:sz w:val="24"/>
          <w:szCs w:val="24"/>
          <w:u w:val="single"/>
          <w:rtl/>
        </w:rPr>
        <w:t xml:space="preserve"> </w:t>
      </w:r>
      <w:r w:rsidR="004B7634" w:rsidRPr="009A262E">
        <w:rPr>
          <w:rFonts w:cs="David" w:hint="eastAsia"/>
          <w:b/>
          <w:bCs/>
          <w:sz w:val="24"/>
          <w:szCs w:val="24"/>
          <w:u w:val="single"/>
          <w:rtl/>
        </w:rPr>
        <w:t>אותם</w:t>
      </w:r>
      <w:r w:rsidR="004B7634" w:rsidRPr="009A262E">
        <w:rPr>
          <w:rFonts w:cs="David"/>
          <w:b/>
          <w:bCs/>
          <w:sz w:val="24"/>
          <w:szCs w:val="24"/>
          <w:u w:val="single"/>
          <w:rtl/>
        </w:rPr>
        <w:t xml:space="preserve"> </w:t>
      </w:r>
      <w:r w:rsidR="004B7634" w:rsidRPr="009A262E">
        <w:rPr>
          <w:rFonts w:cs="David" w:hint="eastAsia"/>
          <w:b/>
          <w:bCs/>
          <w:sz w:val="24"/>
          <w:szCs w:val="24"/>
          <w:u w:val="single"/>
          <w:rtl/>
        </w:rPr>
        <w:t>הצדדים</w:t>
      </w:r>
      <w:r w:rsidR="004B7634" w:rsidRPr="009A262E">
        <w:rPr>
          <w:rFonts w:cs="David"/>
          <w:b/>
          <w:bCs/>
          <w:sz w:val="24"/>
          <w:szCs w:val="24"/>
          <w:u w:val="single"/>
          <w:rtl/>
        </w:rPr>
        <w:t xml:space="preserve"> </w:t>
      </w:r>
      <w:r w:rsidR="004B7634" w:rsidRPr="009A262E">
        <w:rPr>
          <w:rFonts w:cs="David" w:hint="eastAsia"/>
          <w:b/>
          <w:bCs/>
          <w:sz w:val="24"/>
          <w:szCs w:val="24"/>
          <w:u w:val="single"/>
          <w:rtl/>
        </w:rPr>
        <w:t>מכוח</w:t>
      </w:r>
      <w:r w:rsidR="004B7634" w:rsidRPr="009A262E">
        <w:rPr>
          <w:rFonts w:cs="David"/>
          <w:b/>
          <w:bCs/>
          <w:sz w:val="24"/>
          <w:szCs w:val="24"/>
          <w:u w:val="single"/>
          <w:rtl/>
        </w:rPr>
        <w:t xml:space="preserve"> </w:t>
      </w:r>
      <w:r w:rsidR="004B7634" w:rsidRPr="009A262E">
        <w:rPr>
          <w:rFonts w:cs="David" w:hint="eastAsia"/>
          <w:b/>
          <w:bCs/>
          <w:sz w:val="24"/>
          <w:szCs w:val="24"/>
          <w:u w:val="single"/>
          <w:rtl/>
        </w:rPr>
        <w:t>סמכויות</w:t>
      </w:r>
      <w:r w:rsidR="004B7634" w:rsidRPr="009A262E">
        <w:rPr>
          <w:rFonts w:cs="David"/>
          <w:b/>
          <w:bCs/>
          <w:sz w:val="24"/>
          <w:szCs w:val="24"/>
          <w:u w:val="single"/>
          <w:rtl/>
        </w:rPr>
        <w:t xml:space="preserve"> </w:t>
      </w:r>
      <w:r w:rsidR="004B7634" w:rsidRPr="009A262E">
        <w:rPr>
          <w:rFonts w:cs="David" w:hint="eastAsia"/>
          <w:b/>
          <w:bCs/>
          <w:sz w:val="24"/>
          <w:szCs w:val="24"/>
          <w:u w:val="single"/>
          <w:rtl/>
        </w:rPr>
        <w:t>השיפוט</w:t>
      </w:r>
      <w:r w:rsidR="004B7634" w:rsidRPr="009A262E">
        <w:rPr>
          <w:rFonts w:cs="David"/>
          <w:b/>
          <w:bCs/>
          <w:sz w:val="24"/>
          <w:szCs w:val="24"/>
          <w:u w:val="single"/>
          <w:rtl/>
        </w:rPr>
        <w:t xml:space="preserve"> </w:t>
      </w:r>
      <w:r w:rsidR="004B7634" w:rsidRPr="009A262E">
        <w:rPr>
          <w:rFonts w:cs="David" w:hint="eastAsia"/>
          <w:b/>
          <w:bCs/>
          <w:sz w:val="24"/>
          <w:szCs w:val="24"/>
          <w:u w:val="single"/>
          <w:rtl/>
        </w:rPr>
        <w:t>שיש</w:t>
      </w:r>
      <w:r w:rsidR="004B7634" w:rsidRPr="009A262E">
        <w:rPr>
          <w:rFonts w:cs="David"/>
          <w:b/>
          <w:bCs/>
          <w:sz w:val="24"/>
          <w:szCs w:val="24"/>
          <w:u w:val="single"/>
          <w:rtl/>
        </w:rPr>
        <w:t xml:space="preserve"> </w:t>
      </w:r>
      <w:r w:rsidR="004B7634" w:rsidRPr="009A262E">
        <w:rPr>
          <w:rFonts w:cs="David" w:hint="eastAsia"/>
          <w:b/>
          <w:bCs/>
          <w:sz w:val="24"/>
          <w:szCs w:val="24"/>
          <w:u w:val="single"/>
          <w:rtl/>
        </w:rPr>
        <w:t>לו</w:t>
      </w:r>
      <w:r w:rsidR="004B7634" w:rsidRPr="009A262E">
        <w:rPr>
          <w:rFonts w:cs="David" w:hint="cs"/>
          <w:sz w:val="24"/>
          <w:szCs w:val="24"/>
          <w:rtl/>
        </w:rPr>
        <w:t>.</w:t>
      </w:r>
      <w:r w:rsidR="00294919" w:rsidRPr="009A262E">
        <w:rPr>
          <w:rFonts w:cs="David" w:hint="cs"/>
          <w:sz w:val="24"/>
          <w:szCs w:val="24"/>
          <w:rtl/>
        </w:rPr>
        <w:t xml:space="preserve"> </w:t>
      </w:r>
    </w:p>
    <w:p w:rsidR="003C3E72" w:rsidRPr="009A262E" w:rsidRDefault="003C3E72" w:rsidP="00BB688D">
      <w:pPr>
        <w:spacing w:after="0" w:line="360" w:lineRule="auto"/>
        <w:jc w:val="both"/>
        <w:rPr>
          <w:rFonts w:cs="David"/>
          <w:sz w:val="24"/>
          <w:szCs w:val="24"/>
          <w:rtl/>
        </w:rPr>
      </w:pPr>
    </w:p>
    <w:p w:rsidR="003C3E72" w:rsidRPr="009A262E" w:rsidRDefault="00860F56" w:rsidP="003E5541">
      <w:pPr>
        <w:spacing w:after="120" w:line="240" w:lineRule="auto"/>
        <w:jc w:val="both"/>
        <w:rPr>
          <w:rFonts w:cs="David"/>
          <w:sz w:val="24"/>
          <w:szCs w:val="24"/>
          <w:rtl/>
        </w:rPr>
      </w:pPr>
      <w:r w:rsidRPr="009A262E">
        <w:rPr>
          <w:rFonts w:cs="David" w:hint="cs"/>
          <w:b/>
          <w:bCs/>
          <w:sz w:val="24"/>
          <w:szCs w:val="24"/>
          <w:rtl/>
        </w:rPr>
        <w:t>(</w:t>
      </w:r>
      <w:r w:rsidR="003E5541" w:rsidRPr="009A262E">
        <w:rPr>
          <w:rFonts w:cs="David" w:hint="cs"/>
          <w:b/>
          <w:bCs/>
          <w:sz w:val="24"/>
          <w:szCs w:val="24"/>
          <w:rtl/>
        </w:rPr>
        <w:t>4</w:t>
      </w:r>
      <w:r w:rsidRPr="009A262E">
        <w:rPr>
          <w:rFonts w:cs="David" w:hint="cs"/>
          <w:b/>
          <w:bCs/>
          <w:sz w:val="24"/>
          <w:szCs w:val="24"/>
          <w:rtl/>
        </w:rPr>
        <w:t xml:space="preserve">) </w:t>
      </w:r>
      <w:r w:rsidR="009B7A61" w:rsidRPr="009A262E">
        <w:rPr>
          <w:rFonts w:cs="David" w:hint="cs"/>
          <w:b/>
          <w:bCs/>
          <w:sz w:val="24"/>
          <w:szCs w:val="24"/>
          <w:rtl/>
        </w:rPr>
        <w:t>החרגת "</w:t>
      </w:r>
      <w:r w:rsidRPr="009A262E">
        <w:rPr>
          <w:rFonts w:cs="David" w:hint="cs"/>
          <w:b/>
          <w:bCs/>
          <w:sz w:val="24"/>
          <w:szCs w:val="24"/>
          <w:rtl/>
        </w:rPr>
        <w:t>עניין שבסמכות שיפוט של בית דין לפי חוק</w:t>
      </w:r>
      <w:r w:rsidR="009B7A61" w:rsidRPr="009A262E">
        <w:rPr>
          <w:rFonts w:cs="David" w:hint="cs"/>
          <w:sz w:val="24"/>
          <w:szCs w:val="24"/>
          <w:rtl/>
        </w:rPr>
        <w:t>"</w:t>
      </w:r>
      <w:r w:rsidRPr="009A262E">
        <w:rPr>
          <w:rFonts w:cs="David" w:hint="cs"/>
          <w:sz w:val="24"/>
          <w:szCs w:val="24"/>
          <w:rtl/>
        </w:rPr>
        <w:t xml:space="preserve"> </w:t>
      </w:r>
    </w:p>
    <w:p w:rsidR="00860F56" w:rsidRPr="008104B4" w:rsidRDefault="00860F56" w:rsidP="0023533A">
      <w:pPr>
        <w:spacing w:after="120" w:line="360" w:lineRule="auto"/>
        <w:jc w:val="both"/>
        <w:rPr>
          <w:rFonts w:cs="David"/>
          <w:sz w:val="24"/>
          <w:szCs w:val="24"/>
          <w:rtl/>
        </w:rPr>
      </w:pPr>
      <w:r w:rsidRPr="009A262E">
        <w:rPr>
          <w:rFonts w:cs="David" w:hint="cs"/>
          <w:sz w:val="24"/>
          <w:szCs w:val="24"/>
          <w:rtl/>
        </w:rPr>
        <w:t>יש מקום לחדד את הניסוח כך ש</w:t>
      </w:r>
      <w:r w:rsidR="00A762C4">
        <w:rPr>
          <w:rFonts w:cs="David" w:hint="cs"/>
          <w:sz w:val="24"/>
          <w:szCs w:val="24"/>
          <w:rtl/>
        </w:rPr>
        <w:t xml:space="preserve">יובהר </w:t>
      </w:r>
      <w:r w:rsidR="0023533A">
        <w:rPr>
          <w:rFonts w:cs="David" w:hint="cs"/>
          <w:sz w:val="24"/>
          <w:szCs w:val="24"/>
          <w:rtl/>
        </w:rPr>
        <w:t>ש</w:t>
      </w:r>
      <w:r w:rsidR="009B7A61" w:rsidRPr="009A262E">
        <w:rPr>
          <w:rFonts w:cs="David" w:hint="cs"/>
          <w:sz w:val="24"/>
          <w:szCs w:val="24"/>
          <w:rtl/>
        </w:rPr>
        <w:t>ההחרגה</w:t>
      </w:r>
      <w:r w:rsidR="009B7A61">
        <w:rPr>
          <w:rFonts w:cs="David" w:hint="cs"/>
          <w:sz w:val="24"/>
          <w:szCs w:val="24"/>
          <w:rtl/>
        </w:rPr>
        <w:t xml:space="preserve"> חל</w:t>
      </w:r>
      <w:r w:rsidR="009A262E">
        <w:rPr>
          <w:rFonts w:cs="David" w:hint="cs"/>
          <w:sz w:val="24"/>
          <w:szCs w:val="24"/>
          <w:rtl/>
        </w:rPr>
        <w:t>ה</w:t>
      </w:r>
      <w:r w:rsidR="009B7A61">
        <w:rPr>
          <w:rFonts w:cs="David" w:hint="cs"/>
          <w:sz w:val="24"/>
          <w:szCs w:val="24"/>
          <w:rtl/>
        </w:rPr>
        <w:t xml:space="preserve"> גם על עניינים שבהם בתי הדין יכולים לרכוש </w:t>
      </w:r>
      <w:r w:rsidRPr="008104B4">
        <w:rPr>
          <w:rFonts w:cs="David" w:hint="cs"/>
          <w:sz w:val="24"/>
          <w:szCs w:val="24"/>
          <w:rtl/>
        </w:rPr>
        <w:t>סמכות שיפוט מכוח כריכה.</w:t>
      </w:r>
    </w:p>
    <w:p w:rsidR="002C2634" w:rsidRDefault="002C2634" w:rsidP="00952B7B">
      <w:pPr>
        <w:spacing w:after="0" w:line="360" w:lineRule="auto"/>
        <w:jc w:val="both"/>
        <w:rPr>
          <w:rFonts w:cs="David"/>
          <w:color w:val="0070C0"/>
          <w:sz w:val="24"/>
          <w:szCs w:val="24"/>
          <w:rtl/>
        </w:rPr>
      </w:pPr>
    </w:p>
    <w:p w:rsidR="00FA3765" w:rsidRPr="003841CA" w:rsidRDefault="00FA3765" w:rsidP="00FA3765">
      <w:pPr>
        <w:spacing w:after="120" w:line="240" w:lineRule="auto"/>
        <w:jc w:val="both"/>
        <w:rPr>
          <w:rFonts w:cs="David"/>
          <w:b/>
          <w:bCs/>
          <w:sz w:val="24"/>
          <w:szCs w:val="24"/>
          <w:u w:val="single"/>
          <w:rtl/>
        </w:rPr>
      </w:pPr>
      <w:r w:rsidRPr="003841CA">
        <w:rPr>
          <w:rFonts w:cs="David" w:hint="cs"/>
          <w:b/>
          <w:bCs/>
          <w:sz w:val="24"/>
          <w:szCs w:val="24"/>
          <w:u w:val="single"/>
          <w:rtl/>
        </w:rPr>
        <w:t xml:space="preserve">סעיף 2 להצעת החוק </w:t>
      </w:r>
      <w:r w:rsidRPr="003841CA">
        <w:rPr>
          <w:rFonts w:cs="David"/>
          <w:b/>
          <w:bCs/>
          <w:sz w:val="24"/>
          <w:szCs w:val="24"/>
          <w:u w:val="single"/>
          <w:rtl/>
        </w:rPr>
        <w:t>–</w:t>
      </w:r>
      <w:r w:rsidRPr="003841CA">
        <w:rPr>
          <w:rFonts w:cs="David" w:hint="cs"/>
          <w:b/>
          <w:bCs/>
          <w:sz w:val="24"/>
          <w:szCs w:val="24"/>
          <w:u w:val="single"/>
          <w:rtl/>
        </w:rPr>
        <w:t xml:space="preserve"> בוררות בהסכמה</w:t>
      </w:r>
    </w:p>
    <w:tbl>
      <w:tblPr>
        <w:tblStyle w:val="a7"/>
        <w:bidiVisual/>
        <w:tblW w:w="0" w:type="auto"/>
        <w:tblLook w:val="04A0" w:firstRow="1" w:lastRow="0" w:firstColumn="1" w:lastColumn="0" w:noHBand="0" w:noVBand="1"/>
      </w:tblPr>
      <w:tblGrid>
        <w:gridCol w:w="8296"/>
      </w:tblGrid>
      <w:tr w:rsidR="003841CA" w:rsidRPr="003841CA" w:rsidTr="00FA3765">
        <w:tc>
          <w:tcPr>
            <w:tcW w:w="8296" w:type="dxa"/>
          </w:tcPr>
          <w:p w:rsidR="008104B4" w:rsidRPr="003841CA" w:rsidRDefault="008104B4" w:rsidP="008104B4">
            <w:pPr>
              <w:pStyle w:val="TableBlock"/>
              <w:spacing w:before="60" w:after="60" w:line="240" w:lineRule="auto"/>
              <w:rPr>
                <w:rFonts w:ascii="Narkisim" w:hAnsi="Narkisim" w:cs="Narkisim"/>
                <w:color w:val="auto"/>
                <w:sz w:val="24"/>
                <w:szCs w:val="24"/>
              </w:rPr>
            </w:pPr>
            <w:r w:rsidRPr="003841CA">
              <w:rPr>
                <w:rFonts w:ascii="Narkisim" w:hAnsi="Narkisim" w:cs="Narkisim"/>
                <w:color w:val="auto"/>
                <w:sz w:val="24"/>
                <w:szCs w:val="24"/>
                <w:rtl/>
              </w:rPr>
              <w:t>בית דין רשאי לדון כבורר בעניין אזרחי היכול לשמש נושא להסכם ובלבד שמתקיימים שני אלה:</w:t>
            </w:r>
          </w:p>
          <w:p w:rsidR="008104B4" w:rsidRPr="003841CA" w:rsidRDefault="008104B4" w:rsidP="008104B4">
            <w:pPr>
              <w:pStyle w:val="TableBlock"/>
              <w:spacing w:before="60" w:after="60" w:line="240" w:lineRule="auto"/>
              <w:rPr>
                <w:rFonts w:ascii="Narkisim" w:hAnsi="Narkisim" w:cs="Narkisim"/>
                <w:color w:val="auto"/>
                <w:sz w:val="24"/>
                <w:szCs w:val="24"/>
              </w:rPr>
            </w:pPr>
            <w:r w:rsidRPr="003841CA">
              <w:rPr>
                <w:rFonts w:ascii="Narkisim" w:hAnsi="Narkisim" w:cs="Narkisim"/>
                <w:color w:val="auto"/>
                <w:sz w:val="24"/>
                <w:szCs w:val="24"/>
                <w:rtl/>
              </w:rPr>
              <w:t>(1)</w:t>
            </w:r>
            <w:r w:rsidRPr="003841CA">
              <w:rPr>
                <w:rFonts w:ascii="Narkisim" w:hAnsi="Narkisim" w:cs="Narkisim" w:hint="cs"/>
                <w:color w:val="auto"/>
                <w:sz w:val="24"/>
                <w:szCs w:val="24"/>
                <w:rtl/>
              </w:rPr>
              <w:t xml:space="preserve"> </w:t>
            </w:r>
            <w:r w:rsidRPr="003841CA">
              <w:rPr>
                <w:rFonts w:ascii="Narkisim" w:hAnsi="Narkisim" w:cs="Narkisim"/>
                <w:color w:val="auto"/>
                <w:sz w:val="24"/>
                <w:szCs w:val="24"/>
                <w:rtl/>
              </w:rPr>
              <w:t>כל הצדדים הנוגעים בדבר הביעו בכתב את הסכמתם לכך;</w:t>
            </w:r>
          </w:p>
          <w:p w:rsidR="00FA3765" w:rsidRPr="003841CA" w:rsidRDefault="008104B4" w:rsidP="008104B4">
            <w:pPr>
              <w:spacing w:before="60" w:after="60"/>
              <w:jc w:val="both"/>
              <w:rPr>
                <w:rFonts w:cs="David"/>
                <w:sz w:val="24"/>
                <w:szCs w:val="24"/>
                <w:rtl/>
              </w:rPr>
            </w:pPr>
            <w:r w:rsidRPr="003841CA">
              <w:rPr>
                <w:rFonts w:ascii="Narkisim" w:hAnsi="Narkisim" w:cs="Narkisim"/>
                <w:sz w:val="24"/>
                <w:szCs w:val="24"/>
                <w:rtl/>
              </w:rPr>
              <w:t>(2)</w:t>
            </w:r>
            <w:r w:rsidRPr="003841CA">
              <w:rPr>
                <w:rFonts w:ascii="Narkisim" w:hAnsi="Narkisim" w:cs="Narkisim" w:hint="cs"/>
                <w:sz w:val="24"/>
                <w:szCs w:val="24"/>
                <w:rtl/>
              </w:rPr>
              <w:t xml:space="preserve"> </w:t>
            </w:r>
            <w:r w:rsidRPr="003841CA">
              <w:rPr>
                <w:rFonts w:ascii="Narkisim" w:hAnsi="Narkisim" w:cs="Narkisim"/>
                <w:sz w:val="24"/>
                <w:szCs w:val="24"/>
                <w:rtl/>
              </w:rPr>
              <w:t>אחד הצדדים הנוגעים בדבר לפחות הוא בן דתו של בית הדין; היה אחד הצדדים תאגיד – די בכך שבעל שליטה בו הוא בן דתו של בית הדין.</w:t>
            </w:r>
          </w:p>
        </w:tc>
      </w:tr>
    </w:tbl>
    <w:p w:rsidR="008104B4" w:rsidRPr="003841CA" w:rsidRDefault="008104B4" w:rsidP="00AE28C7">
      <w:pPr>
        <w:spacing w:before="120" w:after="120" w:line="360" w:lineRule="auto"/>
        <w:jc w:val="both"/>
        <w:rPr>
          <w:rFonts w:cs="David"/>
          <w:sz w:val="24"/>
          <w:szCs w:val="24"/>
          <w:rtl/>
        </w:rPr>
      </w:pPr>
      <w:r w:rsidRPr="003841CA">
        <w:rPr>
          <w:rFonts w:cs="David" w:hint="cs"/>
          <w:sz w:val="24"/>
          <w:szCs w:val="24"/>
          <w:rtl/>
        </w:rPr>
        <w:t>מוצע לקבוע כי בית דין דתי יהיה רשאי לדון כבורר בעניין אזרחי היכול לשמש נושא להסכם, ובלבד שכל הצדדים הנוגעים בדבר הביעו בכתב את הסכמתם לכך, ושאחד מהצדדים הנוגעים בדבר לפחות הוא בן דתו של בית הדין. לעניין זה, מוצע לקבוע כי אם אחד הצדדים הוא תאגיד, די בכך שבעל שליטה בו הוא בן דתו של בית הדין.</w:t>
      </w:r>
    </w:p>
    <w:p w:rsidR="008104B4" w:rsidRPr="003841CA" w:rsidRDefault="008104B4" w:rsidP="0086466E">
      <w:pPr>
        <w:spacing w:after="120" w:line="360" w:lineRule="auto"/>
        <w:jc w:val="both"/>
        <w:rPr>
          <w:rFonts w:cs="David"/>
          <w:sz w:val="24"/>
          <w:szCs w:val="24"/>
          <w:rtl/>
        </w:rPr>
      </w:pPr>
      <w:r w:rsidRPr="003841CA">
        <w:rPr>
          <w:rFonts w:cs="David" w:hint="cs"/>
          <w:sz w:val="24"/>
          <w:szCs w:val="24"/>
          <w:u w:val="single"/>
          <w:rtl/>
        </w:rPr>
        <w:t>נקודות לדיון</w:t>
      </w:r>
      <w:r w:rsidRPr="003841CA">
        <w:rPr>
          <w:rFonts w:cs="David" w:hint="cs"/>
          <w:sz w:val="24"/>
          <w:szCs w:val="24"/>
          <w:rtl/>
        </w:rPr>
        <w:t>:</w:t>
      </w:r>
    </w:p>
    <w:p w:rsidR="00BB688D" w:rsidRDefault="00950B8C" w:rsidP="00BB688D">
      <w:pPr>
        <w:spacing w:after="120" w:line="240" w:lineRule="auto"/>
        <w:jc w:val="both"/>
        <w:rPr>
          <w:rFonts w:cs="David"/>
          <w:sz w:val="24"/>
          <w:szCs w:val="24"/>
          <w:rtl/>
        </w:rPr>
      </w:pPr>
      <w:r w:rsidRPr="003841CA">
        <w:rPr>
          <w:rFonts w:cs="David" w:hint="cs"/>
          <w:b/>
          <w:bCs/>
          <w:sz w:val="24"/>
          <w:szCs w:val="24"/>
          <w:rtl/>
        </w:rPr>
        <w:t>(</w:t>
      </w:r>
      <w:r w:rsidR="0009771C">
        <w:rPr>
          <w:rFonts w:cs="David" w:hint="cs"/>
          <w:b/>
          <w:bCs/>
          <w:sz w:val="24"/>
          <w:szCs w:val="24"/>
          <w:rtl/>
        </w:rPr>
        <w:t>1</w:t>
      </w:r>
      <w:r w:rsidRPr="003841CA">
        <w:rPr>
          <w:rFonts w:cs="David" w:hint="cs"/>
          <w:b/>
          <w:bCs/>
          <w:sz w:val="24"/>
          <w:szCs w:val="24"/>
          <w:rtl/>
        </w:rPr>
        <w:t xml:space="preserve">) </w:t>
      </w:r>
      <w:r w:rsidR="00D569FC" w:rsidRPr="003841CA">
        <w:rPr>
          <w:rFonts w:cs="David" w:hint="cs"/>
          <w:b/>
          <w:bCs/>
          <w:sz w:val="24"/>
          <w:szCs w:val="24"/>
          <w:rtl/>
        </w:rPr>
        <w:t xml:space="preserve">אחד </w:t>
      </w:r>
      <w:r w:rsidRPr="003841CA">
        <w:rPr>
          <w:rFonts w:cs="David" w:hint="cs"/>
          <w:b/>
          <w:bCs/>
          <w:sz w:val="24"/>
          <w:szCs w:val="24"/>
          <w:rtl/>
        </w:rPr>
        <w:t>מ</w:t>
      </w:r>
      <w:r w:rsidR="00D569FC" w:rsidRPr="003841CA">
        <w:rPr>
          <w:rFonts w:cs="David" w:hint="cs"/>
          <w:b/>
          <w:bCs/>
          <w:sz w:val="24"/>
          <w:szCs w:val="24"/>
          <w:rtl/>
        </w:rPr>
        <w:t xml:space="preserve">הצדדים </w:t>
      </w:r>
      <w:r w:rsidRPr="003841CA">
        <w:rPr>
          <w:rFonts w:cs="David" w:hint="cs"/>
          <w:b/>
          <w:bCs/>
          <w:sz w:val="24"/>
          <w:szCs w:val="24"/>
          <w:rtl/>
        </w:rPr>
        <w:t xml:space="preserve">לפחות </w:t>
      </w:r>
      <w:r w:rsidR="00D569FC" w:rsidRPr="003841CA">
        <w:rPr>
          <w:rFonts w:cs="David" w:hint="cs"/>
          <w:b/>
          <w:bCs/>
          <w:sz w:val="24"/>
          <w:szCs w:val="24"/>
          <w:rtl/>
        </w:rPr>
        <w:t>הוא בן דתו של בית הדין</w:t>
      </w:r>
      <w:r w:rsidR="003B65D2" w:rsidRPr="003841CA">
        <w:rPr>
          <w:rFonts w:cs="David" w:hint="cs"/>
          <w:b/>
          <w:bCs/>
          <w:sz w:val="24"/>
          <w:szCs w:val="24"/>
          <w:rtl/>
        </w:rPr>
        <w:t xml:space="preserve"> </w:t>
      </w:r>
    </w:p>
    <w:p w:rsidR="004A4EC6" w:rsidRDefault="00ED6066" w:rsidP="00BB688D">
      <w:pPr>
        <w:spacing w:after="120" w:line="360" w:lineRule="auto"/>
        <w:jc w:val="both"/>
        <w:rPr>
          <w:rFonts w:cs="David"/>
          <w:sz w:val="24"/>
          <w:szCs w:val="24"/>
          <w:rtl/>
        </w:rPr>
      </w:pPr>
      <w:r>
        <w:rPr>
          <w:rFonts w:cs="David" w:hint="cs"/>
          <w:sz w:val="24"/>
          <w:szCs w:val="24"/>
          <w:rtl/>
        </w:rPr>
        <w:t xml:space="preserve">ככל שמדובר על מודל של בוררות, </w:t>
      </w:r>
      <w:r w:rsidR="00D569FC" w:rsidRPr="00BC77D2">
        <w:rPr>
          <w:rFonts w:cs="David" w:hint="cs"/>
          <w:sz w:val="24"/>
          <w:szCs w:val="24"/>
          <w:rtl/>
        </w:rPr>
        <w:t>מדוע</w:t>
      </w:r>
      <w:r>
        <w:rPr>
          <w:rFonts w:cs="David" w:hint="cs"/>
          <w:sz w:val="24"/>
          <w:szCs w:val="24"/>
          <w:rtl/>
        </w:rPr>
        <w:t xml:space="preserve"> </w:t>
      </w:r>
      <w:r w:rsidR="00D569FC" w:rsidRPr="00BC77D2">
        <w:rPr>
          <w:rFonts w:cs="David" w:hint="cs"/>
          <w:sz w:val="24"/>
          <w:szCs w:val="24"/>
          <w:rtl/>
        </w:rPr>
        <w:t xml:space="preserve">להגביל </w:t>
      </w:r>
      <w:r>
        <w:rPr>
          <w:rFonts w:cs="David" w:hint="cs"/>
          <w:sz w:val="24"/>
          <w:szCs w:val="24"/>
          <w:rtl/>
        </w:rPr>
        <w:t xml:space="preserve">את אפשרות ההתדיינות בפני בית הדין הרבני רק </w:t>
      </w:r>
      <w:r w:rsidR="00206D9B">
        <w:rPr>
          <w:rFonts w:cs="David" w:hint="cs"/>
          <w:sz w:val="24"/>
          <w:szCs w:val="24"/>
          <w:rtl/>
        </w:rPr>
        <w:t>לבני הדת של בית הדין</w:t>
      </w:r>
      <w:r>
        <w:rPr>
          <w:rFonts w:cs="David" w:hint="cs"/>
          <w:sz w:val="24"/>
          <w:szCs w:val="24"/>
          <w:rtl/>
        </w:rPr>
        <w:t xml:space="preserve">? גם אם מדובר בסיטואציה שניתן להניח שהיא פחות שכיחה, לא ברור </w:t>
      </w:r>
      <w:r w:rsidR="00921648" w:rsidRPr="00BC77D2">
        <w:rPr>
          <w:rFonts w:cs="David" w:hint="cs"/>
          <w:sz w:val="24"/>
          <w:szCs w:val="24"/>
          <w:rtl/>
        </w:rPr>
        <w:t>מדוע למנוע מ</w:t>
      </w:r>
      <w:r w:rsidR="00D569FC" w:rsidRPr="00BC77D2">
        <w:rPr>
          <w:rFonts w:cs="David" w:hint="cs"/>
          <w:sz w:val="24"/>
          <w:szCs w:val="24"/>
          <w:rtl/>
        </w:rPr>
        <w:t xml:space="preserve">שני מוסלמים </w:t>
      </w:r>
      <w:r w:rsidR="00206D9B">
        <w:rPr>
          <w:rFonts w:cs="David" w:hint="cs"/>
          <w:sz w:val="24"/>
          <w:szCs w:val="24"/>
          <w:rtl/>
        </w:rPr>
        <w:t xml:space="preserve">למשל, </w:t>
      </w:r>
      <w:r w:rsidR="004F4B3F" w:rsidRPr="00BC77D2">
        <w:rPr>
          <w:rFonts w:cs="David" w:hint="cs"/>
          <w:sz w:val="24"/>
          <w:szCs w:val="24"/>
          <w:rtl/>
        </w:rPr>
        <w:t>ש</w:t>
      </w:r>
      <w:r w:rsidR="00D569FC" w:rsidRPr="00BC77D2">
        <w:rPr>
          <w:rFonts w:cs="David" w:hint="cs"/>
          <w:sz w:val="24"/>
          <w:szCs w:val="24"/>
          <w:rtl/>
        </w:rPr>
        <w:t>רוצים שבית הדין הרבני יכרי</w:t>
      </w:r>
      <w:r w:rsidR="004F4B3F" w:rsidRPr="00BC77D2">
        <w:rPr>
          <w:rFonts w:cs="David" w:hint="cs"/>
          <w:sz w:val="24"/>
          <w:szCs w:val="24"/>
          <w:rtl/>
        </w:rPr>
        <w:t>ע בסכסוך ביניהם כבורר</w:t>
      </w:r>
      <w:r>
        <w:rPr>
          <w:rFonts w:cs="David" w:hint="cs"/>
          <w:sz w:val="24"/>
          <w:szCs w:val="24"/>
          <w:rtl/>
        </w:rPr>
        <w:t>, לעשות זאת</w:t>
      </w:r>
      <w:r w:rsidR="004F4B3F" w:rsidRPr="00BC77D2">
        <w:rPr>
          <w:rFonts w:cs="David" w:hint="cs"/>
          <w:sz w:val="24"/>
          <w:szCs w:val="24"/>
          <w:rtl/>
        </w:rPr>
        <w:t xml:space="preserve">? </w:t>
      </w:r>
    </w:p>
    <w:p w:rsidR="00BB688D" w:rsidRDefault="00BB688D" w:rsidP="00BB688D">
      <w:pPr>
        <w:spacing w:after="0" w:line="360" w:lineRule="auto"/>
        <w:jc w:val="both"/>
        <w:rPr>
          <w:rFonts w:cs="David"/>
          <w:sz w:val="24"/>
          <w:szCs w:val="24"/>
          <w:rtl/>
        </w:rPr>
      </w:pPr>
    </w:p>
    <w:p w:rsidR="0023533A" w:rsidRDefault="0023533A" w:rsidP="00BB688D">
      <w:pPr>
        <w:spacing w:after="0" w:line="360" w:lineRule="auto"/>
        <w:jc w:val="both"/>
        <w:rPr>
          <w:rFonts w:cs="David"/>
          <w:sz w:val="24"/>
          <w:szCs w:val="24"/>
          <w:rtl/>
        </w:rPr>
      </w:pPr>
    </w:p>
    <w:p w:rsidR="00BB688D" w:rsidRDefault="00A4499B" w:rsidP="00BB688D">
      <w:pPr>
        <w:spacing w:after="120" w:line="240" w:lineRule="auto"/>
        <w:jc w:val="both"/>
        <w:rPr>
          <w:rFonts w:cs="David"/>
          <w:sz w:val="24"/>
          <w:szCs w:val="24"/>
          <w:rtl/>
        </w:rPr>
      </w:pPr>
      <w:r w:rsidRPr="003841CA">
        <w:rPr>
          <w:rFonts w:cs="David" w:hint="cs"/>
          <w:b/>
          <w:bCs/>
          <w:sz w:val="24"/>
          <w:szCs w:val="24"/>
          <w:rtl/>
        </w:rPr>
        <w:lastRenderedPageBreak/>
        <w:t>(</w:t>
      </w:r>
      <w:r w:rsidR="00CF48FD">
        <w:rPr>
          <w:rFonts w:cs="David" w:hint="cs"/>
          <w:b/>
          <w:bCs/>
          <w:sz w:val="24"/>
          <w:szCs w:val="24"/>
          <w:rtl/>
        </w:rPr>
        <w:t>2</w:t>
      </w:r>
      <w:r w:rsidRPr="003841CA">
        <w:rPr>
          <w:rFonts w:cs="David" w:hint="cs"/>
          <w:b/>
          <w:bCs/>
          <w:sz w:val="24"/>
          <w:szCs w:val="24"/>
          <w:rtl/>
        </w:rPr>
        <w:t>) התדיינות של תאגי</w:t>
      </w:r>
      <w:r w:rsidR="00F33E67" w:rsidRPr="003841CA">
        <w:rPr>
          <w:rFonts w:cs="David" w:hint="cs"/>
          <w:b/>
          <w:bCs/>
          <w:sz w:val="24"/>
          <w:szCs w:val="24"/>
          <w:rtl/>
        </w:rPr>
        <w:t xml:space="preserve">ד בפני בית הדין הדתי </w:t>
      </w:r>
    </w:p>
    <w:p w:rsidR="00911D8B" w:rsidRDefault="00323645" w:rsidP="00BB688D">
      <w:pPr>
        <w:spacing w:after="120" w:line="360" w:lineRule="auto"/>
        <w:jc w:val="both"/>
        <w:rPr>
          <w:rFonts w:cs="David"/>
          <w:sz w:val="24"/>
          <w:szCs w:val="24"/>
          <w:rtl/>
        </w:rPr>
      </w:pPr>
      <w:r>
        <w:rPr>
          <w:rFonts w:cs="David" w:hint="cs"/>
          <w:sz w:val="24"/>
          <w:szCs w:val="24"/>
          <w:rtl/>
        </w:rPr>
        <w:t>לא ברור מה ההצדקה לאפשר התדיינות של תאגיד בפני בית דין דתי, שהרי תאגיד אינו משתייך לדת מסוימת. מעבר לכך</w:t>
      </w:r>
      <w:r w:rsidR="00E530F7" w:rsidRPr="003841CA">
        <w:rPr>
          <w:rFonts w:cs="David" w:hint="cs"/>
          <w:sz w:val="24"/>
          <w:szCs w:val="24"/>
          <w:rtl/>
        </w:rPr>
        <w:t xml:space="preserve">, </w:t>
      </w:r>
      <w:r w:rsidR="0001340F" w:rsidRPr="003841CA">
        <w:rPr>
          <w:rFonts w:cs="David" w:hint="cs"/>
          <w:sz w:val="24"/>
          <w:szCs w:val="24"/>
          <w:rtl/>
        </w:rPr>
        <w:t xml:space="preserve">לא ברור מדוע </w:t>
      </w:r>
      <w:r w:rsidR="00E530F7" w:rsidRPr="003841CA">
        <w:rPr>
          <w:rFonts w:cs="David" w:hint="cs"/>
          <w:sz w:val="24"/>
          <w:szCs w:val="24"/>
          <w:rtl/>
        </w:rPr>
        <w:t xml:space="preserve">שיוכו הדתי של בעל השליטה </w:t>
      </w:r>
      <w:r w:rsidR="0001340F" w:rsidRPr="003841CA">
        <w:rPr>
          <w:rFonts w:cs="David" w:hint="cs"/>
          <w:sz w:val="24"/>
          <w:szCs w:val="24"/>
          <w:rtl/>
        </w:rPr>
        <w:t xml:space="preserve">בתאגיד </w:t>
      </w:r>
      <w:r w:rsidR="00AF7F23" w:rsidRPr="003841CA">
        <w:rPr>
          <w:rFonts w:cs="David"/>
          <w:sz w:val="24"/>
          <w:szCs w:val="24"/>
          <w:rtl/>
        </w:rPr>
        <w:t>–</w:t>
      </w:r>
      <w:r w:rsidR="00AF7F23" w:rsidRPr="003841CA">
        <w:rPr>
          <w:rFonts w:cs="David" w:hint="cs"/>
          <w:sz w:val="24"/>
          <w:szCs w:val="24"/>
          <w:rtl/>
        </w:rPr>
        <w:t xml:space="preserve"> במיוחד אם מדובר בתאגיד ציבורי </w:t>
      </w:r>
      <w:r>
        <w:rPr>
          <w:rFonts w:cs="David" w:hint="cs"/>
          <w:sz w:val="24"/>
          <w:szCs w:val="24"/>
          <w:rtl/>
        </w:rPr>
        <w:t xml:space="preserve">שיכולים להיות בו אלפי בעלי מניות </w:t>
      </w:r>
      <w:r w:rsidR="00AF7F23" w:rsidRPr="003841CA">
        <w:rPr>
          <w:rFonts w:cs="David"/>
          <w:sz w:val="24"/>
          <w:szCs w:val="24"/>
          <w:rtl/>
        </w:rPr>
        <w:t>–</w:t>
      </w:r>
      <w:r w:rsidR="00AF7F23" w:rsidRPr="003841CA">
        <w:rPr>
          <w:rFonts w:cs="David" w:hint="cs"/>
          <w:sz w:val="24"/>
          <w:szCs w:val="24"/>
          <w:rtl/>
        </w:rPr>
        <w:t xml:space="preserve"> </w:t>
      </w:r>
      <w:r w:rsidR="0001340F" w:rsidRPr="003841CA">
        <w:rPr>
          <w:rFonts w:cs="David" w:hint="cs"/>
          <w:sz w:val="24"/>
          <w:szCs w:val="24"/>
          <w:rtl/>
        </w:rPr>
        <w:t xml:space="preserve">רלוונטי לעניין </w:t>
      </w:r>
      <w:r w:rsidR="00E4447A" w:rsidRPr="003841CA">
        <w:rPr>
          <w:rFonts w:cs="David" w:hint="cs"/>
          <w:sz w:val="24"/>
          <w:szCs w:val="24"/>
          <w:rtl/>
        </w:rPr>
        <w:t>ההתדיינות של התאגיד בפני בית הדין הדתי כבורר</w:t>
      </w:r>
      <w:r w:rsidR="00AF7F23" w:rsidRPr="003841CA">
        <w:rPr>
          <w:rFonts w:cs="David" w:hint="cs"/>
          <w:sz w:val="24"/>
          <w:szCs w:val="24"/>
          <w:rtl/>
        </w:rPr>
        <w:t xml:space="preserve">. </w:t>
      </w:r>
      <w:r>
        <w:rPr>
          <w:rFonts w:cs="David" w:hint="cs"/>
          <w:sz w:val="24"/>
          <w:szCs w:val="24"/>
          <w:rtl/>
        </w:rPr>
        <w:t>לבסוף</w:t>
      </w:r>
      <w:r w:rsidR="00AF7F23" w:rsidRPr="003841CA">
        <w:rPr>
          <w:rFonts w:cs="David" w:hint="cs"/>
          <w:sz w:val="24"/>
          <w:szCs w:val="24"/>
          <w:rtl/>
        </w:rPr>
        <w:t xml:space="preserve">, </w:t>
      </w:r>
      <w:r>
        <w:rPr>
          <w:rFonts w:cs="David" w:hint="cs"/>
          <w:sz w:val="24"/>
          <w:szCs w:val="24"/>
          <w:rtl/>
        </w:rPr>
        <w:t>כאמור לעיל</w:t>
      </w:r>
      <w:r w:rsidR="00A90F45">
        <w:rPr>
          <w:rFonts w:cs="David" w:hint="cs"/>
          <w:sz w:val="24"/>
          <w:szCs w:val="24"/>
          <w:rtl/>
        </w:rPr>
        <w:t>,</w:t>
      </w:r>
      <w:r w:rsidR="00911D8B">
        <w:rPr>
          <w:rFonts w:cs="David" w:hint="cs"/>
          <w:sz w:val="24"/>
          <w:szCs w:val="24"/>
          <w:rtl/>
        </w:rPr>
        <w:t xml:space="preserve"> </w:t>
      </w:r>
      <w:r w:rsidR="00AF7F23" w:rsidRPr="003841CA">
        <w:rPr>
          <w:rFonts w:cs="David" w:hint="cs"/>
          <w:sz w:val="24"/>
          <w:szCs w:val="24"/>
          <w:rtl/>
        </w:rPr>
        <w:t xml:space="preserve">אם תאגיד מעוניין להתדיין בפני בית דין דתי כבורר מדוע למנוע זאת ממנו גם אם ההשתייכות הדתית של בעלי השליטה בו שונה מזו של בית הדין?  </w:t>
      </w:r>
    </w:p>
    <w:p w:rsidR="00323645" w:rsidRPr="003841CA" w:rsidRDefault="00323645" w:rsidP="00054796">
      <w:pPr>
        <w:spacing w:after="120" w:line="360" w:lineRule="auto"/>
        <w:jc w:val="both"/>
        <w:rPr>
          <w:rFonts w:cs="David"/>
          <w:sz w:val="24"/>
          <w:szCs w:val="24"/>
        </w:rPr>
      </w:pPr>
      <w:r w:rsidRPr="005F0F3B">
        <w:rPr>
          <w:rFonts w:cs="David" w:hint="cs"/>
          <w:sz w:val="24"/>
          <w:szCs w:val="24"/>
          <w:u w:val="single"/>
          <w:rtl/>
        </w:rPr>
        <w:t xml:space="preserve">ככל שהכוונה לאפשר מתן סמכות </w:t>
      </w:r>
      <w:r w:rsidR="00054796" w:rsidRPr="005F0F3B">
        <w:rPr>
          <w:rFonts w:cs="David" w:hint="cs"/>
          <w:sz w:val="24"/>
          <w:szCs w:val="24"/>
          <w:u w:val="single"/>
          <w:rtl/>
        </w:rPr>
        <w:t xml:space="preserve">לבית הדין הדתי </w:t>
      </w:r>
      <w:r w:rsidRPr="005F0F3B">
        <w:rPr>
          <w:rFonts w:cs="David" w:hint="cs"/>
          <w:sz w:val="24"/>
          <w:szCs w:val="24"/>
          <w:u w:val="single"/>
          <w:rtl/>
        </w:rPr>
        <w:t xml:space="preserve">כאשר מדובר בחברה פרטית קטנה הנשלטת באופן מלא על-ידי בעלי מניות ספורים </w:t>
      </w:r>
      <w:r w:rsidR="00054796" w:rsidRPr="005F0F3B">
        <w:rPr>
          <w:rFonts w:cs="David" w:hint="cs"/>
          <w:sz w:val="24"/>
          <w:szCs w:val="24"/>
          <w:u w:val="single"/>
          <w:rtl/>
        </w:rPr>
        <w:t xml:space="preserve">המסכימים להתדיין בפני בית הדין הדתי, </w:t>
      </w:r>
      <w:r w:rsidRPr="005F0F3B">
        <w:rPr>
          <w:rFonts w:cs="David" w:hint="cs"/>
          <w:sz w:val="24"/>
          <w:szCs w:val="24"/>
          <w:u w:val="single"/>
          <w:rtl/>
        </w:rPr>
        <w:t>יש להגביל את מתן הסמכות למצב זה בלבד</w:t>
      </w:r>
      <w:r>
        <w:rPr>
          <w:rFonts w:cs="David" w:hint="cs"/>
          <w:sz w:val="24"/>
          <w:szCs w:val="24"/>
          <w:rtl/>
        </w:rPr>
        <w:t xml:space="preserve">. </w:t>
      </w:r>
    </w:p>
    <w:p w:rsidR="00D569FC" w:rsidRDefault="00D569FC" w:rsidP="00952B7B">
      <w:pPr>
        <w:spacing w:after="0" w:line="360" w:lineRule="auto"/>
        <w:jc w:val="both"/>
        <w:rPr>
          <w:rFonts w:cs="David"/>
          <w:sz w:val="24"/>
          <w:szCs w:val="24"/>
          <w:rtl/>
        </w:rPr>
      </w:pPr>
    </w:p>
    <w:p w:rsidR="0066666C" w:rsidRPr="00170A3A" w:rsidRDefault="0066666C" w:rsidP="003841CA">
      <w:pPr>
        <w:spacing w:after="120" w:line="240" w:lineRule="auto"/>
        <w:jc w:val="both"/>
        <w:rPr>
          <w:rFonts w:cs="David"/>
          <w:b/>
          <w:bCs/>
          <w:sz w:val="24"/>
          <w:szCs w:val="24"/>
          <w:u w:val="single"/>
          <w:rtl/>
        </w:rPr>
      </w:pPr>
      <w:r w:rsidRPr="00170A3A">
        <w:rPr>
          <w:rFonts w:cs="David" w:hint="cs"/>
          <w:b/>
          <w:bCs/>
          <w:sz w:val="24"/>
          <w:szCs w:val="24"/>
          <w:u w:val="single"/>
          <w:rtl/>
        </w:rPr>
        <w:t xml:space="preserve">סעיף 3 להצעת החוק </w:t>
      </w:r>
      <w:r w:rsidRPr="00170A3A">
        <w:rPr>
          <w:rFonts w:cs="David"/>
          <w:b/>
          <w:bCs/>
          <w:sz w:val="24"/>
          <w:szCs w:val="24"/>
          <w:u w:val="single"/>
          <w:rtl/>
        </w:rPr>
        <w:t>–</w:t>
      </w:r>
      <w:r w:rsidRPr="00170A3A">
        <w:rPr>
          <w:rFonts w:cs="David" w:hint="cs"/>
          <w:b/>
          <w:bCs/>
          <w:sz w:val="24"/>
          <w:szCs w:val="24"/>
          <w:u w:val="single"/>
          <w:rtl/>
        </w:rPr>
        <w:t xml:space="preserve"> הפניה אל בית הדין</w:t>
      </w:r>
    </w:p>
    <w:tbl>
      <w:tblPr>
        <w:tblStyle w:val="a7"/>
        <w:bidiVisual/>
        <w:tblW w:w="0" w:type="auto"/>
        <w:tblLook w:val="04A0" w:firstRow="1" w:lastRow="0" w:firstColumn="1" w:lastColumn="0" w:noHBand="0" w:noVBand="1"/>
      </w:tblPr>
      <w:tblGrid>
        <w:gridCol w:w="8296"/>
      </w:tblGrid>
      <w:tr w:rsidR="003841CA" w:rsidRPr="003841CA" w:rsidTr="003841CA">
        <w:tc>
          <w:tcPr>
            <w:tcW w:w="8296" w:type="dxa"/>
          </w:tcPr>
          <w:p w:rsidR="003841CA" w:rsidRPr="003841CA" w:rsidRDefault="003841CA" w:rsidP="003841CA">
            <w:pPr>
              <w:pStyle w:val="TableBlock"/>
              <w:spacing w:before="60" w:after="60" w:line="240" w:lineRule="auto"/>
              <w:rPr>
                <w:rFonts w:ascii="Narkisim" w:hAnsi="Narkisim" w:cs="Narkisim"/>
                <w:sz w:val="24"/>
                <w:szCs w:val="24"/>
              </w:rPr>
            </w:pPr>
            <w:r w:rsidRPr="003841CA">
              <w:rPr>
                <w:rFonts w:ascii="Narkisim" w:hAnsi="Narkisim" w:cs="Narkisim"/>
                <w:sz w:val="24"/>
                <w:szCs w:val="24"/>
                <w:rtl/>
              </w:rPr>
              <w:t>(א)</w:t>
            </w:r>
            <w:r>
              <w:rPr>
                <w:rFonts w:ascii="Narkisim" w:hAnsi="Narkisim" w:cs="Narkisim" w:hint="cs"/>
                <w:sz w:val="24"/>
                <w:szCs w:val="24"/>
                <w:rtl/>
              </w:rPr>
              <w:t xml:space="preserve"> </w:t>
            </w:r>
            <w:r w:rsidRPr="003841CA">
              <w:rPr>
                <w:rFonts w:ascii="Narkisim" w:hAnsi="Narkisim" w:cs="Narkisim"/>
                <w:sz w:val="24"/>
                <w:szCs w:val="24"/>
                <w:rtl/>
              </w:rPr>
              <w:t>פניה לבית דין לדון כבורר בעניין אזרחי, תוגש בצירוף הסכמתם בכתב של הצדדים הנוגעים בדבר.</w:t>
            </w:r>
          </w:p>
          <w:p w:rsidR="003841CA" w:rsidRPr="003841CA" w:rsidRDefault="003841CA" w:rsidP="003841CA">
            <w:pPr>
              <w:pStyle w:val="TableBlock"/>
              <w:spacing w:before="60" w:after="60" w:line="240" w:lineRule="auto"/>
              <w:rPr>
                <w:rFonts w:ascii="Narkisim" w:hAnsi="Narkisim" w:cs="Narkisim"/>
                <w:sz w:val="24"/>
                <w:szCs w:val="24"/>
              </w:rPr>
            </w:pPr>
            <w:r w:rsidRPr="003841CA">
              <w:rPr>
                <w:rFonts w:ascii="Narkisim" w:hAnsi="Narkisim" w:cs="Narkisim"/>
                <w:sz w:val="24"/>
                <w:szCs w:val="24"/>
                <w:rtl/>
              </w:rPr>
              <w:t>(ב)</w:t>
            </w:r>
            <w:r>
              <w:rPr>
                <w:rFonts w:ascii="Narkisim" w:hAnsi="Narkisim" w:cs="Narkisim" w:hint="cs"/>
                <w:sz w:val="24"/>
                <w:szCs w:val="24"/>
                <w:rtl/>
              </w:rPr>
              <w:t xml:space="preserve"> </w:t>
            </w:r>
            <w:r w:rsidRPr="003841CA">
              <w:rPr>
                <w:rFonts w:ascii="Narkisim" w:hAnsi="Narkisim" w:cs="Narkisim"/>
                <w:sz w:val="24"/>
                <w:szCs w:val="24"/>
                <w:rtl/>
              </w:rPr>
              <w:t>לא צורפה הסכמתו של צד הנוגע בדבר, יודיע בית הדין לאותו צד, על אפשרותו להסכים לכך שבית הדין ידון בעניין כבורר.</w:t>
            </w:r>
          </w:p>
          <w:p w:rsidR="003841CA" w:rsidRPr="003841CA" w:rsidRDefault="003841CA" w:rsidP="003841CA">
            <w:pPr>
              <w:pStyle w:val="TableBlock"/>
              <w:spacing w:before="60" w:after="60" w:line="240" w:lineRule="auto"/>
              <w:rPr>
                <w:rFonts w:ascii="Narkisim" w:hAnsi="Narkisim" w:cs="Narkisim"/>
                <w:sz w:val="24"/>
                <w:szCs w:val="24"/>
              </w:rPr>
            </w:pPr>
            <w:r w:rsidRPr="003841CA">
              <w:rPr>
                <w:rFonts w:ascii="Narkisim" w:hAnsi="Narkisim" w:cs="Narkisim"/>
                <w:sz w:val="24"/>
                <w:szCs w:val="24"/>
                <w:rtl/>
              </w:rPr>
              <w:t>(ג)</w:t>
            </w:r>
            <w:r>
              <w:rPr>
                <w:rFonts w:ascii="Narkisim" w:hAnsi="Narkisim" w:cs="Narkisim" w:hint="cs"/>
                <w:sz w:val="24"/>
                <w:szCs w:val="24"/>
                <w:rtl/>
              </w:rPr>
              <w:t xml:space="preserve"> </w:t>
            </w:r>
            <w:r w:rsidRPr="003841CA">
              <w:rPr>
                <w:rFonts w:ascii="Narkisim" w:hAnsi="Narkisim" w:cs="Narkisim"/>
                <w:sz w:val="24"/>
                <w:szCs w:val="24"/>
                <w:rtl/>
              </w:rPr>
              <w:t>לא התקבלה הסכמתו של אותו צד לסמכות בית הדין כאמור בסעיף קטן (ב), בתוך מועד שקבע בית הדין, ימסור בית הדין הודעה על כך לצדדים הנוגעים בדבר שהביעו הסכמתם לסמכות בית הדין, ורשאי הוא לתת להם היתר בית דין על פי הדין הדתי להגיש את תביעתם לערכאה אזרחית.</w:t>
            </w:r>
          </w:p>
          <w:p w:rsidR="003841CA" w:rsidRPr="003841CA" w:rsidRDefault="003841CA" w:rsidP="003841CA">
            <w:pPr>
              <w:pStyle w:val="TableBlock"/>
              <w:spacing w:before="60" w:after="60" w:line="240" w:lineRule="auto"/>
              <w:rPr>
                <w:rFonts w:ascii="Narkisim" w:hAnsi="Narkisim" w:cs="Narkisim"/>
                <w:sz w:val="24"/>
                <w:szCs w:val="24"/>
              </w:rPr>
            </w:pPr>
            <w:r w:rsidRPr="003841CA">
              <w:rPr>
                <w:rFonts w:ascii="Narkisim" w:hAnsi="Narkisim" w:cs="Narkisim"/>
                <w:sz w:val="24"/>
                <w:szCs w:val="24"/>
                <w:rtl/>
              </w:rPr>
              <w:t>(ד)</w:t>
            </w:r>
            <w:r>
              <w:rPr>
                <w:rFonts w:ascii="Narkisim" w:hAnsi="Narkisim" w:cs="Narkisim" w:hint="cs"/>
                <w:sz w:val="24"/>
                <w:szCs w:val="24"/>
                <w:rtl/>
              </w:rPr>
              <w:t xml:space="preserve"> </w:t>
            </w:r>
            <w:r w:rsidRPr="003841CA">
              <w:rPr>
                <w:rFonts w:ascii="Narkisim" w:hAnsi="Narkisim" w:cs="Narkisim"/>
                <w:sz w:val="24"/>
                <w:szCs w:val="24"/>
                <w:rtl/>
              </w:rPr>
              <w:t>היה אחד הצדדים הנוגעים בדבר קטין, חסוי, פסול דין או נעדר, ימסור בית הדין הדתי הודעה על כך ליועץ המשפטי לממשלה, ורשאי בית הדין למנות לאותו צד אפוטרופוס לצורך מתן הסכמה לסמכות בית הדין לדון כבורר כאמור בסעיף זה ולצורך ייצוגו לפניו.</w:t>
            </w:r>
          </w:p>
          <w:p w:rsidR="003841CA" w:rsidRPr="003841CA" w:rsidRDefault="003841CA" w:rsidP="003841CA">
            <w:pPr>
              <w:spacing w:before="60" w:after="60"/>
              <w:jc w:val="both"/>
              <w:rPr>
                <w:rFonts w:ascii="Narkisim" w:hAnsi="Narkisim" w:cs="Narkisim"/>
                <w:color w:val="0070C0"/>
                <w:sz w:val="24"/>
                <w:szCs w:val="24"/>
                <w:rtl/>
              </w:rPr>
            </w:pPr>
            <w:r w:rsidRPr="003841CA">
              <w:rPr>
                <w:rFonts w:ascii="Narkisim" w:hAnsi="Narkisim" w:cs="Narkisim"/>
                <w:sz w:val="24"/>
                <w:szCs w:val="24"/>
                <w:rtl/>
              </w:rPr>
              <w:t>(ה)</w:t>
            </w:r>
            <w:r>
              <w:rPr>
                <w:rFonts w:ascii="Narkisim" w:hAnsi="Narkisim" w:cs="Narkisim" w:hint="cs"/>
                <w:sz w:val="24"/>
                <w:szCs w:val="24"/>
                <w:rtl/>
              </w:rPr>
              <w:t xml:space="preserve"> </w:t>
            </w:r>
            <w:r w:rsidRPr="003841CA">
              <w:rPr>
                <w:rFonts w:ascii="Narkisim" w:hAnsi="Narkisim" w:cs="Narkisim"/>
                <w:sz w:val="24"/>
                <w:szCs w:val="24"/>
                <w:rtl/>
              </w:rPr>
              <w:t>עד לקבלת הסכמתם בכתב של כל הצדדים הנוגעים בדבר לסמכותו של בית דין דתי לדון לפי סעיף זה לא יקיים בית הדין כל דיון בעניין, אך רשאי הוא לתת היתר בית דין על פי דין תורה להגיש בקשה לסעד זמני לערכאה אזרחית.</w:t>
            </w:r>
          </w:p>
        </w:tc>
      </w:tr>
    </w:tbl>
    <w:p w:rsidR="00B10639" w:rsidRDefault="005F5DF1" w:rsidP="002F7E3C">
      <w:pPr>
        <w:spacing w:before="120" w:after="120" w:line="360" w:lineRule="auto"/>
        <w:jc w:val="both"/>
        <w:rPr>
          <w:rFonts w:cs="David"/>
          <w:sz w:val="24"/>
          <w:szCs w:val="24"/>
          <w:rtl/>
        </w:rPr>
      </w:pPr>
      <w:r>
        <w:rPr>
          <w:rFonts w:cs="David" w:hint="cs"/>
          <w:sz w:val="24"/>
          <w:szCs w:val="24"/>
          <w:rtl/>
        </w:rPr>
        <w:t>מוצע לקבוע כי פנייה לבית הדין תוגש בצירוף הסכמ</w:t>
      </w:r>
      <w:r w:rsidR="002F7E3C">
        <w:rPr>
          <w:rFonts w:cs="David" w:hint="cs"/>
          <w:sz w:val="24"/>
          <w:szCs w:val="24"/>
          <w:rtl/>
        </w:rPr>
        <w:t>ה</w:t>
      </w:r>
      <w:r>
        <w:rPr>
          <w:rFonts w:cs="David" w:hint="cs"/>
          <w:sz w:val="24"/>
          <w:szCs w:val="24"/>
          <w:rtl/>
        </w:rPr>
        <w:t xml:space="preserve"> בכתב של הצדדים הנוגעים בדבר, וכי בית הדין יכול להודיע לצד שהסכמתו לא צורפה על אפשרותו להסכים. לפי המוצע, אם אחד הצדדים הוא קטין, חסוי, פסול דין או נעדר בית הדין יהיה רשאי למנות לו אפוטרופוס לצורך מתן הסכמה. כן מוצע לקבוע כי אם לא התקבלה הסכמה של אחד הצדדים להתדיין לפני בית הדין (וכן עד לקבלת הסכמה כאמור) בית הדין רשאי לתת לצד שהסכים היתר לפי הדין הדתי להגיש את תביעתו לערכאה אזרחית.</w:t>
      </w:r>
    </w:p>
    <w:p w:rsidR="005F5DF1" w:rsidRPr="005F5DF1" w:rsidRDefault="005F5DF1" w:rsidP="005F5DF1">
      <w:pPr>
        <w:spacing w:before="120" w:after="120" w:line="360" w:lineRule="auto"/>
        <w:jc w:val="both"/>
        <w:rPr>
          <w:rFonts w:cs="David"/>
          <w:sz w:val="24"/>
          <w:szCs w:val="24"/>
          <w:rtl/>
        </w:rPr>
      </w:pPr>
      <w:r w:rsidRPr="005F5DF1">
        <w:rPr>
          <w:rFonts w:cs="David" w:hint="cs"/>
          <w:sz w:val="24"/>
          <w:szCs w:val="24"/>
          <w:u w:val="single"/>
          <w:rtl/>
        </w:rPr>
        <w:t>נקודות לדיון</w:t>
      </w:r>
      <w:r>
        <w:rPr>
          <w:rFonts w:cs="David" w:hint="cs"/>
          <w:sz w:val="24"/>
          <w:szCs w:val="24"/>
          <w:rtl/>
        </w:rPr>
        <w:t>:</w:t>
      </w:r>
    </w:p>
    <w:p w:rsidR="000C663F" w:rsidRDefault="00170A3A" w:rsidP="00097ACF">
      <w:pPr>
        <w:spacing w:before="120" w:after="120" w:line="240" w:lineRule="auto"/>
        <w:jc w:val="both"/>
        <w:rPr>
          <w:rFonts w:cs="David"/>
          <w:sz w:val="24"/>
          <w:szCs w:val="24"/>
          <w:rtl/>
        </w:rPr>
      </w:pPr>
      <w:r w:rsidRPr="003B5C1E">
        <w:rPr>
          <w:rFonts w:cs="David" w:hint="cs"/>
          <w:b/>
          <w:bCs/>
          <w:sz w:val="24"/>
          <w:szCs w:val="24"/>
          <w:rtl/>
        </w:rPr>
        <w:t xml:space="preserve">(1) </w:t>
      </w:r>
      <w:r w:rsidR="00097ACF" w:rsidRPr="00655573">
        <w:rPr>
          <w:rFonts w:cs="David" w:hint="cs"/>
          <w:b/>
          <w:bCs/>
          <w:sz w:val="24"/>
          <w:szCs w:val="24"/>
          <w:rtl/>
        </w:rPr>
        <w:t>הבנה של הצדדים את מלוא המשמעויות של הסכמתם</w:t>
      </w:r>
      <w:r w:rsidR="00FA4627">
        <w:rPr>
          <w:rFonts w:cs="David" w:hint="cs"/>
          <w:b/>
          <w:bCs/>
          <w:sz w:val="24"/>
          <w:szCs w:val="24"/>
          <w:rtl/>
        </w:rPr>
        <w:t xml:space="preserve"> </w:t>
      </w:r>
      <w:r w:rsidRPr="003B5C1E">
        <w:rPr>
          <w:rFonts w:cs="David" w:hint="cs"/>
          <w:sz w:val="24"/>
          <w:szCs w:val="24"/>
          <w:rtl/>
        </w:rPr>
        <w:t xml:space="preserve">(סעיף קטן (א)) </w:t>
      </w:r>
    </w:p>
    <w:p w:rsidR="0086165C" w:rsidRDefault="006E7B72" w:rsidP="000C663F">
      <w:pPr>
        <w:spacing w:before="120" w:after="120" w:line="360" w:lineRule="auto"/>
        <w:jc w:val="both"/>
        <w:rPr>
          <w:rFonts w:cs="David"/>
          <w:sz w:val="24"/>
          <w:szCs w:val="24"/>
          <w:rtl/>
        </w:rPr>
      </w:pPr>
      <w:r>
        <w:rPr>
          <w:rFonts w:cs="David" w:hint="cs"/>
          <w:sz w:val="24"/>
          <w:szCs w:val="24"/>
          <w:rtl/>
        </w:rPr>
        <w:t>יש חוסר בהירות באשר ל</w:t>
      </w:r>
      <w:r w:rsidR="00076DD3" w:rsidRPr="003B5C1E">
        <w:rPr>
          <w:rFonts w:cs="David" w:hint="cs"/>
          <w:sz w:val="24"/>
          <w:szCs w:val="24"/>
          <w:rtl/>
        </w:rPr>
        <w:t xml:space="preserve">טיבה </w:t>
      </w:r>
      <w:r>
        <w:rPr>
          <w:rFonts w:cs="David" w:hint="cs"/>
          <w:sz w:val="24"/>
          <w:szCs w:val="24"/>
          <w:rtl/>
        </w:rPr>
        <w:t xml:space="preserve">ולתוכנה </w:t>
      </w:r>
      <w:r w:rsidR="00076DD3" w:rsidRPr="003B5C1E">
        <w:rPr>
          <w:rFonts w:cs="David" w:hint="cs"/>
          <w:sz w:val="24"/>
          <w:szCs w:val="24"/>
          <w:rtl/>
        </w:rPr>
        <w:t xml:space="preserve">של </w:t>
      </w:r>
      <w:r w:rsidR="00172384" w:rsidRPr="003B5C1E">
        <w:rPr>
          <w:rFonts w:cs="David" w:hint="cs"/>
          <w:sz w:val="24"/>
          <w:szCs w:val="24"/>
          <w:rtl/>
        </w:rPr>
        <w:t>ההסכמה בכתב שתוגש לבית הדין</w:t>
      </w:r>
      <w:r w:rsidR="00791937">
        <w:rPr>
          <w:rFonts w:cs="David" w:hint="cs"/>
          <w:sz w:val="24"/>
          <w:szCs w:val="24"/>
          <w:rtl/>
        </w:rPr>
        <w:t xml:space="preserve"> לפי סעיף 3(א) המוצע</w:t>
      </w:r>
      <w:r w:rsidR="004940C5" w:rsidRPr="003B5C1E">
        <w:rPr>
          <w:rFonts w:cs="David" w:hint="cs"/>
          <w:sz w:val="24"/>
          <w:szCs w:val="24"/>
          <w:rtl/>
        </w:rPr>
        <w:t>:</w:t>
      </w:r>
      <w:r w:rsidR="00FC6EA7" w:rsidRPr="003B5C1E">
        <w:rPr>
          <w:rFonts w:cs="David" w:hint="cs"/>
          <w:sz w:val="24"/>
          <w:szCs w:val="24"/>
          <w:rtl/>
        </w:rPr>
        <w:t xml:space="preserve"> </w:t>
      </w:r>
      <w:r w:rsidR="00D01438" w:rsidRPr="003B5C1E">
        <w:rPr>
          <w:rFonts w:cs="David" w:hint="cs"/>
          <w:sz w:val="24"/>
          <w:szCs w:val="24"/>
          <w:rtl/>
        </w:rPr>
        <w:t xml:space="preserve">האם </w:t>
      </w:r>
      <w:r w:rsidR="0031274F">
        <w:rPr>
          <w:rFonts w:cs="David" w:hint="cs"/>
          <w:sz w:val="24"/>
          <w:szCs w:val="24"/>
          <w:rtl/>
        </w:rPr>
        <w:t xml:space="preserve">ההסכמה היא למעשה </w:t>
      </w:r>
      <w:r w:rsidR="00D01438" w:rsidRPr="003B5C1E">
        <w:rPr>
          <w:rFonts w:cs="David" w:hint="cs"/>
          <w:sz w:val="24"/>
          <w:szCs w:val="24"/>
          <w:rtl/>
        </w:rPr>
        <w:t xml:space="preserve">"הסכם בוררות" </w:t>
      </w:r>
      <w:r w:rsidR="0031274F">
        <w:rPr>
          <w:rFonts w:cs="David" w:hint="cs"/>
          <w:sz w:val="24"/>
          <w:szCs w:val="24"/>
          <w:rtl/>
        </w:rPr>
        <w:t xml:space="preserve">שאמור </w:t>
      </w:r>
      <w:r w:rsidR="005827B7" w:rsidRPr="003B5C1E">
        <w:rPr>
          <w:rFonts w:cs="David" w:hint="cs"/>
          <w:sz w:val="24"/>
          <w:szCs w:val="24"/>
          <w:rtl/>
        </w:rPr>
        <w:t>לכלול את מסגרת ההתדיינות ותוכנה</w:t>
      </w:r>
      <w:r w:rsidR="000B0FF8">
        <w:rPr>
          <w:rFonts w:cs="David" w:hint="cs"/>
          <w:sz w:val="24"/>
          <w:szCs w:val="24"/>
          <w:rtl/>
        </w:rPr>
        <w:t xml:space="preserve"> (מי יהיה הבורר, כמה בוררים יהיו וכו') </w:t>
      </w:r>
      <w:r w:rsidR="000B0FF8" w:rsidRPr="00231FA1">
        <w:rPr>
          <w:rFonts w:cs="David" w:hint="cs"/>
          <w:sz w:val="24"/>
          <w:szCs w:val="24"/>
          <w:rtl/>
        </w:rPr>
        <w:t>בדומה לכל הסכם בוררות שלפי חוק הבוררות</w:t>
      </w:r>
      <w:r w:rsidR="00F57C20">
        <w:rPr>
          <w:rFonts w:cs="David" w:hint="cs"/>
          <w:sz w:val="24"/>
          <w:szCs w:val="24"/>
          <w:rtl/>
        </w:rPr>
        <w:t>?</w:t>
      </w:r>
      <w:r w:rsidR="00F57C20" w:rsidRPr="003B5C1E">
        <w:rPr>
          <w:rFonts w:cs="David" w:hint="cs"/>
          <w:sz w:val="24"/>
          <w:szCs w:val="24"/>
          <w:rtl/>
        </w:rPr>
        <w:t xml:space="preserve"> </w:t>
      </w:r>
      <w:r w:rsidR="00D01438" w:rsidRPr="003B5C1E">
        <w:rPr>
          <w:rFonts w:cs="David" w:hint="cs"/>
          <w:sz w:val="24"/>
          <w:szCs w:val="24"/>
          <w:rtl/>
        </w:rPr>
        <w:t xml:space="preserve">או </w:t>
      </w:r>
      <w:r w:rsidR="00F57C20">
        <w:rPr>
          <w:rFonts w:cs="David" w:hint="cs"/>
          <w:sz w:val="24"/>
          <w:szCs w:val="24"/>
          <w:rtl/>
        </w:rPr>
        <w:t xml:space="preserve">שמעת שהצדדים </w:t>
      </w:r>
      <w:r w:rsidR="00F57C20" w:rsidRPr="002A2A12">
        <w:rPr>
          <w:rFonts w:cs="David" w:hint="cs"/>
          <w:sz w:val="24"/>
          <w:szCs w:val="24"/>
          <w:rtl/>
        </w:rPr>
        <w:t>הסכימו</w:t>
      </w:r>
      <w:r w:rsidR="00F57C20">
        <w:rPr>
          <w:rFonts w:cs="David" w:hint="cs"/>
          <w:sz w:val="24"/>
          <w:szCs w:val="24"/>
          <w:rtl/>
        </w:rPr>
        <w:t xml:space="preserve"> להתדיין </w:t>
      </w:r>
      <w:r w:rsidR="00076DD3" w:rsidRPr="003B5C1E">
        <w:rPr>
          <w:rFonts w:cs="David" w:hint="cs"/>
          <w:sz w:val="24"/>
          <w:szCs w:val="24"/>
          <w:rtl/>
        </w:rPr>
        <w:t xml:space="preserve">בפני בית הדין </w:t>
      </w:r>
      <w:r w:rsidR="00C92D16" w:rsidRPr="003B5C1E">
        <w:rPr>
          <w:rFonts w:cs="David" w:hint="cs"/>
          <w:sz w:val="24"/>
          <w:szCs w:val="24"/>
          <w:rtl/>
        </w:rPr>
        <w:t xml:space="preserve">כבורר, </w:t>
      </w:r>
      <w:r w:rsidR="00F57C20">
        <w:rPr>
          <w:rFonts w:cs="David" w:hint="cs"/>
          <w:sz w:val="24"/>
          <w:szCs w:val="24"/>
          <w:rtl/>
        </w:rPr>
        <w:t>הרי ש</w:t>
      </w:r>
      <w:r w:rsidR="00C92D16" w:rsidRPr="003B5C1E">
        <w:rPr>
          <w:rFonts w:cs="David" w:hint="cs"/>
          <w:sz w:val="24"/>
          <w:szCs w:val="24"/>
          <w:rtl/>
        </w:rPr>
        <w:t xml:space="preserve">מסגרת ההתדיינות </w:t>
      </w:r>
      <w:r w:rsidR="00F57C20">
        <w:rPr>
          <w:rFonts w:cs="David" w:hint="cs"/>
          <w:sz w:val="24"/>
          <w:szCs w:val="24"/>
          <w:rtl/>
        </w:rPr>
        <w:t xml:space="preserve">והתוכן שלה ייקבעו </w:t>
      </w:r>
      <w:r w:rsidR="00C92D16" w:rsidRPr="003B5C1E">
        <w:rPr>
          <w:rFonts w:cs="David" w:hint="cs"/>
          <w:sz w:val="24"/>
          <w:szCs w:val="24"/>
          <w:rtl/>
        </w:rPr>
        <w:t>על</w:t>
      </w:r>
      <w:r w:rsidR="00F57C20">
        <w:rPr>
          <w:rFonts w:cs="David" w:hint="cs"/>
          <w:sz w:val="24"/>
          <w:szCs w:val="24"/>
          <w:rtl/>
        </w:rPr>
        <w:t>-ידי</w:t>
      </w:r>
      <w:r w:rsidR="00C92D16" w:rsidRPr="003B5C1E">
        <w:rPr>
          <w:rFonts w:cs="David" w:hint="cs"/>
          <w:sz w:val="24"/>
          <w:szCs w:val="24"/>
          <w:rtl/>
        </w:rPr>
        <w:t xml:space="preserve"> </w:t>
      </w:r>
      <w:r w:rsidR="00047851">
        <w:rPr>
          <w:rFonts w:cs="David" w:hint="cs"/>
          <w:sz w:val="24"/>
          <w:szCs w:val="24"/>
          <w:rtl/>
        </w:rPr>
        <w:t>בית הדין</w:t>
      </w:r>
      <w:r w:rsidR="00C92D16" w:rsidRPr="003B5C1E">
        <w:rPr>
          <w:rFonts w:cs="David" w:hint="cs"/>
          <w:sz w:val="24"/>
          <w:szCs w:val="24"/>
          <w:rtl/>
        </w:rPr>
        <w:t xml:space="preserve">, </w:t>
      </w:r>
      <w:r w:rsidR="00791937">
        <w:rPr>
          <w:rFonts w:cs="David" w:hint="cs"/>
          <w:sz w:val="24"/>
          <w:szCs w:val="24"/>
          <w:rtl/>
        </w:rPr>
        <w:t xml:space="preserve">והצדדים </w:t>
      </w:r>
      <w:r w:rsidR="00F57C20">
        <w:rPr>
          <w:rFonts w:cs="David" w:hint="cs"/>
          <w:sz w:val="24"/>
          <w:szCs w:val="24"/>
          <w:rtl/>
        </w:rPr>
        <w:t xml:space="preserve">ידרשו </w:t>
      </w:r>
      <w:r w:rsidR="00C92D16" w:rsidRPr="003B5C1E">
        <w:rPr>
          <w:rFonts w:cs="David" w:hint="cs"/>
          <w:sz w:val="24"/>
          <w:szCs w:val="24"/>
          <w:rtl/>
        </w:rPr>
        <w:t>לקבל אותם כ"חבילה" אחת</w:t>
      </w:r>
      <w:r w:rsidR="00D01438" w:rsidRPr="003B5C1E">
        <w:rPr>
          <w:rFonts w:cs="David" w:hint="cs"/>
          <w:sz w:val="24"/>
          <w:szCs w:val="24"/>
          <w:rtl/>
        </w:rPr>
        <w:t>?</w:t>
      </w:r>
      <w:r w:rsidR="005827B7" w:rsidRPr="003B5C1E">
        <w:rPr>
          <w:rFonts w:cs="David" w:hint="cs"/>
          <w:sz w:val="24"/>
          <w:szCs w:val="24"/>
          <w:rtl/>
        </w:rPr>
        <w:t xml:space="preserve"> </w:t>
      </w:r>
    </w:p>
    <w:p w:rsidR="00172384" w:rsidRDefault="002B2B73" w:rsidP="006946E4">
      <w:pPr>
        <w:spacing w:before="120" w:after="120" w:line="360" w:lineRule="auto"/>
        <w:jc w:val="both"/>
        <w:rPr>
          <w:rFonts w:cs="David"/>
          <w:sz w:val="24"/>
          <w:szCs w:val="24"/>
          <w:rtl/>
        </w:rPr>
      </w:pPr>
      <w:r>
        <w:rPr>
          <w:rFonts w:cs="David" w:hint="cs"/>
          <w:sz w:val="24"/>
          <w:szCs w:val="24"/>
          <w:rtl/>
        </w:rPr>
        <w:t xml:space="preserve">כך למשל, </w:t>
      </w:r>
      <w:r w:rsidR="00B133DF" w:rsidRPr="003B5C1E">
        <w:rPr>
          <w:rFonts w:cs="David" w:hint="cs"/>
          <w:sz w:val="24"/>
          <w:szCs w:val="24"/>
          <w:rtl/>
        </w:rPr>
        <w:t xml:space="preserve">האם </w:t>
      </w:r>
      <w:r>
        <w:rPr>
          <w:rFonts w:cs="David" w:hint="cs"/>
          <w:sz w:val="24"/>
          <w:szCs w:val="24"/>
          <w:rtl/>
        </w:rPr>
        <w:t>ה</w:t>
      </w:r>
      <w:r w:rsidR="00B133DF" w:rsidRPr="003B5C1E">
        <w:rPr>
          <w:rFonts w:cs="David" w:hint="cs"/>
          <w:sz w:val="24"/>
          <w:szCs w:val="24"/>
          <w:rtl/>
        </w:rPr>
        <w:t xml:space="preserve">צדדים יכולים לבחור </w:t>
      </w:r>
      <w:r>
        <w:rPr>
          <w:rFonts w:cs="David" w:hint="cs"/>
          <w:sz w:val="24"/>
          <w:szCs w:val="24"/>
          <w:rtl/>
        </w:rPr>
        <w:t xml:space="preserve">איזה דיין ישמש כבורר, </w:t>
      </w:r>
      <w:r w:rsidR="004C6CC9">
        <w:rPr>
          <w:rFonts w:cs="David" w:hint="cs"/>
          <w:sz w:val="24"/>
          <w:szCs w:val="24"/>
          <w:rtl/>
        </w:rPr>
        <w:t xml:space="preserve">האם </w:t>
      </w:r>
      <w:r>
        <w:rPr>
          <w:rFonts w:cs="David" w:hint="cs"/>
          <w:sz w:val="24"/>
          <w:szCs w:val="24"/>
          <w:rtl/>
        </w:rPr>
        <w:t xml:space="preserve">הבוררות תתנהל </w:t>
      </w:r>
      <w:r w:rsidR="005827B7" w:rsidRPr="003B5C1E">
        <w:rPr>
          <w:rFonts w:cs="David" w:hint="cs"/>
          <w:sz w:val="24"/>
          <w:szCs w:val="24"/>
          <w:rtl/>
        </w:rPr>
        <w:t xml:space="preserve">בהרכב של </w:t>
      </w:r>
      <w:r w:rsidR="004C6CC9">
        <w:rPr>
          <w:rFonts w:cs="David" w:hint="cs"/>
          <w:sz w:val="24"/>
          <w:szCs w:val="24"/>
          <w:rtl/>
        </w:rPr>
        <w:t xml:space="preserve">דיין אחד או </w:t>
      </w:r>
      <w:r w:rsidR="005827B7" w:rsidRPr="003B5C1E">
        <w:rPr>
          <w:rFonts w:cs="David" w:hint="cs"/>
          <w:sz w:val="24"/>
          <w:szCs w:val="24"/>
          <w:rtl/>
        </w:rPr>
        <w:t>3 דיינים</w:t>
      </w:r>
      <w:r w:rsidR="004C6CC9">
        <w:rPr>
          <w:rFonts w:cs="David" w:hint="cs"/>
          <w:sz w:val="24"/>
          <w:szCs w:val="24"/>
          <w:rtl/>
        </w:rPr>
        <w:t xml:space="preserve"> ו</w:t>
      </w:r>
      <w:r w:rsidR="006D138C" w:rsidRPr="000D4CAC">
        <w:rPr>
          <w:rFonts w:cs="David" w:hint="cs"/>
          <w:sz w:val="24"/>
          <w:szCs w:val="24"/>
          <w:rtl/>
        </w:rPr>
        <w:t xml:space="preserve">האם </w:t>
      </w:r>
      <w:r w:rsidR="00052251">
        <w:rPr>
          <w:rFonts w:cs="David" w:hint="cs"/>
          <w:sz w:val="24"/>
          <w:szCs w:val="24"/>
          <w:rtl/>
        </w:rPr>
        <w:t xml:space="preserve">תהיה או לא תהיה אפשרות </w:t>
      </w:r>
      <w:r w:rsidR="004C6CC9">
        <w:rPr>
          <w:rFonts w:cs="David" w:hint="cs"/>
          <w:sz w:val="24"/>
          <w:szCs w:val="24"/>
          <w:rtl/>
        </w:rPr>
        <w:t xml:space="preserve">לערער לבית הדין הרבני הגדול על </w:t>
      </w:r>
      <w:r w:rsidR="006D138C" w:rsidRPr="000D4CAC">
        <w:rPr>
          <w:rFonts w:cs="David" w:hint="cs"/>
          <w:sz w:val="24"/>
          <w:szCs w:val="24"/>
          <w:rtl/>
        </w:rPr>
        <w:t xml:space="preserve">פסק </w:t>
      </w:r>
      <w:r w:rsidR="00052251">
        <w:rPr>
          <w:rFonts w:cs="David" w:hint="cs"/>
          <w:sz w:val="24"/>
          <w:szCs w:val="24"/>
          <w:rtl/>
        </w:rPr>
        <w:t>ה</w:t>
      </w:r>
      <w:r w:rsidR="006D138C" w:rsidRPr="000D4CAC">
        <w:rPr>
          <w:rFonts w:cs="David" w:hint="cs"/>
          <w:sz w:val="24"/>
          <w:szCs w:val="24"/>
          <w:rtl/>
        </w:rPr>
        <w:t xml:space="preserve">בוררות של בית </w:t>
      </w:r>
      <w:r w:rsidR="00052251">
        <w:rPr>
          <w:rFonts w:cs="David" w:hint="cs"/>
          <w:sz w:val="24"/>
          <w:szCs w:val="24"/>
          <w:rtl/>
        </w:rPr>
        <w:t>ה</w:t>
      </w:r>
      <w:r w:rsidR="006D138C" w:rsidRPr="000D4CAC">
        <w:rPr>
          <w:rFonts w:cs="David" w:hint="cs"/>
          <w:sz w:val="24"/>
          <w:szCs w:val="24"/>
          <w:rtl/>
        </w:rPr>
        <w:t xml:space="preserve">דין </w:t>
      </w:r>
      <w:r w:rsidR="00052251">
        <w:rPr>
          <w:rFonts w:cs="David" w:hint="cs"/>
          <w:sz w:val="24"/>
          <w:szCs w:val="24"/>
          <w:rtl/>
        </w:rPr>
        <w:t>ה</w:t>
      </w:r>
      <w:r w:rsidR="006D138C">
        <w:rPr>
          <w:rFonts w:cs="David" w:hint="cs"/>
          <w:sz w:val="24"/>
          <w:szCs w:val="24"/>
          <w:rtl/>
        </w:rPr>
        <w:t xml:space="preserve">רבני </w:t>
      </w:r>
      <w:r w:rsidR="00052251">
        <w:rPr>
          <w:rFonts w:cs="David" w:hint="cs"/>
          <w:sz w:val="24"/>
          <w:szCs w:val="24"/>
          <w:rtl/>
        </w:rPr>
        <w:t>ה</w:t>
      </w:r>
      <w:r w:rsidR="006D138C">
        <w:rPr>
          <w:rFonts w:cs="David" w:hint="cs"/>
          <w:sz w:val="24"/>
          <w:szCs w:val="24"/>
          <w:rtl/>
        </w:rPr>
        <w:t>אזורי</w:t>
      </w:r>
      <w:r w:rsidR="0086165C">
        <w:rPr>
          <w:rFonts w:cs="David" w:hint="cs"/>
          <w:sz w:val="24"/>
          <w:szCs w:val="24"/>
          <w:rtl/>
        </w:rPr>
        <w:t xml:space="preserve">, </w:t>
      </w:r>
      <w:r w:rsidR="005827B7" w:rsidRPr="002A2A12">
        <w:rPr>
          <w:rFonts w:cs="David" w:hint="cs"/>
          <w:sz w:val="24"/>
          <w:szCs w:val="24"/>
          <w:rtl/>
        </w:rPr>
        <w:t xml:space="preserve">כפי שהם יכולים </w:t>
      </w:r>
      <w:r w:rsidR="0086165C" w:rsidRPr="003025B9">
        <w:rPr>
          <w:rFonts w:cs="David" w:hint="eastAsia"/>
          <w:sz w:val="24"/>
          <w:szCs w:val="24"/>
          <w:rtl/>
        </w:rPr>
        <w:t>לעשות</w:t>
      </w:r>
      <w:r w:rsidR="0086165C" w:rsidRPr="003025B9">
        <w:rPr>
          <w:rFonts w:cs="David"/>
          <w:sz w:val="24"/>
          <w:szCs w:val="24"/>
          <w:rtl/>
        </w:rPr>
        <w:t xml:space="preserve"> בהסכם </w:t>
      </w:r>
      <w:r w:rsidR="005827B7" w:rsidRPr="002A2A12">
        <w:rPr>
          <w:rFonts w:cs="David" w:hint="cs"/>
          <w:sz w:val="24"/>
          <w:szCs w:val="24"/>
          <w:rtl/>
        </w:rPr>
        <w:t>בוררות רגיל</w:t>
      </w:r>
      <w:r w:rsidR="0086165C">
        <w:rPr>
          <w:rFonts w:cs="David" w:hint="cs"/>
          <w:sz w:val="24"/>
          <w:szCs w:val="24"/>
          <w:rtl/>
        </w:rPr>
        <w:t>?</w:t>
      </w:r>
      <w:r w:rsidR="005827B7" w:rsidRPr="003B5C1E">
        <w:rPr>
          <w:rFonts w:cs="David" w:hint="cs"/>
          <w:sz w:val="24"/>
          <w:szCs w:val="24"/>
          <w:rtl/>
        </w:rPr>
        <w:t xml:space="preserve"> או שמשעה </w:t>
      </w:r>
      <w:r>
        <w:rPr>
          <w:rFonts w:cs="David" w:hint="cs"/>
          <w:sz w:val="24"/>
          <w:szCs w:val="24"/>
          <w:rtl/>
        </w:rPr>
        <w:lastRenderedPageBreak/>
        <w:t xml:space="preserve">שהגישו את הסכמתם </w:t>
      </w:r>
      <w:r w:rsidR="005827B7" w:rsidRPr="003B5C1E">
        <w:rPr>
          <w:rFonts w:cs="David" w:hint="cs"/>
          <w:sz w:val="24"/>
          <w:szCs w:val="24"/>
          <w:rtl/>
        </w:rPr>
        <w:t>להתדיין בפני בית הדין הדתי כבורר, זהות הדיין הבורר</w:t>
      </w:r>
      <w:r w:rsidR="006D138C">
        <w:rPr>
          <w:rFonts w:cs="David" w:hint="cs"/>
          <w:sz w:val="24"/>
          <w:szCs w:val="24"/>
          <w:rtl/>
        </w:rPr>
        <w:t>,</w:t>
      </w:r>
      <w:r w:rsidR="005827B7" w:rsidRPr="003B5C1E">
        <w:rPr>
          <w:rFonts w:cs="David" w:hint="cs"/>
          <w:sz w:val="24"/>
          <w:szCs w:val="24"/>
          <w:rtl/>
        </w:rPr>
        <w:t xml:space="preserve"> </w:t>
      </w:r>
      <w:r w:rsidR="0086165C">
        <w:rPr>
          <w:rFonts w:cs="David" w:hint="cs"/>
          <w:sz w:val="24"/>
          <w:szCs w:val="24"/>
          <w:rtl/>
        </w:rPr>
        <w:t xml:space="preserve">מספר </w:t>
      </w:r>
      <w:r w:rsidR="005827B7" w:rsidRPr="003B5C1E">
        <w:rPr>
          <w:rFonts w:cs="David" w:hint="cs"/>
          <w:sz w:val="24"/>
          <w:szCs w:val="24"/>
          <w:rtl/>
        </w:rPr>
        <w:t xml:space="preserve">הדיינים </w:t>
      </w:r>
      <w:r w:rsidR="006D138C">
        <w:rPr>
          <w:rFonts w:cs="David" w:hint="cs"/>
          <w:sz w:val="24"/>
          <w:szCs w:val="24"/>
          <w:rtl/>
        </w:rPr>
        <w:t xml:space="preserve">או האפשרות לערער </w:t>
      </w:r>
      <w:r w:rsidR="005827B7" w:rsidRPr="003B5C1E">
        <w:rPr>
          <w:rFonts w:cs="David" w:hint="cs"/>
          <w:sz w:val="24"/>
          <w:szCs w:val="24"/>
          <w:rtl/>
        </w:rPr>
        <w:t xml:space="preserve">אינה נתונה לשיקול דעתם אלא לכללים </w:t>
      </w:r>
      <w:r>
        <w:rPr>
          <w:rFonts w:cs="David" w:hint="cs"/>
          <w:sz w:val="24"/>
          <w:szCs w:val="24"/>
          <w:rtl/>
        </w:rPr>
        <w:t xml:space="preserve">שחלים </w:t>
      </w:r>
      <w:r w:rsidR="005827B7" w:rsidRPr="003B5C1E">
        <w:rPr>
          <w:rFonts w:cs="David" w:hint="cs"/>
          <w:sz w:val="24"/>
          <w:szCs w:val="24"/>
          <w:rtl/>
        </w:rPr>
        <w:t>בבית הדין?</w:t>
      </w:r>
    </w:p>
    <w:p w:rsidR="008A0325" w:rsidRDefault="006925F0" w:rsidP="0081561F">
      <w:pPr>
        <w:spacing w:after="0" w:line="360" w:lineRule="auto"/>
        <w:jc w:val="both"/>
        <w:rPr>
          <w:rFonts w:cs="David"/>
          <w:sz w:val="24"/>
          <w:szCs w:val="24"/>
          <w:rtl/>
        </w:rPr>
      </w:pPr>
      <w:r w:rsidRPr="003B5C1E">
        <w:rPr>
          <w:rFonts w:cs="David" w:hint="cs"/>
          <w:sz w:val="24"/>
          <w:szCs w:val="24"/>
          <w:rtl/>
        </w:rPr>
        <w:t xml:space="preserve">ככל שהכוונה היא </w:t>
      </w:r>
      <w:r w:rsidRPr="003B5C1E">
        <w:rPr>
          <w:rFonts w:cs="David"/>
          <w:sz w:val="24"/>
          <w:szCs w:val="24"/>
          <w:rtl/>
        </w:rPr>
        <w:t>–</w:t>
      </w:r>
      <w:r w:rsidRPr="003B5C1E">
        <w:rPr>
          <w:rFonts w:cs="David" w:hint="cs"/>
          <w:sz w:val="24"/>
          <w:szCs w:val="24"/>
          <w:rtl/>
        </w:rPr>
        <w:t xml:space="preserve"> כפי שלכאורה משתמע מלשון סעיפים 2(1) ו-3(א) להצעת החוק </w:t>
      </w:r>
      <w:r w:rsidRPr="003B5C1E">
        <w:rPr>
          <w:rFonts w:cs="David"/>
          <w:sz w:val="24"/>
          <w:szCs w:val="24"/>
          <w:rtl/>
        </w:rPr>
        <w:t>–</w:t>
      </w:r>
      <w:r w:rsidRPr="003B5C1E">
        <w:rPr>
          <w:rFonts w:cs="David" w:hint="cs"/>
          <w:sz w:val="24"/>
          <w:szCs w:val="24"/>
          <w:rtl/>
        </w:rPr>
        <w:t xml:space="preserve"> שהסכמתם בכתב של הצדדים </w:t>
      </w:r>
      <w:r w:rsidRPr="00655573">
        <w:rPr>
          <w:rFonts w:cs="David" w:hint="cs"/>
          <w:sz w:val="24"/>
          <w:szCs w:val="24"/>
          <w:rtl/>
        </w:rPr>
        <w:t>מתמצית ב</w:t>
      </w:r>
      <w:r w:rsidR="0047484D" w:rsidRPr="00655573">
        <w:rPr>
          <w:rFonts w:cs="David" w:hint="cs"/>
          <w:sz w:val="24"/>
          <w:szCs w:val="24"/>
          <w:rtl/>
        </w:rPr>
        <w:t xml:space="preserve">עצם </w:t>
      </w:r>
      <w:r w:rsidRPr="00655573">
        <w:rPr>
          <w:rFonts w:cs="David" w:hint="cs"/>
          <w:sz w:val="24"/>
          <w:szCs w:val="24"/>
          <w:rtl/>
        </w:rPr>
        <w:t>ה</w:t>
      </w:r>
      <w:r w:rsidR="00B66FE6">
        <w:rPr>
          <w:rFonts w:cs="David" w:hint="cs"/>
          <w:sz w:val="24"/>
          <w:szCs w:val="24"/>
          <w:rtl/>
        </w:rPr>
        <w:t>ה</w:t>
      </w:r>
      <w:r w:rsidRPr="00655573">
        <w:rPr>
          <w:rFonts w:cs="David" w:hint="cs"/>
          <w:sz w:val="24"/>
          <w:szCs w:val="24"/>
          <w:rtl/>
        </w:rPr>
        <w:t>סכמה להתדיין בפני בית</w:t>
      </w:r>
      <w:r w:rsidRPr="0081561F">
        <w:rPr>
          <w:rFonts w:cs="David" w:hint="cs"/>
          <w:sz w:val="24"/>
          <w:szCs w:val="24"/>
          <w:rtl/>
        </w:rPr>
        <w:t xml:space="preserve"> הדין </w:t>
      </w:r>
      <w:r w:rsidR="0086165C" w:rsidRPr="0081561F">
        <w:rPr>
          <w:rFonts w:cs="David" w:hint="cs"/>
          <w:sz w:val="24"/>
          <w:szCs w:val="24"/>
          <w:rtl/>
        </w:rPr>
        <w:t xml:space="preserve">הדתי </w:t>
      </w:r>
      <w:r w:rsidR="00021C4E" w:rsidRPr="0081561F">
        <w:rPr>
          <w:rFonts w:cs="David" w:hint="cs"/>
          <w:sz w:val="24"/>
          <w:szCs w:val="24"/>
          <w:rtl/>
        </w:rPr>
        <w:t>כבורר</w:t>
      </w:r>
      <w:r w:rsidR="00FF5B8E" w:rsidRPr="0081561F">
        <w:rPr>
          <w:rFonts w:cs="David" w:hint="cs"/>
          <w:sz w:val="24"/>
          <w:szCs w:val="24"/>
          <w:rtl/>
        </w:rPr>
        <w:t>,</w:t>
      </w:r>
      <w:r w:rsidR="00B22239" w:rsidRPr="0081561F">
        <w:rPr>
          <w:rFonts w:cs="David" w:hint="cs"/>
          <w:sz w:val="24"/>
          <w:szCs w:val="24"/>
          <w:rtl/>
        </w:rPr>
        <w:t xml:space="preserve"> </w:t>
      </w:r>
      <w:r w:rsidR="00B20230" w:rsidRPr="0081561F">
        <w:rPr>
          <w:rFonts w:cs="David" w:hint="cs"/>
          <w:sz w:val="24"/>
          <w:szCs w:val="24"/>
          <w:u w:val="single"/>
          <w:rtl/>
        </w:rPr>
        <w:t xml:space="preserve">ספק אם יש לראות בהסדר המוצע </w:t>
      </w:r>
      <w:r w:rsidR="00DE0FE3" w:rsidRPr="0081561F">
        <w:rPr>
          <w:rFonts w:cs="David" w:hint="cs"/>
          <w:sz w:val="24"/>
          <w:szCs w:val="24"/>
          <w:u w:val="single"/>
          <w:rtl/>
        </w:rPr>
        <w:t xml:space="preserve">הליך בוררות </w:t>
      </w:r>
      <w:r w:rsidR="006B324A" w:rsidRPr="0081561F">
        <w:rPr>
          <w:rFonts w:cs="David" w:hint="cs"/>
          <w:sz w:val="24"/>
          <w:szCs w:val="24"/>
          <w:u w:val="single"/>
          <w:rtl/>
        </w:rPr>
        <w:t xml:space="preserve">אמיתי </w:t>
      </w:r>
      <w:r w:rsidR="00B20230" w:rsidRPr="0081561F">
        <w:rPr>
          <w:rFonts w:cs="David" w:hint="cs"/>
          <w:sz w:val="24"/>
          <w:szCs w:val="24"/>
          <w:u w:val="single"/>
          <w:rtl/>
        </w:rPr>
        <w:t>ו</w:t>
      </w:r>
      <w:r w:rsidR="00DE0FE3" w:rsidRPr="0081561F">
        <w:rPr>
          <w:rFonts w:cs="David" w:hint="cs"/>
          <w:sz w:val="24"/>
          <w:szCs w:val="24"/>
          <w:u w:val="single"/>
          <w:rtl/>
        </w:rPr>
        <w:t>מלא</w:t>
      </w:r>
      <w:r w:rsidR="0081561F" w:rsidRPr="0081561F">
        <w:rPr>
          <w:rFonts w:cs="David" w:hint="cs"/>
          <w:sz w:val="24"/>
          <w:szCs w:val="24"/>
          <w:rtl/>
        </w:rPr>
        <w:t>,</w:t>
      </w:r>
      <w:r w:rsidR="00B20230" w:rsidRPr="0081561F">
        <w:rPr>
          <w:rFonts w:cs="David" w:hint="cs"/>
          <w:sz w:val="24"/>
          <w:szCs w:val="24"/>
          <w:rtl/>
        </w:rPr>
        <w:t xml:space="preserve"> </w:t>
      </w:r>
      <w:r w:rsidR="0081561F" w:rsidRPr="0081561F">
        <w:rPr>
          <w:rFonts w:cs="David" w:hint="cs"/>
          <w:sz w:val="24"/>
          <w:szCs w:val="24"/>
          <w:rtl/>
        </w:rPr>
        <w:t>ו</w:t>
      </w:r>
      <w:r w:rsidR="00097ACF" w:rsidRPr="0081561F">
        <w:rPr>
          <w:rFonts w:cs="David" w:hint="cs"/>
          <w:sz w:val="24"/>
          <w:szCs w:val="24"/>
          <w:rtl/>
        </w:rPr>
        <w:t>מכל מקום</w:t>
      </w:r>
      <w:r w:rsidR="0081561F" w:rsidRPr="0081561F">
        <w:rPr>
          <w:rFonts w:cs="David" w:hint="cs"/>
          <w:sz w:val="24"/>
          <w:szCs w:val="24"/>
          <w:rtl/>
        </w:rPr>
        <w:t xml:space="preserve"> </w:t>
      </w:r>
      <w:r w:rsidR="00DE0FE3" w:rsidRPr="00231FA1">
        <w:rPr>
          <w:rFonts w:cs="David" w:hint="cs"/>
          <w:sz w:val="24"/>
          <w:szCs w:val="24"/>
          <w:u w:val="single"/>
          <w:rtl/>
        </w:rPr>
        <w:t>המחוקק</w:t>
      </w:r>
      <w:r w:rsidR="00DE0FE3" w:rsidRPr="008E460F">
        <w:rPr>
          <w:rFonts w:cs="David" w:hint="cs"/>
          <w:sz w:val="24"/>
          <w:szCs w:val="24"/>
          <w:u w:val="single"/>
          <w:rtl/>
        </w:rPr>
        <w:t xml:space="preserve"> נדרש לעצב את ההסדר באופן שיבטיח, עד כמה שניתן, כי הצדדים מבינים את המשמעות של הסכמתם להתדיין בבוררות בפני בית הדין </w:t>
      </w:r>
      <w:r w:rsidR="00DE0FE3">
        <w:rPr>
          <w:rFonts w:cs="David" w:hint="cs"/>
          <w:sz w:val="24"/>
          <w:szCs w:val="24"/>
          <w:u w:val="single"/>
          <w:rtl/>
        </w:rPr>
        <w:t>הדתי</w:t>
      </w:r>
      <w:r w:rsidR="00DE0FE3">
        <w:rPr>
          <w:rFonts w:cs="David" w:hint="cs"/>
          <w:sz w:val="24"/>
          <w:szCs w:val="24"/>
          <w:rtl/>
        </w:rPr>
        <w:t xml:space="preserve">. </w:t>
      </w:r>
      <w:r w:rsidR="0047484D">
        <w:rPr>
          <w:rFonts w:cs="David" w:hint="cs"/>
          <w:sz w:val="24"/>
          <w:szCs w:val="24"/>
          <w:rtl/>
        </w:rPr>
        <w:t xml:space="preserve">כדי להשיג מטרה זו, ניתן להציע את ההסדרים המצטברים הבאים: </w:t>
      </w:r>
    </w:p>
    <w:p w:rsidR="008A0325" w:rsidRDefault="008A0325" w:rsidP="008A0325">
      <w:pPr>
        <w:pStyle w:val="a6"/>
        <w:numPr>
          <w:ilvl w:val="0"/>
          <w:numId w:val="19"/>
        </w:numPr>
        <w:spacing w:after="120" w:line="360" w:lineRule="auto"/>
        <w:jc w:val="both"/>
        <w:rPr>
          <w:rFonts w:cs="David"/>
          <w:sz w:val="24"/>
          <w:szCs w:val="24"/>
        </w:rPr>
      </w:pPr>
      <w:r w:rsidRPr="006946E4">
        <w:rPr>
          <w:rFonts w:cs="David" w:hint="eastAsia"/>
          <w:b/>
          <w:bCs/>
          <w:sz w:val="24"/>
          <w:szCs w:val="24"/>
          <w:rtl/>
        </w:rPr>
        <w:t>עיצוב</w:t>
      </w:r>
      <w:r w:rsidRPr="006946E4">
        <w:rPr>
          <w:rFonts w:cs="David"/>
          <w:b/>
          <w:bCs/>
          <w:sz w:val="24"/>
          <w:szCs w:val="24"/>
          <w:rtl/>
        </w:rPr>
        <w:t xml:space="preserve"> </w:t>
      </w:r>
      <w:r w:rsidR="0047484D" w:rsidRPr="006946E4">
        <w:rPr>
          <w:rFonts w:cs="David" w:hint="eastAsia"/>
          <w:b/>
          <w:bCs/>
          <w:sz w:val="24"/>
          <w:szCs w:val="24"/>
          <w:rtl/>
        </w:rPr>
        <w:t>טופס</w:t>
      </w:r>
      <w:r w:rsidR="0047484D" w:rsidRPr="006946E4">
        <w:rPr>
          <w:rFonts w:cs="David"/>
          <w:b/>
          <w:bCs/>
          <w:sz w:val="24"/>
          <w:szCs w:val="24"/>
          <w:rtl/>
        </w:rPr>
        <w:t xml:space="preserve"> </w:t>
      </w:r>
      <w:r w:rsidR="0047484D" w:rsidRPr="006946E4">
        <w:rPr>
          <w:rFonts w:cs="David" w:hint="eastAsia"/>
          <w:b/>
          <w:bCs/>
          <w:sz w:val="24"/>
          <w:szCs w:val="24"/>
          <w:rtl/>
        </w:rPr>
        <w:t>הסכמה</w:t>
      </w:r>
      <w:r w:rsidR="0047484D" w:rsidRPr="008A0325">
        <w:rPr>
          <w:rFonts w:cs="David" w:hint="cs"/>
          <w:sz w:val="24"/>
          <w:szCs w:val="24"/>
          <w:rtl/>
        </w:rPr>
        <w:t xml:space="preserve"> מובנה שעליו יחתמו הצדדים, שיכלול </w:t>
      </w:r>
      <w:r w:rsidRPr="003B5C1E">
        <w:rPr>
          <w:rFonts w:cs="David" w:hint="cs"/>
          <w:sz w:val="24"/>
          <w:szCs w:val="24"/>
          <w:rtl/>
        </w:rPr>
        <w:t xml:space="preserve">הסברים מפורטים </w:t>
      </w:r>
      <w:r>
        <w:rPr>
          <w:rFonts w:cs="David" w:hint="cs"/>
          <w:sz w:val="24"/>
          <w:szCs w:val="24"/>
          <w:rtl/>
        </w:rPr>
        <w:t>על משמעות החתימה על הטופס. הטופס יצורף כתוספת להצעת החוק</w:t>
      </w:r>
      <w:r w:rsidR="001F5FB3">
        <w:rPr>
          <w:rFonts w:cs="David" w:hint="cs"/>
          <w:sz w:val="24"/>
          <w:szCs w:val="24"/>
          <w:rtl/>
        </w:rPr>
        <w:t xml:space="preserve"> או </w:t>
      </w:r>
      <w:r w:rsidR="00B4638B">
        <w:rPr>
          <w:rFonts w:cs="David" w:hint="cs"/>
          <w:sz w:val="24"/>
          <w:szCs w:val="24"/>
          <w:rtl/>
        </w:rPr>
        <w:t xml:space="preserve">ייקבע </w:t>
      </w:r>
      <w:r w:rsidR="001F5FB3">
        <w:rPr>
          <w:rFonts w:cs="David" w:hint="cs"/>
          <w:sz w:val="24"/>
          <w:szCs w:val="24"/>
          <w:rtl/>
        </w:rPr>
        <w:t>במסגרת תקנות של שר המשפטים שיאושרו על ידי ועדת החוקה של הכנסת</w:t>
      </w:r>
      <w:r>
        <w:rPr>
          <w:rFonts w:cs="David" w:hint="cs"/>
          <w:sz w:val="24"/>
          <w:szCs w:val="24"/>
          <w:rtl/>
        </w:rPr>
        <w:t>.</w:t>
      </w:r>
    </w:p>
    <w:p w:rsidR="0047484D" w:rsidRPr="008A0325" w:rsidRDefault="00591F67" w:rsidP="00231FA1">
      <w:pPr>
        <w:pStyle w:val="a6"/>
        <w:numPr>
          <w:ilvl w:val="0"/>
          <w:numId w:val="19"/>
        </w:numPr>
        <w:spacing w:after="120" w:line="360" w:lineRule="auto"/>
        <w:jc w:val="both"/>
        <w:rPr>
          <w:rFonts w:cs="David"/>
          <w:sz w:val="24"/>
          <w:szCs w:val="24"/>
          <w:rtl/>
        </w:rPr>
      </w:pPr>
      <w:r w:rsidRPr="006946E4">
        <w:rPr>
          <w:rFonts w:cs="David" w:hint="eastAsia"/>
          <w:b/>
          <w:bCs/>
          <w:sz w:val="24"/>
          <w:szCs w:val="24"/>
          <w:rtl/>
        </w:rPr>
        <w:t>הבהרה</w:t>
      </w:r>
      <w:r w:rsidRPr="006946E4">
        <w:rPr>
          <w:rFonts w:cs="David"/>
          <w:b/>
          <w:bCs/>
          <w:sz w:val="24"/>
          <w:szCs w:val="24"/>
          <w:rtl/>
        </w:rPr>
        <w:t xml:space="preserve"> </w:t>
      </w:r>
      <w:r w:rsidRPr="006946E4">
        <w:rPr>
          <w:rFonts w:cs="David" w:hint="eastAsia"/>
          <w:b/>
          <w:bCs/>
          <w:sz w:val="24"/>
          <w:szCs w:val="24"/>
          <w:rtl/>
        </w:rPr>
        <w:t>בעל</w:t>
      </w:r>
      <w:r w:rsidRPr="006946E4">
        <w:rPr>
          <w:rFonts w:cs="David"/>
          <w:b/>
          <w:bCs/>
          <w:sz w:val="24"/>
          <w:szCs w:val="24"/>
          <w:rtl/>
        </w:rPr>
        <w:t>-פה</w:t>
      </w:r>
      <w:r>
        <w:rPr>
          <w:rFonts w:cs="David" w:hint="cs"/>
          <w:sz w:val="24"/>
          <w:szCs w:val="24"/>
          <w:rtl/>
        </w:rPr>
        <w:t xml:space="preserve"> </w:t>
      </w:r>
      <w:r>
        <w:rPr>
          <w:rFonts w:cs="David"/>
          <w:sz w:val="24"/>
          <w:szCs w:val="24"/>
          <w:rtl/>
        </w:rPr>
        <w:t>–</w:t>
      </w:r>
      <w:r>
        <w:rPr>
          <w:rFonts w:cs="David" w:hint="cs"/>
          <w:sz w:val="24"/>
          <w:szCs w:val="24"/>
          <w:rtl/>
        </w:rPr>
        <w:t xml:space="preserve"> </w:t>
      </w:r>
      <w:r w:rsidR="008A0325">
        <w:rPr>
          <w:rFonts w:cs="David" w:hint="cs"/>
          <w:sz w:val="24"/>
          <w:szCs w:val="24"/>
          <w:rtl/>
        </w:rPr>
        <w:t xml:space="preserve">בית הדין </w:t>
      </w:r>
      <w:r w:rsidR="0086165C">
        <w:rPr>
          <w:rFonts w:cs="David" w:hint="cs"/>
          <w:sz w:val="24"/>
          <w:szCs w:val="24"/>
          <w:rtl/>
        </w:rPr>
        <w:t xml:space="preserve">הדתי </w:t>
      </w:r>
      <w:r>
        <w:rPr>
          <w:rFonts w:cs="David" w:hint="cs"/>
          <w:sz w:val="24"/>
          <w:szCs w:val="24"/>
          <w:rtl/>
        </w:rPr>
        <w:t>יידרש ל</w:t>
      </w:r>
      <w:r w:rsidR="008A0325">
        <w:rPr>
          <w:rFonts w:cs="David" w:hint="cs"/>
          <w:sz w:val="24"/>
          <w:szCs w:val="24"/>
          <w:rtl/>
        </w:rPr>
        <w:t xml:space="preserve">וודא, בעל פה, בטרם פתיחת ההליך, כי הצדדים אכן הבינו בצורה מלאה את מלוא המשמעות של הסכמתם להתדיין בפניו. </w:t>
      </w:r>
    </w:p>
    <w:p w:rsidR="00F15D96" w:rsidRPr="003025B9" w:rsidRDefault="00B4638B" w:rsidP="005C6C00">
      <w:pPr>
        <w:pStyle w:val="a6"/>
        <w:numPr>
          <w:ilvl w:val="0"/>
          <w:numId w:val="19"/>
        </w:numPr>
        <w:spacing w:after="120" w:line="360" w:lineRule="auto"/>
        <w:jc w:val="both"/>
        <w:rPr>
          <w:rFonts w:cs="David"/>
          <w:sz w:val="24"/>
          <w:szCs w:val="24"/>
          <w:rtl/>
        </w:rPr>
      </w:pPr>
      <w:r w:rsidRPr="003025B9">
        <w:rPr>
          <w:rFonts w:cs="David" w:hint="eastAsia"/>
          <w:b/>
          <w:bCs/>
          <w:sz w:val="24"/>
          <w:szCs w:val="24"/>
          <w:rtl/>
        </w:rPr>
        <w:t>עיצוב</w:t>
      </w:r>
      <w:r w:rsidRPr="003025B9">
        <w:rPr>
          <w:rFonts w:cs="David"/>
          <w:b/>
          <w:bCs/>
          <w:sz w:val="24"/>
          <w:szCs w:val="24"/>
          <w:rtl/>
        </w:rPr>
        <w:t xml:space="preserve"> מסמך שמפרט את </w:t>
      </w:r>
      <w:r w:rsidR="005C6C00" w:rsidRPr="006D1FA2">
        <w:rPr>
          <w:rFonts w:cs="David" w:hint="cs"/>
          <w:b/>
          <w:bCs/>
          <w:sz w:val="24"/>
          <w:szCs w:val="24"/>
          <w:rtl/>
        </w:rPr>
        <w:t>סדרי הדיון</w:t>
      </w:r>
      <w:r w:rsidR="005C6C00" w:rsidRPr="006D1FA2">
        <w:rPr>
          <w:rFonts w:cs="David" w:hint="cs"/>
          <w:sz w:val="24"/>
          <w:szCs w:val="24"/>
          <w:rtl/>
        </w:rPr>
        <w:t xml:space="preserve"> וההוראות החלות במסגרת הליך בוררות בפני בית הדין הדתי</w:t>
      </w:r>
      <w:r w:rsidR="001F5FB3" w:rsidRPr="003025B9">
        <w:rPr>
          <w:rFonts w:cs="David"/>
          <w:sz w:val="24"/>
          <w:szCs w:val="24"/>
          <w:rtl/>
        </w:rPr>
        <w:t xml:space="preserve">, </w:t>
      </w:r>
      <w:r w:rsidR="0081677E" w:rsidRPr="003025B9">
        <w:rPr>
          <w:rFonts w:cs="David" w:hint="eastAsia"/>
          <w:sz w:val="24"/>
          <w:szCs w:val="24"/>
          <w:rtl/>
        </w:rPr>
        <w:t>בדומה</w:t>
      </w:r>
      <w:r w:rsidR="0081677E" w:rsidRPr="003025B9">
        <w:rPr>
          <w:rFonts w:cs="David"/>
          <w:sz w:val="24"/>
          <w:szCs w:val="24"/>
          <w:rtl/>
        </w:rPr>
        <w:t xml:space="preserve"> להוראות </w:t>
      </w:r>
      <w:r w:rsidR="00C6433C" w:rsidRPr="003025B9">
        <w:rPr>
          <w:rFonts w:cs="David" w:hint="eastAsia"/>
          <w:sz w:val="24"/>
          <w:szCs w:val="24"/>
          <w:rtl/>
        </w:rPr>
        <w:t>שחלות</w:t>
      </w:r>
      <w:r w:rsidR="00C6433C" w:rsidRPr="003025B9">
        <w:rPr>
          <w:rFonts w:cs="David"/>
          <w:sz w:val="24"/>
          <w:szCs w:val="24"/>
          <w:rtl/>
        </w:rPr>
        <w:t xml:space="preserve"> </w:t>
      </w:r>
      <w:r w:rsidR="0081677E" w:rsidRPr="003025B9">
        <w:rPr>
          <w:rFonts w:cs="David" w:hint="eastAsia"/>
          <w:sz w:val="24"/>
          <w:szCs w:val="24"/>
          <w:rtl/>
        </w:rPr>
        <w:t>בבוררות</w:t>
      </w:r>
      <w:r w:rsidR="0081677E" w:rsidRPr="003025B9">
        <w:rPr>
          <w:rFonts w:cs="David"/>
          <w:sz w:val="24"/>
          <w:szCs w:val="24"/>
          <w:rtl/>
        </w:rPr>
        <w:t xml:space="preserve"> רגילה לפי התוספת הראשונה </w:t>
      </w:r>
      <w:r w:rsidR="008279CC" w:rsidRPr="003025B9">
        <w:rPr>
          <w:rFonts w:cs="David" w:hint="eastAsia"/>
          <w:sz w:val="24"/>
          <w:szCs w:val="24"/>
          <w:rtl/>
        </w:rPr>
        <w:t>והשניה</w:t>
      </w:r>
      <w:r w:rsidR="008279CC" w:rsidRPr="003025B9">
        <w:rPr>
          <w:rFonts w:cs="David"/>
          <w:sz w:val="24"/>
          <w:szCs w:val="24"/>
          <w:rtl/>
        </w:rPr>
        <w:t xml:space="preserve"> </w:t>
      </w:r>
      <w:r w:rsidR="0081677E" w:rsidRPr="003025B9">
        <w:rPr>
          <w:rFonts w:cs="David" w:hint="eastAsia"/>
          <w:sz w:val="24"/>
          <w:szCs w:val="24"/>
          <w:rtl/>
        </w:rPr>
        <w:t>לחוק</w:t>
      </w:r>
      <w:r w:rsidR="0081677E" w:rsidRPr="003025B9">
        <w:rPr>
          <w:rFonts w:cs="David"/>
          <w:sz w:val="24"/>
          <w:szCs w:val="24"/>
          <w:rtl/>
        </w:rPr>
        <w:t xml:space="preserve"> </w:t>
      </w:r>
      <w:r w:rsidR="0081677E" w:rsidRPr="003025B9">
        <w:rPr>
          <w:rFonts w:cs="David" w:hint="eastAsia"/>
          <w:sz w:val="24"/>
          <w:szCs w:val="24"/>
          <w:rtl/>
        </w:rPr>
        <w:t>הבוררות</w:t>
      </w:r>
      <w:r w:rsidR="0081677E" w:rsidRPr="003025B9">
        <w:rPr>
          <w:rFonts w:cs="David"/>
          <w:sz w:val="24"/>
          <w:szCs w:val="24"/>
          <w:rtl/>
        </w:rPr>
        <w:t xml:space="preserve">, </w:t>
      </w:r>
      <w:r w:rsidR="0081677E" w:rsidRPr="003025B9">
        <w:rPr>
          <w:rFonts w:cs="David" w:hint="eastAsia"/>
          <w:sz w:val="24"/>
          <w:szCs w:val="24"/>
          <w:rtl/>
        </w:rPr>
        <w:t>מקום</w:t>
      </w:r>
      <w:r w:rsidR="0081677E" w:rsidRPr="003025B9">
        <w:rPr>
          <w:rFonts w:cs="David"/>
          <w:sz w:val="24"/>
          <w:szCs w:val="24"/>
          <w:rtl/>
        </w:rPr>
        <w:t xml:space="preserve"> </w:t>
      </w:r>
      <w:r w:rsidR="0081677E" w:rsidRPr="003025B9">
        <w:rPr>
          <w:rFonts w:cs="David" w:hint="eastAsia"/>
          <w:sz w:val="24"/>
          <w:szCs w:val="24"/>
          <w:rtl/>
        </w:rPr>
        <w:t>שהצדדים</w:t>
      </w:r>
      <w:r w:rsidR="0081677E" w:rsidRPr="003025B9">
        <w:rPr>
          <w:rFonts w:cs="David"/>
          <w:sz w:val="24"/>
          <w:szCs w:val="24"/>
          <w:rtl/>
        </w:rPr>
        <w:t xml:space="preserve"> </w:t>
      </w:r>
      <w:r w:rsidR="0081677E" w:rsidRPr="003025B9">
        <w:rPr>
          <w:rFonts w:cs="David" w:hint="eastAsia"/>
          <w:sz w:val="24"/>
          <w:szCs w:val="24"/>
          <w:rtl/>
        </w:rPr>
        <w:t>לא</w:t>
      </w:r>
      <w:r w:rsidR="0081677E" w:rsidRPr="003025B9">
        <w:rPr>
          <w:rFonts w:cs="David"/>
          <w:sz w:val="24"/>
          <w:szCs w:val="24"/>
          <w:rtl/>
        </w:rPr>
        <w:t xml:space="preserve"> </w:t>
      </w:r>
      <w:r w:rsidR="0081677E" w:rsidRPr="003025B9">
        <w:rPr>
          <w:rFonts w:cs="David" w:hint="eastAsia"/>
          <w:sz w:val="24"/>
          <w:szCs w:val="24"/>
          <w:rtl/>
        </w:rPr>
        <w:t>הסכימו</w:t>
      </w:r>
      <w:r w:rsidR="0081677E" w:rsidRPr="003025B9">
        <w:rPr>
          <w:rFonts w:cs="David"/>
          <w:sz w:val="24"/>
          <w:szCs w:val="24"/>
          <w:rtl/>
        </w:rPr>
        <w:t xml:space="preserve"> </w:t>
      </w:r>
      <w:r w:rsidR="0081677E" w:rsidRPr="003025B9">
        <w:rPr>
          <w:rFonts w:cs="David" w:hint="eastAsia"/>
          <w:sz w:val="24"/>
          <w:szCs w:val="24"/>
          <w:rtl/>
        </w:rPr>
        <w:t>אחרת</w:t>
      </w:r>
      <w:r w:rsidR="005C6C00" w:rsidRPr="006D1FA2">
        <w:rPr>
          <w:rFonts w:cs="David" w:hint="cs"/>
          <w:sz w:val="24"/>
          <w:szCs w:val="24"/>
          <w:rtl/>
        </w:rPr>
        <w:t>. המסמך יצורף כתוספת להצעת החוק או ייקבע במסגרת תקנות של שר המשפטים שיאושרו על ידי ועדת החוקה של הכנסת</w:t>
      </w:r>
      <w:r w:rsidR="00021C4E" w:rsidRPr="003025B9">
        <w:rPr>
          <w:rFonts w:cs="David"/>
          <w:sz w:val="24"/>
          <w:szCs w:val="24"/>
          <w:rtl/>
        </w:rPr>
        <w:t>.</w:t>
      </w:r>
    </w:p>
    <w:p w:rsidR="00374283" w:rsidRDefault="00374283" w:rsidP="00374283">
      <w:pPr>
        <w:spacing w:after="0" w:line="360" w:lineRule="auto"/>
        <w:jc w:val="both"/>
        <w:rPr>
          <w:rFonts w:cs="David"/>
          <w:b/>
          <w:bCs/>
          <w:sz w:val="24"/>
          <w:szCs w:val="24"/>
          <w:rtl/>
        </w:rPr>
      </w:pPr>
    </w:p>
    <w:p w:rsidR="00374283" w:rsidRDefault="005971B7" w:rsidP="00AE3C5D">
      <w:pPr>
        <w:spacing w:after="120" w:line="240" w:lineRule="auto"/>
        <w:jc w:val="both"/>
        <w:rPr>
          <w:rFonts w:cs="David"/>
          <w:sz w:val="24"/>
          <w:szCs w:val="24"/>
          <w:rtl/>
        </w:rPr>
      </w:pPr>
      <w:r w:rsidRPr="003B5C1E">
        <w:rPr>
          <w:rFonts w:cs="David" w:hint="cs"/>
          <w:b/>
          <w:bCs/>
          <w:sz w:val="24"/>
          <w:szCs w:val="24"/>
          <w:rtl/>
        </w:rPr>
        <w:t>(</w:t>
      </w:r>
      <w:r w:rsidR="00AE3C5D">
        <w:rPr>
          <w:rFonts w:cs="David" w:hint="cs"/>
          <w:b/>
          <w:bCs/>
          <w:sz w:val="24"/>
          <w:szCs w:val="24"/>
          <w:rtl/>
        </w:rPr>
        <w:t>2</w:t>
      </w:r>
      <w:r w:rsidRPr="003B5C1E">
        <w:rPr>
          <w:rFonts w:cs="David" w:hint="cs"/>
          <w:b/>
          <w:bCs/>
          <w:sz w:val="24"/>
          <w:szCs w:val="24"/>
          <w:rtl/>
        </w:rPr>
        <w:t>) תשלום/אגרה לבית הדין</w:t>
      </w:r>
      <w:r w:rsidRPr="003B5C1E">
        <w:rPr>
          <w:rFonts w:cs="David" w:hint="cs"/>
          <w:sz w:val="24"/>
          <w:szCs w:val="24"/>
          <w:rtl/>
        </w:rPr>
        <w:t xml:space="preserve"> (סעיף קטן (א)) </w:t>
      </w:r>
    </w:p>
    <w:p w:rsidR="00F642E0" w:rsidRDefault="005971B7" w:rsidP="00084612">
      <w:pPr>
        <w:spacing w:after="120" w:line="360" w:lineRule="auto"/>
        <w:jc w:val="both"/>
        <w:rPr>
          <w:rFonts w:cs="David"/>
          <w:sz w:val="24"/>
          <w:szCs w:val="24"/>
          <w:rtl/>
        </w:rPr>
      </w:pPr>
      <w:r w:rsidRPr="003B5C1E">
        <w:rPr>
          <w:rFonts w:cs="David" w:hint="cs"/>
          <w:sz w:val="24"/>
          <w:szCs w:val="24"/>
          <w:rtl/>
        </w:rPr>
        <w:t xml:space="preserve">אין כל ספק שדיינים </w:t>
      </w:r>
      <w:r w:rsidR="00FC0318">
        <w:rPr>
          <w:rFonts w:cs="David" w:hint="cs"/>
          <w:sz w:val="24"/>
          <w:szCs w:val="24"/>
          <w:rtl/>
        </w:rPr>
        <w:t xml:space="preserve">שמכהנים בבתי הדין הרבניים </w:t>
      </w:r>
      <w:r w:rsidR="00537570">
        <w:rPr>
          <w:rFonts w:cs="David" w:hint="cs"/>
          <w:sz w:val="24"/>
          <w:szCs w:val="24"/>
          <w:rtl/>
        </w:rPr>
        <w:t xml:space="preserve">(או </w:t>
      </w:r>
      <w:r w:rsidR="00084612">
        <w:rPr>
          <w:rFonts w:cs="David" w:hint="cs"/>
          <w:sz w:val="24"/>
          <w:szCs w:val="24"/>
          <w:rtl/>
        </w:rPr>
        <w:t>הדיינים</w:t>
      </w:r>
      <w:r w:rsidR="00537570">
        <w:rPr>
          <w:rFonts w:cs="David" w:hint="cs"/>
          <w:sz w:val="24"/>
          <w:szCs w:val="24"/>
          <w:rtl/>
        </w:rPr>
        <w:t xml:space="preserve"> בבתי הדין הדתיים האחרים) </w:t>
      </w:r>
      <w:r w:rsidR="00AE0186">
        <w:rPr>
          <w:rFonts w:cs="David" w:hint="cs"/>
          <w:sz w:val="24"/>
          <w:szCs w:val="24"/>
          <w:rtl/>
        </w:rPr>
        <w:t xml:space="preserve">אינם יכולים לקבל </w:t>
      </w:r>
      <w:r w:rsidRPr="003B5C1E">
        <w:rPr>
          <w:rFonts w:cs="David" w:hint="cs"/>
          <w:sz w:val="24"/>
          <w:szCs w:val="24"/>
          <w:rtl/>
        </w:rPr>
        <w:t xml:space="preserve">שכר </w:t>
      </w:r>
      <w:r w:rsidR="00FC0318">
        <w:rPr>
          <w:rFonts w:cs="David" w:hint="cs"/>
          <w:sz w:val="24"/>
          <w:szCs w:val="24"/>
          <w:rtl/>
        </w:rPr>
        <w:t xml:space="preserve">כלשהו </w:t>
      </w:r>
      <w:r w:rsidRPr="003B5C1E">
        <w:rPr>
          <w:rFonts w:cs="David" w:hint="cs"/>
          <w:sz w:val="24"/>
          <w:szCs w:val="24"/>
          <w:rtl/>
        </w:rPr>
        <w:t xml:space="preserve">בגין בוררות שתידון לפניהם, </w:t>
      </w:r>
      <w:r w:rsidR="00312CBB">
        <w:rPr>
          <w:rFonts w:cs="David" w:hint="cs"/>
          <w:sz w:val="24"/>
          <w:szCs w:val="24"/>
          <w:rtl/>
        </w:rPr>
        <w:t>ו</w:t>
      </w:r>
      <w:r w:rsidRPr="003B5C1E">
        <w:rPr>
          <w:rFonts w:cs="David" w:hint="cs"/>
          <w:sz w:val="24"/>
          <w:szCs w:val="24"/>
          <w:rtl/>
        </w:rPr>
        <w:t xml:space="preserve">התשלום צריך להיות משולם כאגרה למערכת בתי הדין הרלוונטית. </w:t>
      </w:r>
      <w:r w:rsidR="00FC0318">
        <w:rPr>
          <w:rFonts w:cs="David" w:hint="cs"/>
          <w:sz w:val="24"/>
          <w:szCs w:val="24"/>
          <w:rtl/>
        </w:rPr>
        <w:t xml:space="preserve">לכן, נדרשת הסדרה של </w:t>
      </w:r>
      <w:r w:rsidR="00FC0318" w:rsidRPr="003B5C1E">
        <w:rPr>
          <w:rFonts w:cs="David" w:hint="cs"/>
          <w:sz w:val="24"/>
          <w:szCs w:val="24"/>
          <w:rtl/>
        </w:rPr>
        <w:t xml:space="preserve">נושא התשלום בגין ההתדיינות בפני בית הדין </w:t>
      </w:r>
      <w:r w:rsidR="00FC0318">
        <w:rPr>
          <w:rFonts w:cs="David" w:hint="cs"/>
          <w:sz w:val="24"/>
          <w:szCs w:val="24"/>
          <w:rtl/>
        </w:rPr>
        <w:t xml:space="preserve">הרבני </w:t>
      </w:r>
      <w:r w:rsidR="00FC0318" w:rsidRPr="003B5C1E">
        <w:rPr>
          <w:rFonts w:cs="David" w:hint="cs"/>
          <w:sz w:val="24"/>
          <w:szCs w:val="24"/>
          <w:rtl/>
        </w:rPr>
        <w:t xml:space="preserve">כבורר. </w:t>
      </w:r>
      <w:r w:rsidR="00983107" w:rsidRPr="00983107">
        <w:rPr>
          <w:rFonts w:cs="David" w:hint="cs"/>
          <w:sz w:val="24"/>
          <w:szCs w:val="24"/>
          <w:u w:val="single"/>
          <w:rtl/>
        </w:rPr>
        <w:t>מוצע להסמיך את שר המשפטים לקבוע אגרות לעניין זה, באישורה של ועדת החוקה חוק ומשפט של הכנסת</w:t>
      </w:r>
      <w:r w:rsidR="00983107">
        <w:rPr>
          <w:rFonts w:cs="David" w:hint="cs"/>
          <w:sz w:val="24"/>
          <w:szCs w:val="24"/>
          <w:rtl/>
        </w:rPr>
        <w:t>.</w:t>
      </w:r>
    </w:p>
    <w:p w:rsidR="00374283" w:rsidRDefault="00374283" w:rsidP="00374283">
      <w:pPr>
        <w:spacing w:after="0" w:line="360" w:lineRule="auto"/>
        <w:jc w:val="both"/>
        <w:rPr>
          <w:rFonts w:cs="David"/>
          <w:sz w:val="24"/>
          <w:szCs w:val="24"/>
          <w:rtl/>
        </w:rPr>
      </w:pPr>
    </w:p>
    <w:p w:rsidR="00374283" w:rsidRDefault="0066666C" w:rsidP="00AE3C5D">
      <w:pPr>
        <w:spacing w:after="120" w:line="240" w:lineRule="auto"/>
        <w:jc w:val="both"/>
        <w:rPr>
          <w:rFonts w:cs="David"/>
          <w:sz w:val="24"/>
          <w:szCs w:val="24"/>
          <w:rtl/>
        </w:rPr>
      </w:pPr>
      <w:r w:rsidRPr="00C756DB">
        <w:rPr>
          <w:rFonts w:cs="David" w:hint="cs"/>
          <w:b/>
          <w:bCs/>
          <w:sz w:val="24"/>
          <w:szCs w:val="24"/>
          <w:rtl/>
        </w:rPr>
        <w:t>(</w:t>
      </w:r>
      <w:r w:rsidR="00AE3C5D">
        <w:rPr>
          <w:rFonts w:cs="David" w:hint="cs"/>
          <w:b/>
          <w:bCs/>
          <w:sz w:val="24"/>
          <w:szCs w:val="24"/>
          <w:rtl/>
        </w:rPr>
        <w:t>3</w:t>
      </w:r>
      <w:r w:rsidRPr="00C756DB">
        <w:rPr>
          <w:rFonts w:cs="David" w:hint="cs"/>
          <w:b/>
          <w:bCs/>
          <w:sz w:val="24"/>
          <w:szCs w:val="24"/>
          <w:rtl/>
        </w:rPr>
        <w:t xml:space="preserve">) </w:t>
      </w:r>
      <w:r w:rsidR="007479B6">
        <w:rPr>
          <w:rFonts w:cs="David" w:hint="cs"/>
          <w:b/>
          <w:bCs/>
          <w:sz w:val="24"/>
          <w:szCs w:val="24"/>
          <w:rtl/>
        </w:rPr>
        <w:t xml:space="preserve">הסכמה </w:t>
      </w:r>
      <w:r w:rsidR="00952B7B">
        <w:rPr>
          <w:rFonts w:cs="David" w:hint="cs"/>
          <w:b/>
          <w:bCs/>
          <w:sz w:val="24"/>
          <w:szCs w:val="24"/>
          <w:rtl/>
        </w:rPr>
        <w:t>אמיתית ו</w:t>
      </w:r>
      <w:r w:rsidR="00427053">
        <w:rPr>
          <w:rFonts w:cs="David" w:hint="cs"/>
          <w:b/>
          <w:bCs/>
          <w:sz w:val="24"/>
          <w:szCs w:val="24"/>
          <w:rtl/>
        </w:rPr>
        <w:t>חופשית</w:t>
      </w:r>
      <w:r w:rsidR="00952B7B">
        <w:rPr>
          <w:rFonts w:cs="David" w:hint="cs"/>
          <w:b/>
          <w:bCs/>
          <w:sz w:val="24"/>
          <w:szCs w:val="24"/>
          <w:rtl/>
        </w:rPr>
        <w:t xml:space="preserve"> שאינ</w:t>
      </w:r>
      <w:r w:rsidR="00F92AD6">
        <w:rPr>
          <w:rFonts w:cs="David" w:hint="cs"/>
          <w:b/>
          <w:bCs/>
          <w:sz w:val="24"/>
          <w:szCs w:val="24"/>
          <w:rtl/>
        </w:rPr>
        <w:t>ה</w:t>
      </w:r>
      <w:r w:rsidR="00952B7B">
        <w:rPr>
          <w:rFonts w:cs="David" w:hint="cs"/>
          <w:b/>
          <w:bCs/>
          <w:sz w:val="24"/>
          <w:szCs w:val="24"/>
          <w:rtl/>
        </w:rPr>
        <w:t xml:space="preserve"> נובעת מלחצים חברתיים</w:t>
      </w:r>
      <w:r w:rsidR="007479B6">
        <w:rPr>
          <w:rFonts w:cs="David" w:hint="cs"/>
          <w:b/>
          <w:bCs/>
          <w:sz w:val="24"/>
          <w:szCs w:val="24"/>
          <w:rtl/>
        </w:rPr>
        <w:t xml:space="preserve"> </w:t>
      </w:r>
      <w:r w:rsidRPr="00C756DB">
        <w:rPr>
          <w:rFonts w:cs="David" w:hint="cs"/>
          <w:sz w:val="24"/>
          <w:szCs w:val="24"/>
          <w:rtl/>
        </w:rPr>
        <w:t>(</w:t>
      </w:r>
      <w:r w:rsidR="00170A3A" w:rsidRPr="00C756DB">
        <w:rPr>
          <w:rFonts w:cs="David" w:hint="cs"/>
          <w:sz w:val="24"/>
          <w:szCs w:val="24"/>
          <w:rtl/>
        </w:rPr>
        <w:t>סעיף קטן (ב)</w:t>
      </w:r>
      <w:r w:rsidRPr="00C756DB">
        <w:rPr>
          <w:rFonts w:cs="David" w:hint="cs"/>
          <w:sz w:val="24"/>
          <w:szCs w:val="24"/>
          <w:rtl/>
        </w:rPr>
        <w:t xml:space="preserve">) </w:t>
      </w:r>
    </w:p>
    <w:p w:rsidR="00CC5203" w:rsidRPr="00C756DB" w:rsidRDefault="0066666C" w:rsidP="0023533A">
      <w:pPr>
        <w:spacing w:after="0" w:line="360" w:lineRule="auto"/>
        <w:jc w:val="both"/>
        <w:rPr>
          <w:rFonts w:cs="David"/>
          <w:sz w:val="24"/>
          <w:szCs w:val="24"/>
          <w:rtl/>
        </w:rPr>
      </w:pPr>
      <w:r w:rsidRPr="00C756DB">
        <w:rPr>
          <w:rFonts w:cs="David" w:hint="cs"/>
          <w:sz w:val="24"/>
          <w:szCs w:val="24"/>
          <w:rtl/>
        </w:rPr>
        <w:t xml:space="preserve">כיצד מוודאים </w:t>
      </w:r>
      <w:r w:rsidR="00B51BAF">
        <w:rPr>
          <w:rFonts w:cs="David" w:hint="cs"/>
          <w:sz w:val="24"/>
          <w:szCs w:val="24"/>
          <w:rtl/>
        </w:rPr>
        <w:t xml:space="preserve">שהסכמת הצדדים היא </w:t>
      </w:r>
      <w:r w:rsidRPr="00C756DB">
        <w:rPr>
          <w:rFonts w:cs="David" w:hint="cs"/>
          <w:sz w:val="24"/>
          <w:szCs w:val="24"/>
          <w:rtl/>
        </w:rPr>
        <w:t xml:space="preserve">אמיתית </w:t>
      </w:r>
      <w:r w:rsidR="00482965">
        <w:rPr>
          <w:rFonts w:cs="David" w:hint="cs"/>
          <w:sz w:val="24"/>
          <w:szCs w:val="24"/>
          <w:rtl/>
        </w:rPr>
        <w:t>וחופשית ו</w:t>
      </w:r>
      <w:r w:rsidR="008F6962" w:rsidRPr="00C756DB">
        <w:rPr>
          <w:rFonts w:cs="David" w:hint="cs"/>
          <w:sz w:val="24"/>
          <w:szCs w:val="24"/>
          <w:rtl/>
        </w:rPr>
        <w:t xml:space="preserve">אינה נובעת מלחצים </w:t>
      </w:r>
      <w:r w:rsidR="00DD096E" w:rsidRPr="00C756DB">
        <w:rPr>
          <w:rFonts w:cs="David" w:hint="cs"/>
          <w:sz w:val="24"/>
          <w:szCs w:val="24"/>
          <w:rtl/>
        </w:rPr>
        <w:t xml:space="preserve">חברתיים </w:t>
      </w:r>
      <w:r w:rsidR="0008694E" w:rsidRPr="00C756DB">
        <w:rPr>
          <w:rFonts w:cs="David" w:hint="cs"/>
          <w:sz w:val="24"/>
          <w:szCs w:val="24"/>
          <w:rtl/>
        </w:rPr>
        <w:t>ש</w:t>
      </w:r>
      <w:r w:rsidR="00DD096E" w:rsidRPr="00C756DB">
        <w:rPr>
          <w:rFonts w:cs="David" w:hint="cs"/>
          <w:sz w:val="24"/>
          <w:szCs w:val="24"/>
          <w:rtl/>
        </w:rPr>
        <w:t xml:space="preserve">מופעלים על </w:t>
      </w:r>
      <w:r w:rsidR="0008694E" w:rsidRPr="00C756DB">
        <w:rPr>
          <w:rFonts w:cs="David" w:hint="cs"/>
          <w:sz w:val="24"/>
          <w:szCs w:val="24"/>
          <w:rtl/>
        </w:rPr>
        <w:t xml:space="preserve">ידי </w:t>
      </w:r>
      <w:r w:rsidR="00DD096E" w:rsidRPr="00C756DB">
        <w:rPr>
          <w:rFonts w:cs="David" w:hint="cs"/>
          <w:sz w:val="24"/>
          <w:szCs w:val="24"/>
          <w:rtl/>
        </w:rPr>
        <w:t xml:space="preserve">הקהילה הדתית </w:t>
      </w:r>
      <w:r w:rsidR="00482965">
        <w:rPr>
          <w:rFonts w:cs="David" w:hint="cs"/>
          <w:sz w:val="24"/>
          <w:szCs w:val="24"/>
          <w:rtl/>
        </w:rPr>
        <w:t xml:space="preserve">שבה </w:t>
      </w:r>
      <w:r w:rsidR="0023533A">
        <w:rPr>
          <w:rFonts w:cs="David" w:hint="cs"/>
          <w:sz w:val="24"/>
          <w:szCs w:val="24"/>
          <w:rtl/>
        </w:rPr>
        <w:t xml:space="preserve">הם </w:t>
      </w:r>
      <w:r w:rsidR="00482965">
        <w:rPr>
          <w:rFonts w:cs="David" w:hint="cs"/>
          <w:sz w:val="24"/>
          <w:szCs w:val="24"/>
          <w:rtl/>
        </w:rPr>
        <w:t>חברים</w:t>
      </w:r>
      <w:r w:rsidR="00474BF5" w:rsidRPr="00C756DB">
        <w:rPr>
          <w:rFonts w:cs="David" w:hint="cs"/>
          <w:sz w:val="24"/>
          <w:szCs w:val="24"/>
          <w:rtl/>
        </w:rPr>
        <w:t>?</w:t>
      </w:r>
      <w:r w:rsidR="00F00E13" w:rsidRPr="00C756DB">
        <w:rPr>
          <w:rFonts w:cs="David" w:hint="cs"/>
          <w:sz w:val="24"/>
          <w:szCs w:val="24"/>
          <w:rtl/>
        </w:rPr>
        <w:t xml:space="preserve"> </w:t>
      </w:r>
      <w:r w:rsidR="006A372B">
        <w:rPr>
          <w:rFonts w:cs="David" w:hint="cs"/>
          <w:sz w:val="24"/>
          <w:szCs w:val="24"/>
          <w:rtl/>
        </w:rPr>
        <w:t xml:space="preserve">בהקשר דנן, החשש שהסכמה בכתב של הצדדים לא תמיד תשקף הסכמה מדעת, מבוסס על </w:t>
      </w:r>
      <w:r w:rsidR="006C0401" w:rsidRPr="00C756DB">
        <w:rPr>
          <w:rFonts w:cs="David" w:hint="cs"/>
          <w:sz w:val="24"/>
          <w:szCs w:val="24"/>
          <w:rtl/>
        </w:rPr>
        <w:t>שני</w:t>
      </w:r>
      <w:r w:rsidR="00CC5203" w:rsidRPr="00C756DB">
        <w:rPr>
          <w:rFonts w:cs="David" w:hint="cs"/>
          <w:sz w:val="24"/>
          <w:szCs w:val="24"/>
          <w:rtl/>
        </w:rPr>
        <w:t xml:space="preserve"> ראשים:</w:t>
      </w:r>
    </w:p>
    <w:p w:rsidR="00BC13AE" w:rsidRDefault="006A372B" w:rsidP="00231FA1">
      <w:pPr>
        <w:pStyle w:val="a6"/>
        <w:numPr>
          <w:ilvl w:val="0"/>
          <w:numId w:val="14"/>
        </w:numPr>
        <w:spacing w:after="120" w:line="360" w:lineRule="auto"/>
        <w:jc w:val="both"/>
        <w:rPr>
          <w:rFonts w:cs="David"/>
          <w:sz w:val="24"/>
          <w:szCs w:val="24"/>
        </w:rPr>
      </w:pPr>
      <w:r w:rsidRPr="00B27668">
        <w:rPr>
          <w:rFonts w:cs="David" w:hint="cs"/>
          <w:b/>
          <w:bCs/>
          <w:sz w:val="24"/>
          <w:szCs w:val="24"/>
          <w:rtl/>
        </w:rPr>
        <w:t>כתבי סירוב</w:t>
      </w:r>
      <w:r>
        <w:rPr>
          <w:rFonts w:cs="David" w:hint="cs"/>
          <w:sz w:val="24"/>
          <w:szCs w:val="24"/>
          <w:rtl/>
        </w:rPr>
        <w:t xml:space="preserve">: </w:t>
      </w:r>
      <w:r w:rsidR="00DD096E" w:rsidRPr="00AA7667">
        <w:rPr>
          <w:rFonts w:cs="David" w:hint="cs"/>
          <w:sz w:val="24"/>
          <w:szCs w:val="24"/>
          <w:rtl/>
        </w:rPr>
        <w:t>ה</w:t>
      </w:r>
      <w:r w:rsidR="00474BF5" w:rsidRPr="00AA7667">
        <w:rPr>
          <w:rFonts w:cs="David" w:hint="cs"/>
          <w:sz w:val="24"/>
          <w:szCs w:val="24"/>
          <w:rtl/>
        </w:rPr>
        <w:t xml:space="preserve">פרקטיקה של הוצאת </w:t>
      </w:r>
      <w:r w:rsidR="003407C1">
        <w:rPr>
          <w:rFonts w:cs="David" w:hint="cs"/>
          <w:sz w:val="24"/>
          <w:szCs w:val="24"/>
          <w:rtl/>
        </w:rPr>
        <w:t>'</w:t>
      </w:r>
      <w:r w:rsidR="00474BF5" w:rsidRPr="00AA7667">
        <w:rPr>
          <w:rFonts w:cs="David" w:hint="cs"/>
          <w:sz w:val="24"/>
          <w:szCs w:val="24"/>
          <w:rtl/>
        </w:rPr>
        <w:t>כתב</w:t>
      </w:r>
      <w:r w:rsidR="003407C1">
        <w:rPr>
          <w:rFonts w:cs="David" w:hint="cs"/>
          <w:sz w:val="24"/>
          <w:szCs w:val="24"/>
          <w:rtl/>
        </w:rPr>
        <w:t>י</w:t>
      </w:r>
      <w:r w:rsidR="00474BF5" w:rsidRPr="00AA7667">
        <w:rPr>
          <w:rFonts w:cs="David" w:hint="cs"/>
          <w:sz w:val="24"/>
          <w:szCs w:val="24"/>
          <w:rtl/>
        </w:rPr>
        <w:t xml:space="preserve"> סירוב</w:t>
      </w:r>
      <w:r w:rsidR="003407C1">
        <w:rPr>
          <w:rFonts w:cs="David" w:hint="cs"/>
          <w:sz w:val="24"/>
          <w:szCs w:val="24"/>
          <w:rtl/>
        </w:rPr>
        <w:t>'</w:t>
      </w:r>
      <w:r w:rsidR="00F642E0">
        <w:rPr>
          <w:rStyle w:val="a5"/>
          <w:rFonts w:cs="David"/>
          <w:sz w:val="24"/>
          <w:szCs w:val="24"/>
          <w:rtl/>
        </w:rPr>
        <w:footnoteReference w:id="4"/>
      </w:r>
      <w:r w:rsidR="00072389" w:rsidRPr="00AA7667">
        <w:rPr>
          <w:rFonts w:cs="David" w:hint="cs"/>
          <w:sz w:val="24"/>
          <w:szCs w:val="24"/>
          <w:rtl/>
        </w:rPr>
        <w:t>,</w:t>
      </w:r>
      <w:r w:rsidR="003407C1">
        <w:rPr>
          <w:rFonts w:cs="David" w:hint="cs"/>
          <w:sz w:val="24"/>
          <w:szCs w:val="24"/>
          <w:rtl/>
        </w:rPr>
        <w:t xml:space="preserve"> </w:t>
      </w:r>
      <w:r w:rsidR="00072389" w:rsidRPr="00AA7667">
        <w:rPr>
          <w:rFonts w:cs="David" w:hint="cs"/>
          <w:sz w:val="24"/>
          <w:szCs w:val="24"/>
          <w:rtl/>
        </w:rPr>
        <w:t xml:space="preserve">אמנם נפסלה על ידי </w:t>
      </w:r>
      <w:r w:rsidR="008A1DF1">
        <w:rPr>
          <w:rFonts w:cs="David" w:hint="cs"/>
          <w:sz w:val="24"/>
          <w:szCs w:val="24"/>
          <w:rtl/>
        </w:rPr>
        <w:t>בג</w:t>
      </w:r>
      <w:r w:rsidR="008A1DF1">
        <w:rPr>
          <w:rFonts w:cs="David"/>
          <w:sz w:val="24"/>
          <w:szCs w:val="24"/>
          <w:rtl/>
        </w:rPr>
        <w:t>"</w:t>
      </w:r>
      <w:r w:rsidR="008A1DF1">
        <w:rPr>
          <w:rFonts w:cs="David" w:hint="cs"/>
          <w:sz w:val="24"/>
          <w:szCs w:val="24"/>
          <w:rtl/>
        </w:rPr>
        <w:t>ץ</w:t>
      </w:r>
      <w:r w:rsidR="00072389" w:rsidRPr="00C756DB">
        <w:rPr>
          <w:rStyle w:val="a5"/>
          <w:rFonts w:cs="David"/>
          <w:sz w:val="24"/>
          <w:szCs w:val="24"/>
          <w:rtl/>
        </w:rPr>
        <w:footnoteReference w:id="5"/>
      </w:r>
      <w:r w:rsidR="00072389" w:rsidRPr="00AA7667">
        <w:rPr>
          <w:rFonts w:cs="David" w:hint="cs"/>
          <w:sz w:val="24"/>
          <w:szCs w:val="24"/>
          <w:rtl/>
        </w:rPr>
        <w:t xml:space="preserve">, אך </w:t>
      </w:r>
      <w:r w:rsidR="007F315F">
        <w:rPr>
          <w:rFonts w:cs="David" w:hint="cs"/>
          <w:sz w:val="24"/>
          <w:szCs w:val="24"/>
          <w:u w:val="single"/>
          <w:rtl/>
        </w:rPr>
        <w:t xml:space="preserve">יש אינדיקציות לכך </w:t>
      </w:r>
      <w:r w:rsidR="003407C1" w:rsidRPr="00B27668">
        <w:rPr>
          <w:rFonts w:cs="David" w:hint="cs"/>
          <w:sz w:val="24"/>
          <w:szCs w:val="24"/>
          <w:u w:val="single"/>
          <w:rtl/>
        </w:rPr>
        <w:t xml:space="preserve">שגם אם </w:t>
      </w:r>
      <w:r w:rsidR="00072389" w:rsidRPr="00B27668">
        <w:rPr>
          <w:rFonts w:cs="David" w:hint="cs"/>
          <w:sz w:val="24"/>
          <w:szCs w:val="24"/>
          <w:u w:val="single"/>
          <w:rtl/>
        </w:rPr>
        <w:t xml:space="preserve">בתי הדין הרבניים נמנעים </w:t>
      </w:r>
      <w:r w:rsidR="002E149A" w:rsidRPr="00B27668">
        <w:rPr>
          <w:rFonts w:cs="David" w:hint="cs"/>
          <w:sz w:val="24"/>
          <w:szCs w:val="24"/>
          <w:u w:val="single"/>
          <w:rtl/>
        </w:rPr>
        <w:t xml:space="preserve">מלהוציא </w:t>
      </w:r>
      <w:r w:rsidR="003407C1" w:rsidRPr="00B27668">
        <w:rPr>
          <w:rFonts w:cs="David" w:hint="cs"/>
          <w:sz w:val="24"/>
          <w:szCs w:val="24"/>
          <w:u w:val="single"/>
          <w:rtl/>
        </w:rPr>
        <w:t>'</w:t>
      </w:r>
      <w:r w:rsidR="007E3A49" w:rsidRPr="00B27668">
        <w:rPr>
          <w:rFonts w:cs="David" w:hint="cs"/>
          <w:sz w:val="24"/>
          <w:szCs w:val="24"/>
          <w:u w:val="single"/>
          <w:rtl/>
        </w:rPr>
        <w:t>כתב</w:t>
      </w:r>
      <w:r w:rsidR="003407C1" w:rsidRPr="00B27668">
        <w:rPr>
          <w:rFonts w:cs="David" w:hint="cs"/>
          <w:sz w:val="24"/>
          <w:szCs w:val="24"/>
          <w:u w:val="single"/>
          <w:rtl/>
        </w:rPr>
        <w:t>י</w:t>
      </w:r>
      <w:r w:rsidR="007E3A49" w:rsidRPr="00B27668">
        <w:rPr>
          <w:rFonts w:cs="David" w:hint="cs"/>
          <w:sz w:val="24"/>
          <w:szCs w:val="24"/>
          <w:u w:val="single"/>
          <w:rtl/>
        </w:rPr>
        <w:t xml:space="preserve"> סירוב</w:t>
      </w:r>
      <w:r w:rsidR="003407C1" w:rsidRPr="00B27668">
        <w:rPr>
          <w:rFonts w:cs="David" w:hint="cs"/>
          <w:sz w:val="24"/>
          <w:szCs w:val="24"/>
          <w:u w:val="single"/>
          <w:rtl/>
        </w:rPr>
        <w:t>'</w:t>
      </w:r>
      <w:r w:rsidR="007E3A49" w:rsidRPr="00B27668">
        <w:rPr>
          <w:rFonts w:cs="David" w:hint="cs"/>
          <w:sz w:val="24"/>
          <w:szCs w:val="24"/>
          <w:u w:val="single"/>
          <w:rtl/>
        </w:rPr>
        <w:t xml:space="preserve"> </w:t>
      </w:r>
      <w:r w:rsidR="002E149A" w:rsidRPr="00B27668">
        <w:rPr>
          <w:rFonts w:cs="David" w:hint="cs"/>
          <w:sz w:val="24"/>
          <w:szCs w:val="24"/>
          <w:u w:val="single"/>
          <w:rtl/>
        </w:rPr>
        <w:t xml:space="preserve">בצורה </w:t>
      </w:r>
      <w:r w:rsidR="003407C1" w:rsidRPr="00B27668">
        <w:rPr>
          <w:rFonts w:cs="David" w:hint="cs"/>
          <w:sz w:val="24"/>
          <w:szCs w:val="24"/>
          <w:u w:val="single"/>
          <w:rtl/>
        </w:rPr>
        <w:t>גלויה</w:t>
      </w:r>
      <w:r w:rsidR="00072389" w:rsidRPr="00B27668">
        <w:rPr>
          <w:rFonts w:cs="David" w:hint="cs"/>
          <w:sz w:val="24"/>
          <w:szCs w:val="24"/>
          <w:u w:val="single"/>
          <w:rtl/>
        </w:rPr>
        <w:t xml:space="preserve">, הם </w:t>
      </w:r>
      <w:r w:rsidR="00DD096E" w:rsidRPr="00B27668">
        <w:rPr>
          <w:rFonts w:cs="David" w:hint="cs"/>
          <w:sz w:val="24"/>
          <w:szCs w:val="24"/>
          <w:u w:val="single"/>
          <w:rtl/>
        </w:rPr>
        <w:t xml:space="preserve">ממשיכים לקרוא </w:t>
      </w:r>
      <w:r w:rsidR="00072389" w:rsidRPr="00B27668">
        <w:rPr>
          <w:rFonts w:cs="David" w:hint="cs"/>
          <w:sz w:val="24"/>
          <w:szCs w:val="24"/>
          <w:u w:val="single"/>
          <w:rtl/>
        </w:rPr>
        <w:t>להפעלת</w:t>
      </w:r>
      <w:r w:rsidR="003407C1" w:rsidRPr="00B27668">
        <w:rPr>
          <w:rFonts w:cs="David" w:hint="cs"/>
          <w:sz w:val="24"/>
          <w:szCs w:val="24"/>
          <w:u w:val="single"/>
          <w:rtl/>
        </w:rPr>
        <w:t>ם</w:t>
      </w:r>
      <w:r w:rsidR="00072389" w:rsidRPr="00B27668">
        <w:rPr>
          <w:rFonts w:cs="David" w:hint="cs"/>
          <w:sz w:val="24"/>
          <w:szCs w:val="24"/>
          <w:u w:val="single"/>
          <w:rtl/>
        </w:rPr>
        <w:t xml:space="preserve"> בצורה </w:t>
      </w:r>
      <w:r w:rsidR="002E149A" w:rsidRPr="00B27668">
        <w:rPr>
          <w:rFonts w:cs="David" w:hint="cs"/>
          <w:sz w:val="24"/>
          <w:szCs w:val="24"/>
          <w:u w:val="single"/>
          <w:rtl/>
        </w:rPr>
        <w:t>עקיפה</w:t>
      </w:r>
      <w:r w:rsidR="002E149A" w:rsidRPr="00B27668">
        <w:rPr>
          <w:rStyle w:val="a5"/>
          <w:rFonts w:cs="David"/>
          <w:sz w:val="24"/>
          <w:szCs w:val="24"/>
          <w:u w:val="single"/>
          <w:rtl/>
        </w:rPr>
        <w:footnoteReference w:id="6"/>
      </w:r>
      <w:r w:rsidR="002E149A" w:rsidRPr="00AA7667">
        <w:rPr>
          <w:rFonts w:cs="David" w:hint="cs"/>
          <w:sz w:val="24"/>
          <w:szCs w:val="24"/>
          <w:rtl/>
        </w:rPr>
        <w:t xml:space="preserve">. </w:t>
      </w:r>
    </w:p>
    <w:p w:rsidR="00231FA1" w:rsidRDefault="006A372B" w:rsidP="00E407BA">
      <w:pPr>
        <w:pStyle w:val="a6"/>
        <w:numPr>
          <w:ilvl w:val="0"/>
          <w:numId w:val="14"/>
        </w:numPr>
        <w:spacing w:after="120" w:line="360" w:lineRule="auto"/>
        <w:jc w:val="both"/>
        <w:rPr>
          <w:rFonts w:cs="David"/>
          <w:sz w:val="24"/>
          <w:szCs w:val="24"/>
        </w:rPr>
      </w:pPr>
      <w:r w:rsidRPr="002A2A12">
        <w:rPr>
          <w:rFonts w:cs="David" w:hint="cs"/>
          <w:b/>
          <w:bCs/>
          <w:sz w:val="24"/>
          <w:szCs w:val="24"/>
          <w:rtl/>
        </w:rPr>
        <w:t>פניית בית הדין לצד שלא הסכים</w:t>
      </w:r>
      <w:r w:rsidRPr="002A2A12">
        <w:rPr>
          <w:rFonts w:cs="David" w:hint="cs"/>
          <w:sz w:val="24"/>
          <w:szCs w:val="24"/>
          <w:rtl/>
        </w:rPr>
        <w:t xml:space="preserve">: </w:t>
      </w:r>
      <w:r w:rsidR="004D33E2" w:rsidRPr="002A2A12">
        <w:rPr>
          <w:rFonts w:cs="David" w:hint="cs"/>
          <w:sz w:val="24"/>
          <w:szCs w:val="24"/>
          <w:rtl/>
        </w:rPr>
        <w:t xml:space="preserve">לפי סעיף 3(ב) המוצע, </w:t>
      </w:r>
      <w:r w:rsidR="00072389" w:rsidRPr="00054796">
        <w:rPr>
          <w:rFonts w:cs="David" w:hint="cs"/>
          <w:sz w:val="24"/>
          <w:szCs w:val="24"/>
          <w:rtl/>
        </w:rPr>
        <w:t xml:space="preserve">אם צד לא צירף את הסכמתו, בית הדין יודיע לאותו צד על </w:t>
      </w:r>
      <w:r w:rsidR="00F57C20" w:rsidRPr="00E407BA">
        <w:rPr>
          <w:rFonts w:cs="David" w:hint="cs"/>
          <w:sz w:val="24"/>
          <w:szCs w:val="24"/>
          <w:rtl/>
        </w:rPr>
        <w:t>"</w:t>
      </w:r>
      <w:r w:rsidR="00072389" w:rsidRPr="00E407BA">
        <w:rPr>
          <w:rFonts w:cs="David" w:hint="cs"/>
          <w:sz w:val="24"/>
          <w:szCs w:val="24"/>
          <w:rtl/>
        </w:rPr>
        <w:t>אפשרותו להסכים</w:t>
      </w:r>
      <w:r w:rsidR="00F57C20" w:rsidRPr="00F52CA6">
        <w:rPr>
          <w:rFonts w:cs="David" w:hint="cs"/>
          <w:sz w:val="24"/>
          <w:szCs w:val="24"/>
          <w:rtl/>
        </w:rPr>
        <w:t>"</w:t>
      </w:r>
      <w:r w:rsidR="00072389" w:rsidRPr="00231FA1">
        <w:rPr>
          <w:rFonts w:cs="David"/>
          <w:sz w:val="24"/>
          <w:szCs w:val="24"/>
          <w:rtl/>
        </w:rPr>
        <w:t xml:space="preserve"> </w:t>
      </w:r>
      <w:r w:rsidR="00072389" w:rsidRPr="00231FA1">
        <w:rPr>
          <w:rFonts w:cs="David" w:hint="eastAsia"/>
          <w:sz w:val="24"/>
          <w:szCs w:val="24"/>
          <w:rtl/>
        </w:rPr>
        <w:t>שבית</w:t>
      </w:r>
      <w:r w:rsidR="00072389" w:rsidRPr="00231FA1">
        <w:rPr>
          <w:rFonts w:cs="David"/>
          <w:sz w:val="24"/>
          <w:szCs w:val="24"/>
          <w:rtl/>
        </w:rPr>
        <w:t xml:space="preserve"> </w:t>
      </w:r>
      <w:r w:rsidR="00072389" w:rsidRPr="00231FA1">
        <w:rPr>
          <w:rFonts w:cs="David" w:hint="eastAsia"/>
          <w:sz w:val="24"/>
          <w:szCs w:val="24"/>
          <w:rtl/>
        </w:rPr>
        <w:t>הדין</w:t>
      </w:r>
      <w:r w:rsidR="00072389" w:rsidRPr="00231FA1">
        <w:rPr>
          <w:rFonts w:cs="David"/>
          <w:sz w:val="24"/>
          <w:szCs w:val="24"/>
          <w:rtl/>
        </w:rPr>
        <w:t xml:space="preserve"> </w:t>
      </w:r>
      <w:r w:rsidR="00072389" w:rsidRPr="00231FA1">
        <w:rPr>
          <w:rFonts w:cs="David" w:hint="eastAsia"/>
          <w:sz w:val="24"/>
          <w:szCs w:val="24"/>
          <w:rtl/>
        </w:rPr>
        <w:t>ידון</w:t>
      </w:r>
      <w:r w:rsidR="00072389" w:rsidRPr="00231FA1">
        <w:rPr>
          <w:rFonts w:cs="David"/>
          <w:sz w:val="24"/>
          <w:szCs w:val="24"/>
          <w:rtl/>
        </w:rPr>
        <w:t xml:space="preserve"> </w:t>
      </w:r>
      <w:r w:rsidR="00072389" w:rsidRPr="00231FA1">
        <w:rPr>
          <w:rFonts w:cs="David" w:hint="eastAsia"/>
          <w:sz w:val="24"/>
          <w:szCs w:val="24"/>
          <w:rtl/>
        </w:rPr>
        <w:t>בעניין</w:t>
      </w:r>
      <w:r w:rsidR="00072389" w:rsidRPr="00231FA1">
        <w:rPr>
          <w:rFonts w:cs="David"/>
          <w:sz w:val="24"/>
          <w:szCs w:val="24"/>
          <w:rtl/>
        </w:rPr>
        <w:t xml:space="preserve"> </w:t>
      </w:r>
      <w:r w:rsidR="00072389" w:rsidRPr="00231FA1">
        <w:rPr>
          <w:rFonts w:cs="David" w:hint="eastAsia"/>
          <w:sz w:val="24"/>
          <w:szCs w:val="24"/>
          <w:rtl/>
        </w:rPr>
        <w:t>כבורר</w:t>
      </w:r>
      <w:r w:rsidR="00072389" w:rsidRPr="00231FA1">
        <w:rPr>
          <w:rFonts w:cs="David"/>
          <w:sz w:val="24"/>
          <w:szCs w:val="24"/>
          <w:rtl/>
        </w:rPr>
        <w:t>.</w:t>
      </w:r>
      <w:r w:rsidR="00F41DD9" w:rsidRPr="00231FA1">
        <w:rPr>
          <w:rFonts w:cs="David"/>
          <w:sz w:val="24"/>
          <w:szCs w:val="24"/>
          <w:rtl/>
        </w:rPr>
        <w:t xml:space="preserve"> </w:t>
      </w:r>
      <w:r w:rsidR="00983107" w:rsidRPr="00231FA1">
        <w:rPr>
          <w:rFonts w:cs="David" w:hint="eastAsia"/>
          <w:sz w:val="24"/>
          <w:szCs w:val="24"/>
          <w:rtl/>
        </w:rPr>
        <w:t>הודעה</w:t>
      </w:r>
      <w:r w:rsidR="00983107" w:rsidRPr="00231FA1">
        <w:rPr>
          <w:rFonts w:cs="David"/>
          <w:sz w:val="24"/>
          <w:szCs w:val="24"/>
          <w:rtl/>
        </w:rPr>
        <w:t xml:space="preserve"> מעין זו עלולה </w:t>
      </w:r>
      <w:r w:rsidR="000C4E42" w:rsidRPr="00231FA1">
        <w:rPr>
          <w:rFonts w:cs="David" w:hint="eastAsia"/>
          <w:sz w:val="24"/>
          <w:szCs w:val="24"/>
          <w:rtl/>
        </w:rPr>
        <w:t>להפעיל</w:t>
      </w:r>
      <w:r w:rsidR="00983107" w:rsidRPr="00231FA1">
        <w:rPr>
          <w:rFonts w:cs="David"/>
          <w:sz w:val="24"/>
          <w:szCs w:val="24"/>
          <w:rtl/>
        </w:rPr>
        <w:t xml:space="preserve"> לחץ על צד שאינו מעוניין להתדיין בפני בית הדין, שכן היא עשויה </w:t>
      </w:r>
      <w:r w:rsidR="00983107" w:rsidRPr="00231FA1">
        <w:rPr>
          <w:rFonts w:cs="David"/>
          <w:sz w:val="24"/>
          <w:szCs w:val="24"/>
          <w:rtl/>
        </w:rPr>
        <w:lastRenderedPageBreak/>
        <w:t xml:space="preserve">להיתפס כמעין איום על </w:t>
      </w:r>
      <w:r w:rsidR="00427053" w:rsidRPr="00231FA1">
        <w:rPr>
          <w:rFonts w:cs="David"/>
          <w:sz w:val="24"/>
          <w:szCs w:val="24"/>
          <w:rtl/>
        </w:rPr>
        <w:t>'</w:t>
      </w:r>
      <w:r w:rsidR="00983107" w:rsidRPr="00231FA1">
        <w:rPr>
          <w:rFonts w:cs="David" w:hint="eastAsia"/>
          <w:sz w:val="24"/>
          <w:szCs w:val="24"/>
          <w:rtl/>
        </w:rPr>
        <w:t>הצד</w:t>
      </w:r>
      <w:r w:rsidR="00983107" w:rsidRPr="00231FA1">
        <w:rPr>
          <w:rFonts w:cs="David"/>
          <w:sz w:val="24"/>
          <w:szCs w:val="24"/>
          <w:rtl/>
        </w:rPr>
        <w:t xml:space="preserve"> </w:t>
      </w:r>
      <w:r w:rsidR="00983107" w:rsidRPr="00231FA1">
        <w:rPr>
          <w:rFonts w:cs="David" w:hint="eastAsia"/>
          <w:sz w:val="24"/>
          <w:szCs w:val="24"/>
          <w:rtl/>
        </w:rPr>
        <w:t>הסרבן</w:t>
      </w:r>
      <w:r w:rsidR="00427053" w:rsidRPr="00231FA1">
        <w:rPr>
          <w:rFonts w:cs="David"/>
          <w:sz w:val="24"/>
          <w:szCs w:val="24"/>
          <w:rtl/>
        </w:rPr>
        <w:t>'</w:t>
      </w:r>
      <w:r w:rsidR="00983107" w:rsidRPr="00231FA1">
        <w:rPr>
          <w:rFonts w:cs="David"/>
          <w:sz w:val="24"/>
          <w:szCs w:val="24"/>
          <w:rtl/>
        </w:rPr>
        <w:t xml:space="preserve">. </w:t>
      </w:r>
      <w:r w:rsidR="00983107" w:rsidRPr="00231FA1">
        <w:rPr>
          <w:rFonts w:cs="David" w:hint="eastAsia"/>
          <w:sz w:val="24"/>
          <w:szCs w:val="24"/>
          <w:u w:val="single"/>
          <w:rtl/>
        </w:rPr>
        <w:t>צד</w:t>
      </w:r>
      <w:r w:rsidR="00983107" w:rsidRPr="00231FA1">
        <w:rPr>
          <w:rFonts w:cs="David"/>
          <w:sz w:val="24"/>
          <w:szCs w:val="24"/>
          <w:u w:val="single"/>
          <w:rtl/>
        </w:rPr>
        <w:t xml:space="preserve"> שזוכה </w:t>
      </w:r>
      <w:r w:rsidR="00F57C20" w:rsidRPr="00231FA1">
        <w:rPr>
          <w:rFonts w:cs="David" w:hint="eastAsia"/>
          <w:sz w:val="24"/>
          <w:szCs w:val="24"/>
          <w:u w:val="single"/>
          <w:rtl/>
        </w:rPr>
        <w:t>ל</w:t>
      </w:r>
      <w:r w:rsidR="00F57C20" w:rsidRPr="00231FA1">
        <w:rPr>
          <w:rFonts w:cs="David"/>
          <w:sz w:val="24"/>
          <w:szCs w:val="24"/>
          <w:u w:val="single"/>
          <w:rtl/>
        </w:rPr>
        <w:t>"</w:t>
      </w:r>
      <w:r w:rsidR="00F57C20" w:rsidRPr="00231FA1">
        <w:rPr>
          <w:rFonts w:cs="David" w:hint="eastAsia"/>
          <w:sz w:val="24"/>
          <w:szCs w:val="24"/>
          <w:u w:val="single"/>
          <w:rtl/>
        </w:rPr>
        <w:t>יידוע</w:t>
      </w:r>
      <w:r w:rsidR="00F57C20" w:rsidRPr="00231FA1">
        <w:rPr>
          <w:rFonts w:cs="David"/>
          <w:sz w:val="24"/>
          <w:szCs w:val="24"/>
          <w:u w:val="single"/>
          <w:rtl/>
        </w:rPr>
        <w:t xml:space="preserve">" </w:t>
      </w:r>
      <w:r w:rsidR="00F71833" w:rsidRPr="00231FA1">
        <w:rPr>
          <w:rFonts w:cs="David" w:hint="eastAsia"/>
          <w:sz w:val="24"/>
          <w:szCs w:val="24"/>
          <w:u w:val="single"/>
          <w:rtl/>
        </w:rPr>
        <w:t>שכ</w:t>
      </w:r>
      <w:r w:rsidR="00983107" w:rsidRPr="00231FA1">
        <w:rPr>
          <w:rFonts w:cs="David" w:hint="eastAsia"/>
          <w:sz w:val="24"/>
          <w:szCs w:val="24"/>
          <w:u w:val="single"/>
          <w:rtl/>
        </w:rPr>
        <w:t>זה</w:t>
      </w:r>
      <w:r w:rsidR="00983107" w:rsidRPr="00231FA1">
        <w:rPr>
          <w:rFonts w:cs="David"/>
          <w:sz w:val="24"/>
          <w:szCs w:val="24"/>
          <w:u w:val="single"/>
          <w:rtl/>
        </w:rPr>
        <w:t xml:space="preserve"> ממוסד שיפוטי רשמי של </w:t>
      </w:r>
      <w:r w:rsidR="00F71833" w:rsidRPr="00231FA1">
        <w:rPr>
          <w:rFonts w:cs="David" w:hint="eastAsia"/>
          <w:sz w:val="24"/>
          <w:szCs w:val="24"/>
          <w:u w:val="single"/>
          <w:rtl/>
        </w:rPr>
        <w:t>המדינה</w:t>
      </w:r>
      <w:r w:rsidR="00983107" w:rsidRPr="00231FA1">
        <w:rPr>
          <w:rFonts w:cs="David"/>
          <w:sz w:val="24"/>
          <w:szCs w:val="24"/>
          <w:u w:val="single"/>
          <w:rtl/>
        </w:rPr>
        <w:t xml:space="preserve">, </w:t>
      </w:r>
      <w:r w:rsidR="00983107" w:rsidRPr="00231FA1">
        <w:rPr>
          <w:rFonts w:cs="David" w:hint="eastAsia"/>
          <w:sz w:val="24"/>
          <w:szCs w:val="24"/>
          <w:u w:val="single"/>
          <w:rtl/>
        </w:rPr>
        <w:t>עלול</w:t>
      </w:r>
      <w:r w:rsidR="00983107" w:rsidRPr="00231FA1">
        <w:rPr>
          <w:rFonts w:cs="David"/>
          <w:sz w:val="24"/>
          <w:szCs w:val="24"/>
          <w:u w:val="single"/>
          <w:rtl/>
        </w:rPr>
        <w:t xml:space="preserve"> </w:t>
      </w:r>
      <w:r w:rsidR="00983107" w:rsidRPr="00231FA1">
        <w:rPr>
          <w:rFonts w:cs="David" w:hint="eastAsia"/>
          <w:sz w:val="24"/>
          <w:szCs w:val="24"/>
          <w:u w:val="single"/>
          <w:rtl/>
        </w:rPr>
        <w:t>לחש</w:t>
      </w:r>
      <w:r w:rsidR="00F71833" w:rsidRPr="00231FA1">
        <w:rPr>
          <w:rFonts w:cs="David" w:hint="eastAsia"/>
          <w:sz w:val="24"/>
          <w:szCs w:val="24"/>
          <w:u w:val="single"/>
          <w:rtl/>
        </w:rPr>
        <w:t>ו</w:t>
      </w:r>
      <w:r w:rsidR="00983107" w:rsidRPr="00231FA1">
        <w:rPr>
          <w:rFonts w:cs="David" w:hint="eastAsia"/>
          <w:sz w:val="24"/>
          <w:szCs w:val="24"/>
          <w:u w:val="single"/>
          <w:rtl/>
        </w:rPr>
        <w:t>ש</w:t>
      </w:r>
      <w:r w:rsidR="00983107" w:rsidRPr="00231FA1">
        <w:rPr>
          <w:rFonts w:cs="David"/>
          <w:sz w:val="24"/>
          <w:szCs w:val="24"/>
          <w:u w:val="single"/>
          <w:rtl/>
        </w:rPr>
        <w:t xml:space="preserve"> מההשלכות </w:t>
      </w:r>
      <w:r w:rsidR="00F57C20" w:rsidRPr="00231FA1">
        <w:rPr>
          <w:rFonts w:cs="David" w:hint="eastAsia"/>
          <w:sz w:val="24"/>
          <w:szCs w:val="24"/>
          <w:u w:val="single"/>
          <w:rtl/>
        </w:rPr>
        <w:t>שיגרמו</w:t>
      </w:r>
      <w:r w:rsidR="00F57C20" w:rsidRPr="00231FA1">
        <w:rPr>
          <w:rFonts w:cs="David"/>
          <w:sz w:val="24"/>
          <w:szCs w:val="24"/>
          <w:u w:val="single"/>
          <w:rtl/>
        </w:rPr>
        <w:t xml:space="preserve"> </w:t>
      </w:r>
      <w:r w:rsidR="00983107" w:rsidRPr="00231FA1">
        <w:rPr>
          <w:rFonts w:cs="David" w:hint="eastAsia"/>
          <w:sz w:val="24"/>
          <w:szCs w:val="24"/>
          <w:u w:val="single"/>
          <w:rtl/>
        </w:rPr>
        <w:t>לו</w:t>
      </w:r>
      <w:r w:rsidR="00983107" w:rsidRPr="00231FA1">
        <w:rPr>
          <w:rFonts w:cs="David"/>
          <w:sz w:val="24"/>
          <w:szCs w:val="24"/>
          <w:u w:val="single"/>
          <w:rtl/>
        </w:rPr>
        <w:t xml:space="preserve"> </w:t>
      </w:r>
      <w:r w:rsidR="00983107" w:rsidRPr="00231FA1">
        <w:rPr>
          <w:rFonts w:cs="David" w:hint="eastAsia"/>
          <w:sz w:val="24"/>
          <w:szCs w:val="24"/>
          <w:u w:val="single"/>
          <w:rtl/>
        </w:rPr>
        <w:t>אם</w:t>
      </w:r>
      <w:r w:rsidR="00983107" w:rsidRPr="00231FA1">
        <w:rPr>
          <w:rFonts w:cs="David"/>
          <w:sz w:val="24"/>
          <w:szCs w:val="24"/>
          <w:u w:val="single"/>
          <w:rtl/>
        </w:rPr>
        <w:t xml:space="preserve"> </w:t>
      </w:r>
      <w:r w:rsidR="00983107" w:rsidRPr="00231FA1">
        <w:rPr>
          <w:rFonts w:cs="David" w:hint="eastAsia"/>
          <w:sz w:val="24"/>
          <w:szCs w:val="24"/>
          <w:u w:val="single"/>
          <w:rtl/>
        </w:rPr>
        <w:t>לא</w:t>
      </w:r>
      <w:r w:rsidR="00983107" w:rsidRPr="00231FA1">
        <w:rPr>
          <w:rFonts w:cs="David"/>
          <w:sz w:val="24"/>
          <w:szCs w:val="24"/>
          <w:u w:val="single"/>
          <w:rtl/>
        </w:rPr>
        <w:t xml:space="preserve"> </w:t>
      </w:r>
      <w:r w:rsidR="00983107" w:rsidRPr="00231FA1">
        <w:rPr>
          <w:rFonts w:cs="David" w:hint="eastAsia"/>
          <w:sz w:val="24"/>
          <w:szCs w:val="24"/>
          <w:u w:val="single"/>
          <w:rtl/>
        </w:rPr>
        <w:t>יסכים</w:t>
      </w:r>
      <w:r w:rsidR="00231FA1" w:rsidRPr="00231FA1">
        <w:rPr>
          <w:rFonts w:cs="David"/>
          <w:sz w:val="24"/>
          <w:szCs w:val="24"/>
          <w:u w:val="single"/>
          <w:rtl/>
        </w:rPr>
        <w:t xml:space="preserve">. </w:t>
      </w:r>
      <w:r w:rsidR="00983107" w:rsidRPr="00231FA1">
        <w:rPr>
          <w:rFonts w:cs="David" w:hint="eastAsia"/>
          <w:sz w:val="24"/>
          <w:szCs w:val="24"/>
          <w:u w:val="single"/>
          <w:rtl/>
        </w:rPr>
        <w:t>גם</w:t>
      </w:r>
      <w:r w:rsidR="00983107" w:rsidRPr="00231FA1">
        <w:rPr>
          <w:rFonts w:cs="David"/>
          <w:sz w:val="24"/>
          <w:szCs w:val="24"/>
          <w:u w:val="single"/>
          <w:rtl/>
        </w:rPr>
        <w:t xml:space="preserve"> </w:t>
      </w:r>
      <w:r w:rsidR="00F71833" w:rsidRPr="00231FA1">
        <w:rPr>
          <w:rFonts w:cs="David" w:hint="eastAsia"/>
          <w:sz w:val="24"/>
          <w:szCs w:val="24"/>
          <w:u w:val="single"/>
          <w:rtl/>
        </w:rPr>
        <w:t>אם</w:t>
      </w:r>
      <w:r w:rsidR="00F71833" w:rsidRPr="00231FA1">
        <w:rPr>
          <w:rFonts w:cs="David"/>
          <w:sz w:val="24"/>
          <w:szCs w:val="24"/>
          <w:u w:val="single"/>
          <w:rtl/>
        </w:rPr>
        <w:t xml:space="preserve"> החשש </w:t>
      </w:r>
      <w:r w:rsidR="00F71833" w:rsidRPr="00231FA1">
        <w:rPr>
          <w:rFonts w:cs="David" w:hint="eastAsia"/>
          <w:sz w:val="24"/>
          <w:szCs w:val="24"/>
          <w:u w:val="single"/>
          <w:rtl/>
        </w:rPr>
        <w:t>מוטעה</w:t>
      </w:r>
      <w:r w:rsidR="003B60CE">
        <w:rPr>
          <w:rFonts w:cs="David" w:hint="cs"/>
          <w:sz w:val="24"/>
          <w:szCs w:val="24"/>
          <w:u w:val="single"/>
          <w:rtl/>
        </w:rPr>
        <w:t>,</w:t>
      </w:r>
      <w:r w:rsidR="00F71833" w:rsidRPr="00E407BA">
        <w:rPr>
          <w:rFonts w:cs="David" w:hint="cs"/>
          <w:sz w:val="24"/>
          <w:szCs w:val="24"/>
          <w:u w:val="single"/>
          <w:rtl/>
        </w:rPr>
        <w:t xml:space="preserve"> </w:t>
      </w:r>
      <w:r w:rsidR="00983107" w:rsidRPr="00231FA1">
        <w:rPr>
          <w:rFonts w:cs="David" w:hint="eastAsia"/>
          <w:sz w:val="24"/>
          <w:szCs w:val="24"/>
          <w:u w:val="single"/>
          <w:rtl/>
        </w:rPr>
        <w:t>די</w:t>
      </w:r>
      <w:r w:rsidR="00983107" w:rsidRPr="00231FA1">
        <w:rPr>
          <w:rFonts w:cs="David"/>
          <w:sz w:val="24"/>
          <w:szCs w:val="24"/>
          <w:u w:val="single"/>
          <w:rtl/>
        </w:rPr>
        <w:t xml:space="preserve"> בכך </w:t>
      </w:r>
      <w:r w:rsidR="003B60CE">
        <w:rPr>
          <w:rFonts w:cs="David" w:hint="cs"/>
          <w:sz w:val="24"/>
          <w:szCs w:val="24"/>
          <w:u w:val="single"/>
          <w:rtl/>
        </w:rPr>
        <w:t xml:space="preserve">שהוא </w:t>
      </w:r>
      <w:r w:rsidR="00231FA1">
        <w:rPr>
          <w:rFonts w:cs="David" w:hint="cs"/>
          <w:sz w:val="24"/>
          <w:szCs w:val="24"/>
          <w:u w:val="single"/>
          <w:rtl/>
        </w:rPr>
        <w:t>עלול לה</w:t>
      </w:r>
      <w:r w:rsidR="00F41DD9" w:rsidRPr="002A2A12">
        <w:rPr>
          <w:rFonts w:cs="David" w:hint="cs"/>
          <w:sz w:val="24"/>
          <w:szCs w:val="24"/>
          <w:u w:val="single"/>
          <w:rtl/>
        </w:rPr>
        <w:t xml:space="preserve">יווצר </w:t>
      </w:r>
      <w:r w:rsidR="00983107" w:rsidRPr="002A2A12">
        <w:rPr>
          <w:rFonts w:cs="David" w:hint="cs"/>
          <w:sz w:val="24"/>
          <w:szCs w:val="24"/>
          <w:u w:val="single"/>
          <w:rtl/>
        </w:rPr>
        <w:t xml:space="preserve">כדי </w:t>
      </w:r>
      <w:r w:rsidR="00427053" w:rsidRPr="00054796">
        <w:rPr>
          <w:rFonts w:cs="David" w:hint="cs"/>
          <w:sz w:val="24"/>
          <w:szCs w:val="24"/>
          <w:u w:val="single"/>
          <w:rtl/>
        </w:rPr>
        <w:t xml:space="preserve">לפגום בהסכמתו </w:t>
      </w:r>
      <w:r w:rsidR="00F71833" w:rsidRPr="00E407BA">
        <w:rPr>
          <w:rFonts w:cs="David" w:hint="cs"/>
          <w:sz w:val="24"/>
          <w:szCs w:val="24"/>
          <w:u w:val="single"/>
          <w:rtl/>
        </w:rPr>
        <w:t>החופשית</w:t>
      </w:r>
      <w:r w:rsidR="003B60CE">
        <w:rPr>
          <w:rFonts w:cs="David" w:hint="cs"/>
          <w:sz w:val="24"/>
          <w:szCs w:val="24"/>
          <w:u w:val="single"/>
          <w:rtl/>
        </w:rPr>
        <w:t xml:space="preserve"> של הצד השני</w:t>
      </w:r>
      <w:r w:rsidR="00983107" w:rsidRPr="00E407BA">
        <w:rPr>
          <w:rFonts w:cs="David" w:hint="cs"/>
          <w:sz w:val="24"/>
          <w:szCs w:val="24"/>
          <w:rtl/>
        </w:rPr>
        <w:t>.</w:t>
      </w:r>
      <w:r w:rsidR="00F41DD9" w:rsidRPr="00E407BA">
        <w:rPr>
          <w:rFonts w:cs="David" w:hint="cs"/>
          <w:sz w:val="24"/>
          <w:szCs w:val="24"/>
          <w:rtl/>
        </w:rPr>
        <w:t xml:space="preserve"> </w:t>
      </w:r>
    </w:p>
    <w:p w:rsidR="00F71833" w:rsidRPr="00231FA1" w:rsidRDefault="00F41DD9" w:rsidP="006946E4">
      <w:pPr>
        <w:pStyle w:val="a6"/>
        <w:spacing w:after="120" w:line="360" w:lineRule="auto"/>
        <w:jc w:val="both"/>
        <w:rPr>
          <w:rFonts w:cs="David"/>
          <w:sz w:val="24"/>
          <w:szCs w:val="24"/>
        </w:rPr>
      </w:pPr>
      <w:r w:rsidRPr="002A2A12">
        <w:rPr>
          <w:rFonts w:cs="David" w:hint="cs"/>
          <w:sz w:val="24"/>
          <w:szCs w:val="24"/>
          <w:rtl/>
        </w:rPr>
        <w:t xml:space="preserve">יתירה מזאת, </w:t>
      </w:r>
      <w:r w:rsidRPr="002A2A12">
        <w:rPr>
          <w:rFonts w:cs="David" w:hint="cs"/>
          <w:sz w:val="24"/>
          <w:szCs w:val="24"/>
          <w:u w:val="single"/>
          <w:rtl/>
        </w:rPr>
        <w:t xml:space="preserve">נוכח העובדה </w:t>
      </w:r>
      <w:r w:rsidR="00B27668" w:rsidRPr="002A2A12">
        <w:rPr>
          <w:rFonts w:cs="David" w:hint="cs"/>
          <w:sz w:val="24"/>
          <w:szCs w:val="24"/>
          <w:u w:val="single"/>
          <w:rtl/>
        </w:rPr>
        <w:t xml:space="preserve">שהסכמה בכתב של שני הצדדים היא בבחינת </w:t>
      </w:r>
      <w:r w:rsidRPr="00054796">
        <w:rPr>
          <w:rFonts w:cs="David" w:hint="cs"/>
          <w:sz w:val="24"/>
          <w:szCs w:val="24"/>
          <w:u w:val="single"/>
          <w:rtl/>
        </w:rPr>
        <w:t xml:space="preserve">תנאי סף להתדיינות בפני בית הדין הרבני כבורר, </w:t>
      </w:r>
      <w:r w:rsidR="00F71833" w:rsidRPr="00E407BA">
        <w:rPr>
          <w:rFonts w:cs="David" w:hint="cs"/>
          <w:sz w:val="24"/>
          <w:szCs w:val="24"/>
          <w:u w:val="single"/>
          <w:rtl/>
        </w:rPr>
        <w:t xml:space="preserve">עצם הפנייה של אחד הצדדים לבית הדין ללא הסכמה בכתב של הצד השני, </w:t>
      </w:r>
      <w:r w:rsidRPr="00231FA1">
        <w:rPr>
          <w:rFonts w:cs="David" w:hint="eastAsia"/>
          <w:sz w:val="24"/>
          <w:szCs w:val="24"/>
          <w:u w:val="single"/>
          <w:rtl/>
        </w:rPr>
        <w:t>אינה</w:t>
      </w:r>
      <w:r w:rsidRPr="00231FA1">
        <w:rPr>
          <w:rFonts w:cs="David"/>
          <w:sz w:val="24"/>
          <w:szCs w:val="24"/>
          <w:u w:val="single"/>
          <w:rtl/>
        </w:rPr>
        <w:t xml:space="preserve"> </w:t>
      </w:r>
      <w:r w:rsidRPr="00231FA1">
        <w:rPr>
          <w:rFonts w:cs="David" w:hint="eastAsia"/>
          <w:sz w:val="24"/>
          <w:szCs w:val="24"/>
          <w:u w:val="single"/>
          <w:rtl/>
        </w:rPr>
        <w:t>יכולה</w:t>
      </w:r>
      <w:r w:rsidRPr="00231FA1">
        <w:rPr>
          <w:rFonts w:cs="David"/>
          <w:sz w:val="24"/>
          <w:szCs w:val="24"/>
          <w:u w:val="single"/>
          <w:rtl/>
        </w:rPr>
        <w:t xml:space="preserve"> </w:t>
      </w:r>
      <w:r w:rsidRPr="00231FA1">
        <w:rPr>
          <w:rFonts w:cs="David" w:hint="eastAsia"/>
          <w:sz w:val="24"/>
          <w:szCs w:val="24"/>
          <w:u w:val="single"/>
          <w:rtl/>
        </w:rPr>
        <w:t>להתפרש</w:t>
      </w:r>
      <w:r w:rsidRPr="00231FA1">
        <w:rPr>
          <w:rFonts w:cs="David"/>
          <w:sz w:val="24"/>
          <w:szCs w:val="24"/>
          <w:u w:val="single"/>
          <w:rtl/>
        </w:rPr>
        <w:t xml:space="preserve"> </w:t>
      </w:r>
      <w:r w:rsidRPr="00231FA1">
        <w:rPr>
          <w:rFonts w:cs="David" w:hint="eastAsia"/>
          <w:sz w:val="24"/>
          <w:szCs w:val="24"/>
          <w:u w:val="single"/>
          <w:rtl/>
        </w:rPr>
        <w:t>אלא</w:t>
      </w:r>
      <w:r w:rsidRPr="00231FA1">
        <w:rPr>
          <w:rFonts w:cs="David"/>
          <w:sz w:val="24"/>
          <w:szCs w:val="24"/>
          <w:u w:val="single"/>
          <w:rtl/>
        </w:rPr>
        <w:t xml:space="preserve"> </w:t>
      </w:r>
      <w:r w:rsidRPr="00231FA1">
        <w:rPr>
          <w:rFonts w:cs="David" w:hint="eastAsia"/>
          <w:sz w:val="24"/>
          <w:szCs w:val="24"/>
          <w:u w:val="single"/>
          <w:rtl/>
        </w:rPr>
        <w:t>כ</w:t>
      </w:r>
      <w:r w:rsidR="00F71833" w:rsidRPr="00231FA1">
        <w:rPr>
          <w:rFonts w:cs="David" w:hint="eastAsia"/>
          <w:sz w:val="24"/>
          <w:szCs w:val="24"/>
          <w:u w:val="single"/>
          <w:rtl/>
        </w:rPr>
        <w:t>הזמנה</w:t>
      </w:r>
      <w:r w:rsidR="00F71833" w:rsidRPr="00231FA1">
        <w:rPr>
          <w:rFonts w:cs="David"/>
          <w:sz w:val="24"/>
          <w:szCs w:val="24"/>
          <w:u w:val="single"/>
          <w:rtl/>
        </w:rPr>
        <w:t xml:space="preserve"> של הפונה לבית הדין ללחוץ על הצד השני, </w:t>
      </w:r>
      <w:r w:rsidRPr="00231FA1">
        <w:rPr>
          <w:rFonts w:cs="David"/>
          <w:sz w:val="24"/>
          <w:szCs w:val="24"/>
          <w:u w:val="single"/>
          <w:rtl/>
        </w:rPr>
        <w:t>'</w:t>
      </w:r>
      <w:r w:rsidR="00F71833" w:rsidRPr="00231FA1">
        <w:rPr>
          <w:rFonts w:cs="David" w:hint="eastAsia"/>
          <w:sz w:val="24"/>
          <w:szCs w:val="24"/>
          <w:u w:val="single"/>
          <w:rtl/>
        </w:rPr>
        <w:t>הסרבן</w:t>
      </w:r>
      <w:r w:rsidRPr="00231FA1">
        <w:rPr>
          <w:rFonts w:cs="David"/>
          <w:sz w:val="24"/>
          <w:szCs w:val="24"/>
          <w:u w:val="single"/>
          <w:rtl/>
        </w:rPr>
        <w:t>'</w:t>
      </w:r>
      <w:r w:rsidR="00F71833" w:rsidRPr="00231FA1">
        <w:rPr>
          <w:rFonts w:cs="David"/>
          <w:sz w:val="24"/>
          <w:szCs w:val="24"/>
          <w:rtl/>
        </w:rPr>
        <w:t xml:space="preserve">. </w:t>
      </w:r>
    </w:p>
    <w:p w:rsidR="00F403A8" w:rsidRDefault="005971B7" w:rsidP="002A2A12">
      <w:pPr>
        <w:spacing w:after="120" w:line="360" w:lineRule="auto"/>
        <w:jc w:val="both"/>
        <w:rPr>
          <w:rFonts w:cs="David"/>
          <w:sz w:val="24"/>
          <w:szCs w:val="24"/>
          <w:rtl/>
        </w:rPr>
      </w:pPr>
      <w:r w:rsidRPr="006946E4">
        <w:rPr>
          <w:rFonts w:cs="David" w:hint="eastAsia"/>
          <w:b/>
          <w:bCs/>
          <w:sz w:val="24"/>
          <w:szCs w:val="24"/>
          <w:u w:val="single"/>
          <w:rtl/>
        </w:rPr>
        <w:t>נוכח</w:t>
      </w:r>
      <w:r w:rsidRPr="006946E4">
        <w:rPr>
          <w:rFonts w:cs="David"/>
          <w:b/>
          <w:bCs/>
          <w:sz w:val="24"/>
          <w:szCs w:val="24"/>
          <w:u w:val="single"/>
          <w:rtl/>
        </w:rPr>
        <w:t xml:space="preserve"> </w:t>
      </w:r>
      <w:r w:rsidR="00F403A8" w:rsidRPr="006946E4">
        <w:rPr>
          <w:rFonts w:cs="David" w:hint="eastAsia"/>
          <w:b/>
          <w:bCs/>
          <w:sz w:val="24"/>
          <w:szCs w:val="24"/>
          <w:u w:val="single"/>
          <w:rtl/>
        </w:rPr>
        <w:t>האמור</w:t>
      </w:r>
      <w:r w:rsidR="00F403A8" w:rsidRPr="006946E4">
        <w:rPr>
          <w:rFonts w:cs="David"/>
          <w:b/>
          <w:bCs/>
          <w:sz w:val="24"/>
          <w:szCs w:val="24"/>
          <w:u w:val="single"/>
          <w:rtl/>
        </w:rPr>
        <w:t xml:space="preserve">, וכדי להבטיח, עד כמה שניתן, את חופשיות הסכמת הצדדים, </w:t>
      </w:r>
      <w:r w:rsidR="00D30D25" w:rsidRPr="006946E4">
        <w:rPr>
          <w:rFonts w:cs="David" w:hint="eastAsia"/>
          <w:b/>
          <w:bCs/>
          <w:sz w:val="24"/>
          <w:szCs w:val="24"/>
          <w:u w:val="single"/>
          <w:rtl/>
        </w:rPr>
        <w:t>מוצע</w:t>
      </w:r>
      <w:r w:rsidR="00D30D25" w:rsidRPr="006946E4">
        <w:rPr>
          <w:rFonts w:cs="David"/>
          <w:b/>
          <w:bCs/>
          <w:sz w:val="24"/>
          <w:szCs w:val="24"/>
          <w:u w:val="single"/>
          <w:rtl/>
        </w:rPr>
        <w:t xml:space="preserve"> למחוק </w:t>
      </w:r>
      <w:r w:rsidR="00F403A8" w:rsidRPr="006946E4">
        <w:rPr>
          <w:rFonts w:cs="David" w:hint="eastAsia"/>
          <w:b/>
          <w:bCs/>
          <w:sz w:val="24"/>
          <w:szCs w:val="24"/>
          <w:u w:val="single"/>
          <w:rtl/>
        </w:rPr>
        <w:t>את</w:t>
      </w:r>
      <w:r w:rsidR="00F403A8" w:rsidRPr="006946E4">
        <w:rPr>
          <w:rFonts w:cs="David"/>
          <w:b/>
          <w:bCs/>
          <w:sz w:val="24"/>
          <w:szCs w:val="24"/>
          <w:u w:val="single"/>
          <w:rtl/>
        </w:rPr>
        <w:t xml:space="preserve"> </w:t>
      </w:r>
      <w:r w:rsidR="00F403A8" w:rsidRPr="006946E4">
        <w:rPr>
          <w:rFonts w:cs="David" w:hint="eastAsia"/>
          <w:b/>
          <w:bCs/>
          <w:sz w:val="24"/>
          <w:szCs w:val="24"/>
          <w:u w:val="single"/>
          <w:rtl/>
        </w:rPr>
        <w:t>סעיף</w:t>
      </w:r>
      <w:r w:rsidR="00F403A8" w:rsidRPr="006946E4">
        <w:rPr>
          <w:rFonts w:cs="David"/>
          <w:b/>
          <w:bCs/>
          <w:sz w:val="24"/>
          <w:szCs w:val="24"/>
          <w:u w:val="single"/>
          <w:rtl/>
        </w:rPr>
        <w:t xml:space="preserve"> 3(ב) </w:t>
      </w:r>
      <w:r w:rsidR="00F403A8" w:rsidRPr="006946E4">
        <w:rPr>
          <w:rFonts w:cs="David" w:hint="eastAsia"/>
          <w:b/>
          <w:bCs/>
          <w:sz w:val="24"/>
          <w:szCs w:val="24"/>
          <w:u w:val="single"/>
          <w:rtl/>
        </w:rPr>
        <w:t>המוצע</w:t>
      </w:r>
      <w:r w:rsidR="00470325" w:rsidRPr="003025B9">
        <w:rPr>
          <w:rStyle w:val="a5"/>
          <w:rFonts w:cs="David"/>
          <w:sz w:val="24"/>
          <w:szCs w:val="24"/>
          <w:u w:val="single"/>
          <w:rtl/>
        </w:rPr>
        <w:footnoteReference w:id="7"/>
      </w:r>
      <w:r w:rsidR="0082460A" w:rsidRPr="006946E4">
        <w:rPr>
          <w:rFonts w:cs="David"/>
          <w:b/>
          <w:bCs/>
          <w:sz w:val="24"/>
          <w:szCs w:val="24"/>
          <w:u w:val="single"/>
          <w:rtl/>
        </w:rPr>
        <w:t>.</w:t>
      </w:r>
      <w:r w:rsidR="004B56E1" w:rsidRPr="006946E4">
        <w:rPr>
          <w:rFonts w:cs="David"/>
          <w:b/>
          <w:bCs/>
          <w:sz w:val="24"/>
          <w:szCs w:val="24"/>
          <w:u w:val="single"/>
          <w:rtl/>
        </w:rPr>
        <w:t xml:space="preserve"> </w:t>
      </w:r>
      <w:r w:rsidR="009B1594" w:rsidRPr="006946E4">
        <w:rPr>
          <w:rFonts w:cs="David" w:hint="eastAsia"/>
          <w:b/>
          <w:bCs/>
          <w:sz w:val="24"/>
          <w:szCs w:val="24"/>
          <w:u w:val="single"/>
          <w:rtl/>
        </w:rPr>
        <w:t>במקום</w:t>
      </w:r>
      <w:r w:rsidR="009B1594" w:rsidRPr="006946E4">
        <w:rPr>
          <w:rFonts w:cs="David"/>
          <w:b/>
          <w:bCs/>
          <w:sz w:val="24"/>
          <w:szCs w:val="24"/>
          <w:u w:val="single"/>
          <w:rtl/>
        </w:rPr>
        <w:t xml:space="preserve"> </w:t>
      </w:r>
      <w:r w:rsidR="00DA6C44" w:rsidRPr="006946E4">
        <w:rPr>
          <w:rFonts w:cs="David" w:hint="eastAsia"/>
          <w:b/>
          <w:bCs/>
          <w:sz w:val="24"/>
          <w:szCs w:val="24"/>
          <w:u w:val="single"/>
          <w:rtl/>
        </w:rPr>
        <w:t>זאת</w:t>
      </w:r>
      <w:r w:rsidR="0082460A" w:rsidRPr="006946E4">
        <w:rPr>
          <w:rFonts w:cs="David"/>
          <w:b/>
          <w:bCs/>
          <w:sz w:val="24"/>
          <w:szCs w:val="24"/>
          <w:u w:val="single"/>
          <w:rtl/>
        </w:rPr>
        <w:t>,</w:t>
      </w:r>
      <w:r w:rsidR="00DA6C44" w:rsidRPr="006946E4">
        <w:rPr>
          <w:rFonts w:cs="David"/>
          <w:b/>
          <w:bCs/>
          <w:sz w:val="24"/>
          <w:szCs w:val="24"/>
          <w:u w:val="single"/>
          <w:rtl/>
        </w:rPr>
        <w:t xml:space="preserve"> </w:t>
      </w:r>
      <w:r w:rsidR="0082460A" w:rsidRPr="006946E4">
        <w:rPr>
          <w:rFonts w:cs="David" w:hint="eastAsia"/>
          <w:b/>
          <w:bCs/>
          <w:sz w:val="24"/>
          <w:szCs w:val="24"/>
          <w:u w:val="single"/>
          <w:rtl/>
        </w:rPr>
        <w:t>מוצע</w:t>
      </w:r>
      <w:r w:rsidR="0082460A" w:rsidRPr="006946E4">
        <w:rPr>
          <w:rFonts w:cs="David"/>
          <w:b/>
          <w:bCs/>
          <w:sz w:val="24"/>
          <w:szCs w:val="24"/>
          <w:u w:val="single"/>
          <w:rtl/>
        </w:rPr>
        <w:t xml:space="preserve"> לקבוע </w:t>
      </w:r>
      <w:r w:rsidR="00C407AA" w:rsidRPr="006946E4">
        <w:rPr>
          <w:rFonts w:cs="David" w:hint="eastAsia"/>
          <w:b/>
          <w:bCs/>
          <w:sz w:val="24"/>
          <w:szCs w:val="24"/>
          <w:u w:val="single"/>
          <w:rtl/>
        </w:rPr>
        <w:t>כי</w:t>
      </w:r>
      <w:r w:rsidR="00C407AA" w:rsidRPr="006946E4">
        <w:rPr>
          <w:rFonts w:cs="David"/>
          <w:b/>
          <w:bCs/>
          <w:sz w:val="24"/>
          <w:szCs w:val="24"/>
          <w:u w:val="single"/>
          <w:rtl/>
        </w:rPr>
        <w:t xml:space="preserve"> </w:t>
      </w:r>
      <w:r w:rsidR="00AA70E6" w:rsidRPr="006946E4">
        <w:rPr>
          <w:rFonts w:cs="David" w:hint="eastAsia"/>
          <w:b/>
          <w:bCs/>
          <w:sz w:val="24"/>
          <w:szCs w:val="24"/>
          <w:u w:val="single"/>
          <w:rtl/>
        </w:rPr>
        <w:t>אם</w:t>
      </w:r>
      <w:r w:rsidR="00AA70E6" w:rsidRPr="006946E4">
        <w:rPr>
          <w:rFonts w:cs="David"/>
          <w:b/>
          <w:bCs/>
          <w:sz w:val="24"/>
          <w:szCs w:val="24"/>
          <w:u w:val="single"/>
          <w:rtl/>
        </w:rPr>
        <w:t xml:space="preserve"> </w:t>
      </w:r>
      <w:r w:rsidR="00AA70E6" w:rsidRPr="006946E4">
        <w:rPr>
          <w:rFonts w:cs="David" w:hint="eastAsia"/>
          <w:b/>
          <w:bCs/>
          <w:sz w:val="24"/>
          <w:szCs w:val="24"/>
          <w:u w:val="single"/>
          <w:rtl/>
        </w:rPr>
        <w:t>לא</w:t>
      </w:r>
      <w:r w:rsidR="00AA70E6" w:rsidRPr="006946E4">
        <w:rPr>
          <w:rFonts w:cs="David"/>
          <w:b/>
          <w:bCs/>
          <w:sz w:val="24"/>
          <w:szCs w:val="24"/>
          <w:u w:val="single"/>
          <w:rtl/>
        </w:rPr>
        <w:t xml:space="preserve"> </w:t>
      </w:r>
      <w:r w:rsidR="00AA70E6" w:rsidRPr="006946E4">
        <w:rPr>
          <w:rFonts w:cs="David" w:hint="eastAsia"/>
          <w:b/>
          <w:bCs/>
          <w:sz w:val="24"/>
          <w:szCs w:val="24"/>
          <w:u w:val="single"/>
          <w:rtl/>
        </w:rPr>
        <w:t>נמסרה</w:t>
      </w:r>
      <w:r w:rsidR="00AA70E6" w:rsidRPr="006946E4">
        <w:rPr>
          <w:rFonts w:cs="David"/>
          <w:b/>
          <w:bCs/>
          <w:sz w:val="24"/>
          <w:szCs w:val="24"/>
          <w:u w:val="single"/>
          <w:rtl/>
        </w:rPr>
        <w:t xml:space="preserve"> </w:t>
      </w:r>
      <w:r w:rsidR="00AA70E6" w:rsidRPr="006946E4">
        <w:rPr>
          <w:rFonts w:cs="David" w:hint="eastAsia"/>
          <w:b/>
          <w:bCs/>
          <w:sz w:val="24"/>
          <w:szCs w:val="24"/>
          <w:u w:val="single"/>
          <w:rtl/>
        </w:rPr>
        <w:t>לבית</w:t>
      </w:r>
      <w:r w:rsidR="00AA70E6" w:rsidRPr="006946E4">
        <w:rPr>
          <w:rFonts w:cs="David"/>
          <w:b/>
          <w:bCs/>
          <w:sz w:val="24"/>
          <w:szCs w:val="24"/>
          <w:u w:val="single"/>
          <w:rtl/>
        </w:rPr>
        <w:t xml:space="preserve"> </w:t>
      </w:r>
      <w:r w:rsidR="00AA70E6" w:rsidRPr="006946E4">
        <w:rPr>
          <w:rFonts w:cs="David" w:hint="eastAsia"/>
          <w:b/>
          <w:bCs/>
          <w:sz w:val="24"/>
          <w:szCs w:val="24"/>
          <w:u w:val="single"/>
          <w:rtl/>
        </w:rPr>
        <w:t>הדין</w:t>
      </w:r>
      <w:r w:rsidR="00AA70E6" w:rsidRPr="006946E4">
        <w:rPr>
          <w:rFonts w:cs="David"/>
          <w:b/>
          <w:bCs/>
          <w:sz w:val="24"/>
          <w:szCs w:val="24"/>
          <w:u w:val="single"/>
          <w:rtl/>
        </w:rPr>
        <w:t xml:space="preserve"> </w:t>
      </w:r>
      <w:r w:rsidR="00AA70E6" w:rsidRPr="006946E4">
        <w:rPr>
          <w:rFonts w:cs="David" w:hint="eastAsia"/>
          <w:b/>
          <w:bCs/>
          <w:sz w:val="24"/>
          <w:szCs w:val="24"/>
          <w:u w:val="single"/>
          <w:rtl/>
        </w:rPr>
        <w:t>הסכמה</w:t>
      </w:r>
      <w:r w:rsidR="00AA70E6" w:rsidRPr="006946E4">
        <w:rPr>
          <w:rFonts w:cs="David"/>
          <w:b/>
          <w:bCs/>
          <w:sz w:val="24"/>
          <w:szCs w:val="24"/>
          <w:u w:val="single"/>
          <w:rtl/>
        </w:rPr>
        <w:t xml:space="preserve"> </w:t>
      </w:r>
      <w:r w:rsidR="00AA70E6" w:rsidRPr="006946E4">
        <w:rPr>
          <w:rFonts w:cs="David" w:hint="eastAsia"/>
          <w:b/>
          <w:bCs/>
          <w:sz w:val="24"/>
          <w:szCs w:val="24"/>
          <w:u w:val="single"/>
          <w:rtl/>
        </w:rPr>
        <w:t>בכתב</w:t>
      </w:r>
      <w:r w:rsidR="00AA70E6" w:rsidRPr="006946E4">
        <w:rPr>
          <w:rFonts w:cs="David"/>
          <w:b/>
          <w:bCs/>
          <w:sz w:val="24"/>
          <w:szCs w:val="24"/>
          <w:u w:val="single"/>
          <w:rtl/>
        </w:rPr>
        <w:t xml:space="preserve"> </w:t>
      </w:r>
      <w:r w:rsidR="00AA70E6" w:rsidRPr="006946E4">
        <w:rPr>
          <w:rFonts w:cs="David" w:hint="eastAsia"/>
          <w:b/>
          <w:bCs/>
          <w:sz w:val="24"/>
          <w:szCs w:val="24"/>
          <w:u w:val="single"/>
          <w:rtl/>
        </w:rPr>
        <w:t>של</w:t>
      </w:r>
      <w:r w:rsidR="00AA70E6" w:rsidRPr="006946E4">
        <w:rPr>
          <w:rFonts w:cs="David"/>
          <w:b/>
          <w:bCs/>
          <w:sz w:val="24"/>
          <w:szCs w:val="24"/>
          <w:u w:val="single"/>
          <w:rtl/>
        </w:rPr>
        <w:t xml:space="preserve"> </w:t>
      </w:r>
      <w:r w:rsidR="00AA70E6" w:rsidRPr="006946E4">
        <w:rPr>
          <w:rFonts w:cs="David" w:hint="eastAsia"/>
          <w:b/>
          <w:bCs/>
          <w:sz w:val="24"/>
          <w:szCs w:val="24"/>
          <w:u w:val="single"/>
          <w:rtl/>
        </w:rPr>
        <w:t>שני</w:t>
      </w:r>
      <w:r w:rsidR="00AA70E6" w:rsidRPr="006946E4">
        <w:rPr>
          <w:rFonts w:cs="David"/>
          <w:b/>
          <w:bCs/>
          <w:sz w:val="24"/>
          <w:szCs w:val="24"/>
          <w:u w:val="single"/>
          <w:rtl/>
        </w:rPr>
        <w:t xml:space="preserve"> </w:t>
      </w:r>
      <w:r w:rsidR="00AA70E6" w:rsidRPr="006946E4">
        <w:rPr>
          <w:rFonts w:cs="David" w:hint="eastAsia"/>
          <w:b/>
          <w:bCs/>
          <w:sz w:val="24"/>
          <w:szCs w:val="24"/>
          <w:u w:val="single"/>
          <w:rtl/>
        </w:rPr>
        <w:t>הצדדים</w:t>
      </w:r>
      <w:r w:rsidR="00AA70E6" w:rsidRPr="006946E4">
        <w:rPr>
          <w:rFonts w:cs="David"/>
          <w:b/>
          <w:bCs/>
          <w:sz w:val="24"/>
          <w:szCs w:val="24"/>
          <w:u w:val="single"/>
          <w:rtl/>
        </w:rPr>
        <w:t xml:space="preserve">, </w:t>
      </w:r>
      <w:r w:rsidR="00AA70E6" w:rsidRPr="006946E4">
        <w:rPr>
          <w:rFonts w:cs="David" w:hint="eastAsia"/>
          <w:b/>
          <w:bCs/>
          <w:sz w:val="24"/>
          <w:szCs w:val="24"/>
          <w:u w:val="single"/>
          <w:rtl/>
        </w:rPr>
        <w:t>הפנייה</w:t>
      </w:r>
      <w:r w:rsidR="00AA70E6" w:rsidRPr="006946E4">
        <w:rPr>
          <w:rFonts w:cs="David"/>
          <w:b/>
          <w:bCs/>
          <w:sz w:val="24"/>
          <w:szCs w:val="24"/>
          <w:u w:val="single"/>
          <w:rtl/>
        </w:rPr>
        <w:t xml:space="preserve"> </w:t>
      </w:r>
      <w:r w:rsidR="00AA70E6" w:rsidRPr="006946E4">
        <w:rPr>
          <w:rFonts w:cs="David" w:hint="eastAsia"/>
          <w:b/>
          <w:bCs/>
          <w:sz w:val="24"/>
          <w:szCs w:val="24"/>
          <w:u w:val="single"/>
          <w:rtl/>
        </w:rPr>
        <w:t>תימחק</w:t>
      </w:r>
      <w:r w:rsidR="00AA70E6" w:rsidRPr="006946E4">
        <w:rPr>
          <w:rFonts w:cs="David"/>
          <w:b/>
          <w:bCs/>
          <w:sz w:val="24"/>
          <w:szCs w:val="24"/>
          <w:u w:val="single"/>
          <w:rtl/>
        </w:rPr>
        <w:t xml:space="preserve"> </w:t>
      </w:r>
      <w:r w:rsidR="00AA70E6" w:rsidRPr="006946E4">
        <w:rPr>
          <w:rFonts w:cs="David" w:hint="eastAsia"/>
          <w:b/>
          <w:bCs/>
          <w:sz w:val="24"/>
          <w:szCs w:val="24"/>
          <w:u w:val="single"/>
          <w:rtl/>
        </w:rPr>
        <w:t>על</w:t>
      </w:r>
      <w:r w:rsidR="00AA70E6" w:rsidRPr="006946E4">
        <w:rPr>
          <w:rFonts w:cs="David"/>
          <w:b/>
          <w:bCs/>
          <w:sz w:val="24"/>
          <w:szCs w:val="24"/>
          <w:u w:val="single"/>
          <w:rtl/>
        </w:rPr>
        <w:t xml:space="preserve"> </w:t>
      </w:r>
      <w:r w:rsidR="00AA70E6" w:rsidRPr="006946E4">
        <w:rPr>
          <w:rFonts w:cs="David" w:hint="eastAsia"/>
          <w:b/>
          <w:bCs/>
          <w:sz w:val="24"/>
          <w:szCs w:val="24"/>
          <w:u w:val="single"/>
          <w:rtl/>
        </w:rPr>
        <w:t>הסף</w:t>
      </w:r>
      <w:r w:rsidR="00D61334">
        <w:rPr>
          <w:rFonts w:cs="David" w:hint="cs"/>
          <w:sz w:val="24"/>
          <w:szCs w:val="24"/>
          <w:rtl/>
        </w:rPr>
        <w:t xml:space="preserve">, ובית הדין לא יוכל </w:t>
      </w:r>
      <w:r w:rsidR="009E46A5" w:rsidRPr="007D178A">
        <w:rPr>
          <w:rFonts w:cs="David" w:hint="cs"/>
          <w:sz w:val="24"/>
          <w:szCs w:val="24"/>
          <w:rtl/>
        </w:rPr>
        <w:t xml:space="preserve">לפנות לצד </w:t>
      </w:r>
      <w:r w:rsidR="00DA6C44" w:rsidRPr="007D178A">
        <w:rPr>
          <w:rFonts w:cs="David" w:hint="cs"/>
          <w:sz w:val="24"/>
          <w:szCs w:val="24"/>
          <w:rtl/>
        </w:rPr>
        <w:t>שלא הסכים להתדיין בפניו</w:t>
      </w:r>
      <w:r w:rsidR="00D61334">
        <w:rPr>
          <w:rFonts w:cs="David" w:hint="cs"/>
          <w:sz w:val="24"/>
          <w:szCs w:val="24"/>
          <w:rtl/>
        </w:rPr>
        <w:t xml:space="preserve"> או לכתוב דברים </w:t>
      </w:r>
      <w:r w:rsidR="009E46A5" w:rsidRPr="007D178A">
        <w:rPr>
          <w:rFonts w:cs="David" w:hint="cs"/>
          <w:sz w:val="24"/>
          <w:szCs w:val="24"/>
          <w:rtl/>
        </w:rPr>
        <w:t xml:space="preserve">שמשתמע מהם שהצד </w:t>
      </w:r>
      <w:r w:rsidR="00D61334">
        <w:rPr>
          <w:rFonts w:cs="David" w:hint="cs"/>
          <w:sz w:val="24"/>
          <w:szCs w:val="24"/>
          <w:rtl/>
        </w:rPr>
        <w:t>שלא ה</w:t>
      </w:r>
      <w:r w:rsidR="009E46A5" w:rsidRPr="007D178A">
        <w:rPr>
          <w:rFonts w:cs="David" w:hint="cs"/>
          <w:sz w:val="24"/>
          <w:szCs w:val="24"/>
          <w:rtl/>
        </w:rPr>
        <w:t xml:space="preserve">סכים הוא </w:t>
      </w:r>
      <w:r w:rsidR="00231FA1">
        <w:rPr>
          <w:rFonts w:cs="David" w:hint="cs"/>
          <w:sz w:val="24"/>
          <w:szCs w:val="24"/>
          <w:rtl/>
        </w:rPr>
        <w:t>"</w:t>
      </w:r>
      <w:r w:rsidR="00231FA1" w:rsidRPr="007D178A">
        <w:rPr>
          <w:rFonts w:cs="David" w:hint="cs"/>
          <w:sz w:val="24"/>
          <w:szCs w:val="24"/>
          <w:rtl/>
        </w:rPr>
        <w:t>סרבן</w:t>
      </w:r>
      <w:r w:rsidR="00231FA1">
        <w:rPr>
          <w:rFonts w:cs="David" w:hint="cs"/>
          <w:sz w:val="24"/>
          <w:szCs w:val="24"/>
          <w:rtl/>
        </w:rPr>
        <w:t>"</w:t>
      </w:r>
      <w:r w:rsidR="00231FA1" w:rsidRPr="007D178A">
        <w:rPr>
          <w:rFonts w:cs="David" w:hint="cs"/>
          <w:sz w:val="24"/>
          <w:szCs w:val="24"/>
          <w:rtl/>
        </w:rPr>
        <w:t xml:space="preserve"> </w:t>
      </w:r>
      <w:r w:rsidR="009E46A5" w:rsidRPr="007D178A">
        <w:rPr>
          <w:rFonts w:cs="David" w:hint="cs"/>
          <w:sz w:val="24"/>
          <w:szCs w:val="24"/>
          <w:rtl/>
        </w:rPr>
        <w:t>(במשמעות הדתית של המונח).</w:t>
      </w:r>
      <w:r w:rsidR="00244FAE">
        <w:rPr>
          <w:rFonts w:cs="David" w:hint="cs"/>
          <w:sz w:val="24"/>
          <w:szCs w:val="24"/>
          <w:rtl/>
        </w:rPr>
        <w:t xml:space="preserve"> </w:t>
      </w:r>
    </w:p>
    <w:p w:rsidR="00175F40" w:rsidRDefault="00175F40" w:rsidP="00035BFA">
      <w:pPr>
        <w:spacing w:after="0" w:line="360" w:lineRule="auto"/>
        <w:jc w:val="both"/>
        <w:rPr>
          <w:rFonts w:cs="David"/>
          <w:sz w:val="24"/>
          <w:szCs w:val="24"/>
          <w:rtl/>
        </w:rPr>
      </w:pPr>
    </w:p>
    <w:p w:rsidR="00035BFA" w:rsidRDefault="00170A3A" w:rsidP="00AE3C5D">
      <w:pPr>
        <w:spacing w:after="120" w:line="240" w:lineRule="auto"/>
        <w:jc w:val="both"/>
        <w:rPr>
          <w:rFonts w:cs="David"/>
          <w:sz w:val="24"/>
          <w:szCs w:val="24"/>
          <w:rtl/>
        </w:rPr>
      </w:pPr>
      <w:r w:rsidRPr="007D178A">
        <w:rPr>
          <w:rFonts w:cs="David" w:hint="cs"/>
          <w:b/>
          <w:bCs/>
          <w:sz w:val="24"/>
          <w:szCs w:val="24"/>
          <w:rtl/>
        </w:rPr>
        <w:t>(</w:t>
      </w:r>
      <w:r w:rsidR="00AE3C5D">
        <w:rPr>
          <w:rFonts w:cs="David" w:hint="cs"/>
          <w:b/>
          <w:bCs/>
          <w:sz w:val="24"/>
          <w:szCs w:val="24"/>
          <w:rtl/>
        </w:rPr>
        <w:t>4</w:t>
      </w:r>
      <w:r w:rsidRPr="007D178A">
        <w:rPr>
          <w:rFonts w:cs="David" w:hint="cs"/>
          <w:b/>
          <w:bCs/>
          <w:sz w:val="24"/>
          <w:szCs w:val="24"/>
          <w:rtl/>
        </w:rPr>
        <w:t xml:space="preserve">) מתן היתר לפי הדין הדתי להתדיינות בפני בית משפט אזרחי </w:t>
      </w:r>
      <w:r w:rsidRPr="007D178A">
        <w:rPr>
          <w:rFonts w:cs="David" w:hint="cs"/>
          <w:sz w:val="24"/>
          <w:szCs w:val="24"/>
          <w:rtl/>
        </w:rPr>
        <w:t>(סעי</w:t>
      </w:r>
      <w:r w:rsidR="004A616D" w:rsidRPr="007D178A">
        <w:rPr>
          <w:rFonts w:cs="David" w:hint="cs"/>
          <w:sz w:val="24"/>
          <w:szCs w:val="24"/>
          <w:rtl/>
        </w:rPr>
        <w:t>פים</w:t>
      </w:r>
      <w:r w:rsidRPr="007D178A">
        <w:rPr>
          <w:rFonts w:cs="David" w:hint="cs"/>
          <w:sz w:val="24"/>
          <w:szCs w:val="24"/>
          <w:rtl/>
        </w:rPr>
        <w:t xml:space="preserve"> קט</w:t>
      </w:r>
      <w:r w:rsidR="004A616D" w:rsidRPr="007D178A">
        <w:rPr>
          <w:rFonts w:cs="David" w:hint="cs"/>
          <w:sz w:val="24"/>
          <w:szCs w:val="24"/>
          <w:rtl/>
        </w:rPr>
        <w:t>נים</w:t>
      </w:r>
      <w:r w:rsidRPr="007D178A">
        <w:rPr>
          <w:rFonts w:cs="David" w:hint="cs"/>
          <w:sz w:val="24"/>
          <w:szCs w:val="24"/>
          <w:rtl/>
        </w:rPr>
        <w:t xml:space="preserve"> (ג)</w:t>
      </w:r>
      <w:r w:rsidR="004A616D" w:rsidRPr="007D178A">
        <w:rPr>
          <w:rFonts w:cs="David" w:hint="cs"/>
          <w:sz w:val="24"/>
          <w:szCs w:val="24"/>
          <w:rtl/>
        </w:rPr>
        <w:t xml:space="preserve"> ו-(ה)</w:t>
      </w:r>
      <w:r w:rsidRPr="007D178A">
        <w:rPr>
          <w:rFonts w:cs="David" w:hint="cs"/>
          <w:sz w:val="24"/>
          <w:szCs w:val="24"/>
          <w:rtl/>
        </w:rPr>
        <w:t xml:space="preserve">) </w:t>
      </w:r>
    </w:p>
    <w:p w:rsidR="009B1594" w:rsidRDefault="009B1594" w:rsidP="00035BFA">
      <w:pPr>
        <w:spacing w:after="120" w:line="360" w:lineRule="auto"/>
        <w:jc w:val="both"/>
        <w:rPr>
          <w:rFonts w:cs="David"/>
          <w:sz w:val="24"/>
          <w:szCs w:val="24"/>
          <w:rtl/>
        </w:rPr>
      </w:pPr>
      <w:r>
        <w:rPr>
          <w:rFonts w:cs="David" w:hint="cs"/>
          <w:sz w:val="24"/>
          <w:szCs w:val="24"/>
          <w:rtl/>
        </w:rPr>
        <w:t xml:space="preserve">בהצעת החוק </w:t>
      </w:r>
      <w:r w:rsidR="00C4700F" w:rsidRPr="007D178A">
        <w:rPr>
          <w:rFonts w:cs="David" w:hint="cs"/>
          <w:sz w:val="24"/>
          <w:szCs w:val="24"/>
          <w:rtl/>
        </w:rPr>
        <w:t>מוצע</w:t>
      </w:r>
      <w:r w:rsidR="00DD758D" w:rsidRPr="007D178A">
        <w:rPr>
          <w:rFonts w:cs="David" w:hint="cs"/>
          <w:sz w:val="24"/>
          <w:szCs w:val="24"/>
          <w:rtl/>
        </w:rPr>
        <w:t xml:space="preserve"> לקבוע</w:t>
      </w:r>
      <w:r w:rsidR="00C4700F" w:rsidRPr="007D178A">
        <w:rPr>
          <w:rFonts w:cs="David" w:hint="cs"/>
          <w:sz w:val="24"/>
          <w:szCs w:val="24"/>
          <w:rtl/>
        </w:rPr>
        <w:t xml:space="preserve"> </w:t>
      </w:r>
      <w:r w:rsidR="00DD758D" w:rsidRPr="007D178A">
        <w:rPr>
          <w:rFonts w:cs="David" w:hint="cs"/>
          <w:sz w:val="24"/>
          <w:szCs w:val="24"/>
          <w:rtl/>
        </w:rPr>
        <w:t xml:space="preserve">כי </w:t>
      </w:r>
      <w:r w:rsidR="00C4700F" w:rsidRPr="007D178A">
        <w:rPr>
          <w:rFonts w:cs="David" w:hint="cs"/>
          <w:sz w:val="24"/>
          <w:szCs w:val="24"/>
          <w:rtl/>
        </w:rPr>
        <w:t xml:space="preserve">אם אחד מהצדדים אינו מסכים להתדיין בפני בית הדין הרבני כבורר (וכן עד לקבלת הסכמה של שני הצדדים), בית הדין יהיה רשאי לתת לצד שהסכים </w:t>
      </w:r>
      <w:r w:rsidR="00F8413F" w:rsidRPr="007D178A">
        <w:rPr>
          <w:rFonts w:cs="David" w:hint="cs"/>
          <w:sz w:val="24"/>
          <w:szCs w:val="24"/>
          <w:rtl/>
        </w:rPr>
        <w:t xml:space="preserve">להתדיין בפניו </w:t>
      </w:r>
      <w:r w:rsidR="00C4700F" w:rsidRPr="007D178A">
        <w:rPr>
          <w:rFonts w:cs="David" w:hint="cs"/>
          <w:sz w:val="24"/>
          <w:szCs w:val="24"/>
          <w:rtl/>
        </w:rPr>
        <w:t>היתר להגיש תביעה לערכאה משפטית אזרחית</w:t>
      </w:r>
      <w:r w:rsidR="00F8413F" w:rsidRPr="007D178A">
        <w:rPr>
          <w:rFonts w:cs="David" w:hint="cs"/>
          <w:sz w:val="24"/>
          <w:szCs w:val="24"/>
          <w:rtl/>
        </w:rPr>
        <w:t xml:space="preserve"> (או </w:t>
      </w:r>
      <w:r w:rsidR="00DD238F">
        <w:rPr>
          <w:rFonts w:cs="David" w:hint="cs"/>
          <w:sz w:val="24"/>
          <w:szCs w:val="24"/>
          <w:rtl/>
        </w:rPr>
        <w:t xml:space="preserve">היתר </w:t>
      </w:r>
      <w:r w:rsidR="00F8413F" w:rsidRPr="007D178A">
        <w:rPr>
          <w:rFonts w:cs="David" w:hint="cs"/>
          <w:sz w:val="24"/>
          <w:szCs w:val="24"/>
          <w:rtl/>
        </w:rPr>
        <w:t>לבקש ממנה סעד זמני)</w:t>
      </w:r>
      <w:r w:rsidR="00C4700F" w:rsidRPr="007D178A">
        <w:rPr>
          <w:rFonts w:cs="David" w:hint="cs"/>
          <w:sz w:val="24"/>
          <w:szCs w:val="24"/>
          <w:rtl/>
        </w:rPr>
        <w:t xml:space="preserve">. </w:t>
      </w:r>
      <w:r w:rsidR="00F8413F" w:rsidRPr="007D178A">
        <w:rPr>
          <w:rFonts w:cs="David" w:hint="cs"/>
          <w:sz w:val="24"/>
          <w:szCs w:val="24"/>
          <w:rtl/>
        </w:rPr>
        <w:t xml:space="preserve">הוראה זו מבוססת על האיסור ההלכתי להגיש תביעה בפני </w:t>
      </w:r>
      <w:r w:rsidR="00F803A6" w:rsidRPr="007D178A">
        <w:rPr>
          <w:rFonts w:cs="David" w:hint="cs"/>
          <w:sz w:val="24"/>
          <w:szCs w:val="24"/>
          <w:rtl/>
        </w:rPr>
        <w:t>'</w:t>
      </w:r>
      <w:r w:rsidR="00F8413F" w:rsidRPr="007D178A">
        <w:rPr>
          <w:rFonts w:cs="David" w:hint="cs"/>
          <w:sz w:val="24"/>
          <w:szCs w:val="24"/>
          <w:rtl/>
        </w:rPr>
        <w:t>ערכאות של גויים</w:t>
      </w:r>
      <w:r w:rsidR="00F803A6" w:rsidRPr="007D178A">
        <w:rPr>
          <w:rFonts w:cs="David" w:hint="cs"/>
          <w:sz w:val="24"/>
          <w:szCs w:val="24"/>
          <w:rtl/>
        </w:rPr>
        <w:t xml:space="preserve">' </w:t>
      </w:r>
      <w:r w:rsidR="00F803A6" w:rsidRPr="007D178A">
        <w:rPr>
          <w:rFonts w:cs="David"/>
          <w:sz w:val="24"/>
          <w:szCs w:val="24"/>
          <w:rtl/>
        </w:rPr>
        <w:t>–</w:t>
      </w:r>
      <w:r w:rsidR="00F8413F" w:rsidRPr="007D178A">
        <w:rPr>
          <w:rFonts w:cs="David" w:hint="cs"/>
          <w:sz w:val="24"/>
          <w:szCs w:val="24"/>
          <w:rtl/>
        </w:rPr>
        <w:t xml:space="preserve"> תוך זיהוי </w:t>
      </w:r>
      <w:r w:rsidR="00F803A6" w:rsidRPr="007D178A">
        <w:rPr>
          <w:rFonts w:cs="David" w:hint="cs"/>
          <w:sz w:val="24"/>
          <w:szCs w:val="24"/>
          <w:rtl/>
        </w:rPr>
        <w:t xml:space="preserve">בין מערכת בתי המשפט של ישראל לבין 'ערכאות של גויים' </w:t>
      </w:r>
      <w:r w:rsidR="00F803A6" w:rsidRPr="007D178A">
        <w:rPr>
          <w:rFonts w:cs="David"/>
          <w:sz w:val="24"/>
          <w:szCs w:val="24"/>
          <w:rtl/>
        </w:rPr>
        <w:t>–</w:t>
      </w:r>
      <w:r w:rsidR="00F803A6" w:rsidRPr="007D178A">
        <w:rPr>
          <w:rFonts w:cs="David" w:hint="cs"/>
          <w:sz w:val="24"/>
          <w:szCs w:val="24"/>
          <w:rtl/>
        </w:rPr>
        <w:t xml:space="preserve"> ועל הצורך לקבל היתר הלכתי להגיש תביעה לאותן ערכאות במקרה שהצד השני מסרב להתדיין בפני בית הדין הרבני. </w:t>
      </w:r>
    </w:p>
    <w:p w:rsidR="006946E4" w:rsidRDefault="006C6F42" w:rsidP="00E67CD1">
      <w:pPr>
        <w:spacing w:after="120" w:line="360" w:lineRule="auto"/>
        <w:jc w:val="both"/>
        <w:rPr>
          <w:rFonts w:cs="David"/>
          <w:sz w:val="24"/>
          <w:szCs w:val="24"/>
          <w:rtl/>
        </w:rPr>
      </w:pPr>
      <w:r w:rsidRPr="006946E4">
        <w:rPr>
          <w:rFonts w:cs="David" w:hint="eastAsia"/>
          <w:sz w:val="24"/>
          <w:szCs w:val="24"/>
          <w:u w:val="single"/>
          <w:rtl/>
        </w:rPr>
        <w:t>ההוראה</w:t>
      </w:r>
      <w:r w:rsidRPr="006946E4">
        <w:rPr>
          <w:rFonts w:cs="David"/>
          <w:sz w:val="24"/>
          <w:szCs w:val="24"/>
          <w:u w:val="single"/>
          <w:rtl/>
        </w:rPr>
        <w:t xml:space="preserve"> </w:t>
      </w:r>
      <w:r w:rsidR="00F803A6" w:rsidRPr="006946E4">
        <w:rPr>
          <w:rFonts w:cs="David" w:hint="eastAsia"/>
          <w:sz w:val="24"/>
          <w:szCs w:val="24"/>
          <w:u w:val="single"/>
          <w:rtl/>
        </w:rPr>
        <w:t>המוצעת</w:t>
      </w:r>
      <w:r w:rsidR="00F803A6" w:rsidRPr="006946E4">
        <w:rPr>
          <w:rFonts w:cs="David"/>
          <w:sz w:val="24"/>
          <w:szCs w:val="24"/>
          <w:u w:val="single"/>
          <w:rtl/>
        </w:rPr>
        <w:t xml:space="preserve"> מעוררת </w:t>
      </w:r>
      <w:r w:rsidR="00231FA1" w:rsidRPr="006946E4">
        <w:rPr>
          <w:rFonts w:cs="David" w:hint="eastAsia"/>
          <w:sz w:val="24"/>
          <w:szCs w:val="24"/>
          <w:u w:val="single"/>
          <w:rtl/>
        </w:rPr>
        <w:t>קושי</w:t>
      </w:r>
      <w:r w:rsidR="00231FA1" w:rsidRPr="006946E4">
        <w:rPr>
          <w:rFonts w:cs="David" w:hint="cs"/>
          <w:sz w:val="24"/>
          <w:szCs w:val="24"/>
          <w:u w:val="single"/>
          <w:rtl/>
        </w:rPr>
        <w:t xml:space="preserve"> במספר מישורים</w:t>
      </w:r>
      <w:r w:rsidR="00231FA1">
        <w:rPr>
          <w:rFonts w:cs="David" w:hint="cs"/>
          <w:sz w:val="24"/>
          <w:szCs w:val="24"/>
          <w:rtl/>
        </w:rPr>
        <w:t xml:space="preserve">: </w:t>
      </w:r>
    </w:p>
    <w:p w:rsidR="00231FA1" w:rsidRDefault="009B1594" w:rsidP="00E67CD1">
      <w:pPr>
        <w:spacing w:after="120" w:line="360" w:lineRule="auto"/>
        <w:jc w:val="both"/>
        <w:rPr>
          <w:rFonts w:cs="David"/>
          <w:sz w:val="24"/>
          <w:szCs w:val="24"/>
          <w:rtl/>
        </w:rPr>
      </w:pPr>
      <w:r w:rsidRPr="006946E4">
        <w:rPr>
          <w:rFonts w:cs="David" w:hint="eastAsia"/>
          <w:b/>
          <w:bCs/>
          <w:sz w:val="24"/>
          <w:szCs w:val="24"/>
          <w:rtl/>
        </w:rPr>
        <w:t>ראשית</w:t>
      </w:r>
      <w:r w:rsidRPr="006946E4">
        <w:rPr>
          <w:rFonts w:cs="David"/>
          <w:sz w:val="24"/>
          <w:szCs w:val="24"/>
          <w:rtl/>
        </w:rPr>
        <w:t xml:space="preserve">, </w:t>
      </w:r>
      <w:r w:rsidR="00231FA1">
        <w:rPr>
          <w:rFonts w:cs="David" w:hint="cs"/>
          <w:sz w:val="24"/>
          <w:szCs w:val="24"/>
          <w:rtl/>
        </w:rPr>
        <w:t>קיימת בעייתיות בכך ש</w:t>
      </w:r>
      <w:r w:rsidR="002F3DCC" w:rsidRPr="006946E4">
        <w:rPr>
          <w:rFonts w:cs="David" w:hint="eastAsia"/>
          <w:sz w:val="24"/>
          <w:szCs w:val="24"/>
          <w:rtl/>
        </w:rPr>
        <w:t>חקיקה</w:t>
      </w:r>
      <w:r w:rsidR="002F3DCC" w:rsidRPr="006946E4">
        <w:rPr>
          <w:rFonts w:cs="David"/>
          <w:sz w:val="24"/>
          <w:szCs w:val="24"/>
          <w:rtl/>
        </w:rPr>
        <w:t xml:space="preserve"> של הכנסת </w:t>
      </w:r>
      <w:r w:rsidR="00231FA1">
        <w:rPr>
          <w:rFonts w:cs="David" w:hint="cs"/>
          <w:sz w:val="24"/>
          <w:szCs w:val="24"/>
          <w:rtl/>
        </w:rPr>
        <w:t xml:space="preserve">תכלול </w:t>
      </w:r>
      <w:r w:rsidR="00E9703F" w:rsidRPr="006946E4">
        <w:rPr>
          <w:rFonts w:cs="David" w:hint="eastAsia"/>
          <w:sz w:val="24"/>
          <w:szCs w:val="24"/>
          <w:rtl/>
        </w:rPr>
        <w:t>הוראה</w:t>
      </w:r>
      <w:r w:rsidR="00E9703F" w:rsidRPr="006946E4">
        <w:rPr>
          <w:rFonts w:cs="David"/>
          <w:sz w:val="24"/>
          <w:szCs w:val="24"/>
          <w:rtl/>
        </w:rPr>
        <w:t xml:space="preserve"> </w:t>
      </w:r>
      <w:r w:rsidR="004E3608" w:rsidRPr="006946E4">
        <w:rPr>
          <w:rFonts w:cs="David" w:hint="eastAsia"/>
          <w:sz w:val="24"/>
          <w:szCs w:val="24"/>
          <w:rtl/>
        </w:rPr>
        <w:t>שמכירה</w:t>
      </w:r>
      <w:r w:rsidR="004E3608" w:rsidRPr="006946E4">
        <w:rPr>
          <w:rFonts w:cs="David"/>
          <w:sz w:val="24"/>
          <w:szCs w:val="24"/>
          <w:rtl/>
        </w:rPr>
        <w:t xml:space="preserve"> </w:t>
      </w:r>
      <w:r w:rsidR="004E3608" w:rsidRPr="006946E4">
        <w:rPr>
          <w:rFonts w:cs="David" w:hint="eastAsia"/>
          <w:sz w:val="24"/>
          <w:szCs w:val="24"/>
          <w:rtl/>
        </w:rPr>
        <w:t>בכך</w:t>
      </w:r>
      <w:r w:rsidR="004E3608" w:rsidRPr="006946E4">
        <w:rPr>
          <w:rFonts w:cs="David"/>
          <w:sz w:val="24"/>
          <w:szCs w:val="24"/>
          <w:rtl/>
        </w:rPr>
        <w:t xml:space="preserve"> שכדי שאדם יוכל לפנות </w:t>
      </w:r>
      <w:r w:rsidR="002F3DCC" w:rsidRPr="006946E4">
        <w:rPr>
          <w:rFonts w:cs="David" w:hint="eastAsia"/>
          <w:sz w:val="24"/>
          <w:szCs w:val="24"/>
          <w:rtl/>
        </w:rPr>
        <w:t>לקבלת</w:t>
      </w:r>
      <w:r w:rsidR="002F3DCC" w:rsidRPr="006946E4">
        <w:rPr>
          <w:rFonts w:cs="David"/>
          <w:sz w:val="24"/>
          <w:szCs w:val="24"/>
          <w:rtl/>
        </w:rPr>
        <w:t xml:space="preserve"> </w:t>
      </w:r>
      <w:r w:rsidR="002F3DCC" w:rsidRPr="006946E4">
        <w:rPr>
          <w:rFonts w:cs="David" w:hint="eastAsia"/>
          <w:sz w:val="24"/>
          <w:szCs w:val="24"/>
          <w:rtl/>
        </w:rPr>
        <w:t>סעד</w:t>
      </w:r>
      <w:r w:rsidR="002F3DCC" w:rsidRPr="006946E4">
        <w:rPr>
          <w:rFonts w:cs="David"/>
          <w:sz w:val="24"/>
          <w:szCs w:val="24"/>
          <w:rtl/>
        </w:rPr>
        <w:t xml:space="preserve"> </w:t>
      </w:r>
      <w:r w:rsidR="002F3DCC" w:rsidRPr="006946E4">
        <w:rPr>
          <w:rFonts w:cs="David" w:hint="eastAsia"/>
          <w:sz w:val="24"/>
          <w:szCs w:val="24"/>
          <w:rtl/>
        </w:rPr>
        <w:t>מ</w:t>
      </w:r>
      <w:r w:rsidR="004E3608" w:rsidRPr="006946E4">
        <w:rPr>
          <w:rFonts w:cs="David" w:hint="eastAsia"/>
          <w:sz w:val="24"/>
          <w:szCs w:val="24"/>
          <w:rtl/>
        </w:rPr>
        <w:t>מערכת</w:t>
      </w:r>
      <w:r w:rsidR="004E3608" w:rsidRPr="006946E4">
        <w:rPr>
          <w:rFonts w:cs="David"/>
          <w:sz w:val="24"/>
          <w:szCs w:val="24"/>
          <w:rtl/>
        </w:rPr>
        <w:t xml:space="preserve"> המשפט </w:t>
      </w:r>
      <w:r w:rsidR="00231FA1">
        <w:rPr>
          <w:rFonts w:cs="David" w:hint="cs"/>
          <w:sz w:val="24"/>
          <w:szCs w:val="24"/>
          <w:rtl/>
        </w:rPr>
        <w:t xml:space="preserve">"האזרחית" </w:t>
      </w:r>
      <w:r w:rsidR="004E3608" w:rsidRPr="006946E4">
        <w:rPr>
          <w:rFonts w:cs="David" w:hint="eastAsia"/>
          <w:sz w:val="24"/>
          <w:szCs w:val="24"/>
          <w:rtl/>
        </w:rPr>
        <w:t>ב</w:t>
      </w:r>
      <w:r w:rsidR="002F3DCC" w:rsidRPr="006946E4">
        <w:rPr>
          <w:rFonts w:cs="David" w:hint="eastAsia"/>
          <w:sz w:val="24"/>
          <w:szCs w:val="24"/>
          <w:rtl/>
        </w:rPr>
        <w:t>מדינת</w:t>
      </w:r>
      <w:r w:rsidR="002F3DCC" w:rsidRPr="006946E4">
        <w:rPr>
          <w:rFonts w:cs="David"/>
          <w:sz w:val="24"/>
          <w:szCs w:val="24"/>
          <w:rtl/>
        </w:rPr>
        <w:t xml:space="preserve"> </w:t>
      </w:r>
      <w:r w:rsidR="004E3608" w:rsidRPr="006946E4">
        <w:rPr>
          <w:rFonts w:cs="David" w:hint="eastAsia"/>
          <w:sz w:val="24"/>
          <w:szCs w:val="24"/>
          <w:rtl/>
        </w:rPr>
        <w:t>ישראל</w:t>
      </w:r>
      <w:r w:rsidR="004E3608" w:rsidRPr="006946E4">
        <w:rPr>
          <w:rFonts w:cs="David"/>
          <w:sz w:val="24"/>
          <w:szCs w:val="24"/>
          <w:rtl/>
        </w:rPr>
        <w:t xml:space="preserve"> הוא </w:t>
      </w:r>
      <w:r w:rsidR="00231FA1">
        <w:rPr>
          <w:rFonts w:cs="David" w:hint="cs"/>
          <w:sz w:val="24"/>
          <w:szCs w:val="24"/>
          <w:rtl/>
        </w:rPr>
        <w:t>יי</w:t>
      </w:r>
      <w:r w:rsidR="00231FA1" w:rsidRPr="006946E4">
        <w:rPr>
          <w:rFonts w:cs="David" w:hint="eastAsia"/>
          <w:sz w:val="24"/>
          <w:szCs w:val="24"/>
          <w:rtl/>
        </w:rPr>
        <w:t>דרש</w:t>
      </w:r>
      <w:r w:rsidR="00231FA1" w:rsidRPr="006946E4">
        <w:rPr>
          <w:rFonts w:cs="David"/>
          <w:sz w:val="24"/>
          <w:szCs w:val="24"/>
          <w:rtl/>
        </w:rPr>
        <w:t xml:space="preserve"> </w:t>
      </w:r>
      <w:r w:rsidR="00231FA1">
        <w:rPr>
          <w:rFonts w:cs="David" w:hint="cs"/>
          <w:sz w:val="24"/>
          <w:szCs w:val="24"/>
          <w:rtl/>
        </w:rPr>
        <w:t xml:space="preserve">לקבל </w:t>
      </w:r>
      <w:r w:rsidR="004E3608" w:rsidRPr="006946E4">
        <w:rPr>
          <w:rFonts w:cs="David" w:hint="eastAsia"/>
          <w:sz w:val="24"/>
          <w:szCs w:val="24"/>
          <w:rtl/>
        </w:rPr>
        <w:t>היתר</w:t>
      </w:r>
      <w:r w:rsidR="004E3608" w:rsidRPr="006946E4">
        <w:rPr>
          <w:rFonts w:cs="David"/>
          <w:sz w:val="24"/>
          <w:szCs w:val="24"/>
          <w:rtl/>
        </w:rPr>
        <w:t xml:space="preserve"> </w:t>
      </w:r>
      <w:r w:rsidR="00E9703F" w:rsidRPr="006946E4">
        <w:rPr>
          <w:rFonts w:cs="David" w:hint="eastAsia"/>
          <w:sz w:val="24"/>
          <w:szCs w:val="24"/>
          <w:rtl/>
        </w:rPr>
        <w:t>מבעל</w:t>
      </w:r>
      <w:r w:rsidR="00E9703F" w:rsidRPr="006946E4">
        <w:rPr>
          <w:rFonts w:cs="David"/>
          <w:sz w:val="24"/>
          <w:szCs w:val="24"/>
          <w:rtl/>
        </w:rPr>
        <w:t xml:space="preserve"> </w:t>
      </w:r>
      <w:r w:rsidR="00E9703F" w:rsidRPr="006946E4">
        <w:rPr>
          <w:rFonts w:cs="David" w:hint="eastAsia"/>
          <w:sz w:val="24"/>
          <w:szCs w:val="24"/>
          <w:rtl/>
        </w:rPr>
        <w:t>סמכות</w:t>
      </w:r>
      <w:r w:rsidR="00E9703F" w:rsidRPr="006946E4">
        <w:rPr>
          <w:rFonts w:cs="David"/>
          <w:sz w:val="24"/>
          <w:szCs w:val="24"/>
          <w:rtl/>
        </w:rPr>
        <w:t xml:space="preserve"> </w:t>
      </w:r>
      <w:r w:rsidR="00E9703F" w:rsidRPr="006946E4">
        <w:rPr>
          <w:rFonts w:cs="David" w:hint="eastAsia"/>
          <w:sz w:val="24"/>
          <w:szCs w:val="24"/>
          <w:rtl/>
        </w:rPr>
        <w:t>דתית</w:t>
      </w:r>
      <w:r w:rsidR="00231FA1">
        <w:rPr>
          <w:rFonts w:cs="David" w:hint="cs"/>
          <w:sz w:val="24"/>
          <w:szCs w:val="24"/>
          <w:rtl/>
        </w:rPr>
        <w:t xml:space="preserve">. </w:t>
      </w:r>
      <w:r w:rsidR="00E407BA">
        <w:rPr>
          <w:rFonts w:cs="David" w:hint="cs"/>
          <w:sz w:val="24"/>
          <w:szCs w:val="24"/>
          <w:rtl/>
        </w:rPr>
        <w:t>קשה לראות כיצד גישה זו אף מתיישבת עם התפיסה של "פלורליזם משפטי" העומדת ביסוד הצעת החוק.</w:t>
      </w:r>
    </w:p>
    <w:p w:rsidR="00231FA1" w:rsidRDefault="00E407BA" w:rsidP="00B510D0">
      <w:pPr>
        <w:spacing w:after="120" w:line="360" w:lineRule="auto"/>
        <w:jc w:val="both"/>
        <w:rPr>
          <w:rFonts w:cs="David"/>
          <w:sz w:val="24"/>
          <w:szCs w:val="24"/>
          <w:rtl/>
        </w:rPr>
      </w:pPr>
      <w:r>
        <w:rPr>
          <w:rFonts w:cs="David" w:hint="cs"/>
          <w:b/>
          <w:bCs/>
          <w:sz w:val="24"/>
          <w:szCs w:val="24"/>
          <w:rtl/>
        </w:rPr>
        <w:t>שנית</w:t>
      </w:r>
      <w:r w:rsidR="00231FA1">
        <w:rPr>
          <w:rFonts w:cs="David" w:hint="cs"/>
          <w:sz w:val="24"/>
          <w:szCs w:val="24"/>
          <w:rtl/>
        </w:rPr>
        <w:t xml:space="preserve">, </w:t>
      </w:r>
      <w:r w:rsidR="00B7587C" w:rsidRPr="006946E4">
        <w:rPr>
          <w:rFonts w:cs="David" w:hint="eastAsia"/>
          <w:sz w:val="24"/>
          <w:szCs w:val="24"/>
          <w:rtl/>
        </w:rPr>
        <w:t>אימוץ</w:t>
      </w:r>
      <w:r w:rsidR="00B7587C" w:rsidRPr="006946E4">
        <w:rPr>
          <w:rFonts w:cs="David"/>
          <w:sz w:val="24"/>
          <w:szCs w:val="24"/>
          <w:rtl/>
        </w:rPr>
        <w:t xml:space="preserve"> </w:t>
      </w:r>
      <w:r w:rsidR="00B7587C" w:rsidRPr="006946E4">
        <w:rPr>
          <w:rFonts w:cs="David" w:hint="eastAsia"/>
          <w:sz w:val="24"/>
          <w:szCs w:val="24"/>
          <w:rtl/>
        </w:rPr>
        <w:t>הוראה</w:t>
      </w:r>
      <w:r w:rsidR="00B7587C" w:rsidRPr="006946E4">
        <w:rPr>
          <w:rFonts w:cs="David"/>
          <w:sz w:val="24"/>
          <w:szCs w:val="24"/>
          <w:rtl/>
        </w:rPr>
        <w:t xml:space="preserve"> </w:t>
      </w:r>
      <w:r w:rsidR="00B7587C" w:rsidRPr="006946E4">
        <w:rPr>
          <w:rFonts w:cs="David" w:hint="eastAsia"/>
          <w:sz w:val="24"/>
          <w:szCs w:val="24"/>
          <w:rtl/>
        </w:rPr>
        <w:t>הקובעת</w:t>
      </w:r>
      <w:r w:rsidR="00B7587C" w:rsidRPr="006946E4">
        <w:rPr>
          <w:rFonts w:cs="David"/>
          <w:sz w:val="24"/>
          <w:szCs w:val="24"/>
          <w:rtl/>
        </w:rPr>
        <w:t xml:space="preserve"> </w:t>
      </w:r>
      <w:r w:rsidR="00B7587C" w:rsidRPr="006946E4">
        <w:rPr>
          <w:rFonts w:cs="David" w:hint="eastAsia"/>
          <w:sz w:val="24"/>
          <w:szCs w:val="24"/>
          <w:rtl/>
        </w:rPr>
        <w:t>שבכדי</w:t>
      </w:r>
      <w:r w:rsidR="00B7587C" w:rsidRPr="006946E4">
        <w:rPr>
          <w:rFonts w:cs="David"/>
          <w:sz w:val="24"/>
          <w:szCs w:val="24"/>
          <w:rtl/>
        </w:rPr>
        <w:t xml:space="preserve"> </w:t>
      </w:r>
      <w:r w:rsidR="00B7587C" w:rsidRPr="006946E4">
        <w:rPr>
          <w:rFonts w:cs="David" w:hint="eastAsia"/>
          <w:sz w:val="24"/>
          <w:szCs w:val="24"/>
          <w:rtl/>
        </w:rPr>
        <w:t>להתדיין</w:t>
      </w:r>
      <w:r w:rsidR="00B7587C" w:rsidRPr="006946E4">
        <w:rPr>
          <w:rFonts w:cs="David"/>
          <w:sz w:val="24"/>
          <w:szCs w:val="24"/>
          <w:rtl/>
        </w:rPr>
        <w:t xml:space="preserve"> </w:t>
      </w:r>
      <w:r w:rsidR="00B7587C" w:rsidRPr="006946E4">
        <w:rPr>
          <w:rFonts w:cs="David" w:hint="eastAsia"/>
          <w:sz w:val="24"/>
          <w:szCs w:val="24"/>
          <w:rtl/>
        </w:rPr>
        <w:t>בפני</w:t>
      </w:r>
      <w:r w:rsidR="00B7587C" w:rsidRPr="006946E4">
        <w:rPr>
          <w:rFonts w:cs="David"/>
          <w:sz w:val="24"/>
          <w:szCs w:val="24"/>
          <w:rtl/>
        </w:rPr>
        <w:t xml:space="preserve"> </w:t>
      </w:r>
      <w:r w:rsidR="00B7587C" w:rsidRPr="006946E4">
        <w:rPr>
          <w:rFonts w:cs="David" w:hint="eastAsia"/>
          <w:sz w:val="24"/>
          <w:szCs w:val="24"/>
          <w:rtl/>
        </w:rPr>
        <w:t>ערכאה</w:t>
      </w:r>
      <w:r w:rsidR="00B7587C" w:rsidRPr="006946E4">
        <w:rPr>
          <w:rFonts w:cs="David"/>
          <w:sz w:val="24"/>
          <w:szCs w:val="24"/>
          <w:rtl/>
        </w:rPr>
        <w:t xml:space="preserve"> </w:t>
      </w:r>
      <w:r w:rsidR="00B7587C" w:rsidRPr="006946E4">
        <w:rPr>
          <w:rFonts w:cs="David" w:hint="eastAsia"/>
          <w:sz w:val="24"/>
          <w:szCs w:val="24"/>
          <w:rtl/>
        </w:rPr>
        <w:t>אזרחית</w:t>
      </w:r>
      <w:r w:rsidR="00B7587C" w:rsidRPr="006946E4">
        <w:rPr>
          <w:rFonts w:cs="David"/>
          <w:sz w:val="24"/>
          <w:szCs w:val="24"/>
          <w:rtl/>
        </w:rPr>
        <w:t xml:space="preserve"> </w:t>
      </w:r>
      <w:r w:rsidR="00B7587C" w:rsidRPr="006946E4">
        <w:rPr>
          <w:rFonts w:cs="David" w:hint="eastAsia"/>
          <w:sz w:val="24"/>
          <w:szCs w:val="24"/>
          <w:rtl/>
        </w:rPr>
        <w:t>צד</w:t>
      </w:r>
      <w:r w:rsidR="00B7587C" w:rsidRPr="006946E4">
        <w:rPr>
          <w:rFonts w:cs="David"/>
          <w:sz w:val="24"/>
          <w:szCs w:val="24"/>
          <w:rtl/>
        </w:rPr>
        <w:t xml:space="preserve"> </w:t>
      </w:r>
      <w:r w:rsidR="00B7587C" w:rsidRPr="006946E4">
        <w:rPr>
          <w:rFonts w:cs="David" w:hint="eastAsia"/>
          <w:sz w:val="24"/>
          <w:szCs w:val="24"/>
          <w:rtl/>
        </w:rPr>
        <w:t>נדרש</w:t>
      </w:r>
      <w:r w:rsidR="00B7587C" w:rsidRPr="006946E4">
        <w:rPr>
          <w:rFonts w:cs="David"/>
          <w:sz w:val="24"/>
          <w:szCs w:val="24"/>
          <w:rtl/>
        </w:rPr>
        <w:t xml:space="preserve"> </w:t>
      </w:r>
      <w:r w:rsidR="00B7587C" w:rsidRPr="006946E4">
        <w:rPr>
          <w:rFonts w:cs="David" w:hint="eastAsia"/>
          <w:sz w:val="24"/>
          <w:szCs w:val="24"/>
          <w:rtl/>
        </w:rPr>
        <w:t>לקבל</w:t>
      </w:r>
      <w:r w:rsidR="00B7587C" w:rsidRPr="006946E4">
        <w:rPr>
          <w:rFonts w:cs="David"/>
          <w:sz w:val="24"/>
          <w:szCs w:val="24"/>
          <w:rtl/>
        </w:rPr>
        <w:t xml:space="preserve"> </w:t>
      </w:r>
      <w:r w:rsidR="00B7587C" w:rsidRPr="006946E4">
        <w:rPr>
          <w:rFonts w:cs="David" w:hint="eastAsia"/>
          <w:sz w:val="24"/>
          <w:szCs w:val="24"/>
          <w:rtl/>
        </w:rPr>
        <w:t>היתר</w:t>
      </w:r>
      <w:r w:rsidR="00B7587C" w:rsidRPr="006946E4">
        <w:rPr>
          <w:rFonts w:cs="David"/>
          <w:sz w:val="24"/>
          <w:szCs w:val="24"/>
          <w:rtl/>
        </w:rPr>
        <w:t xml:space="preserve"> </w:t>
      </w:r>
      <w:r w:rsidR="00B7587C" w:rsidRPr="006946E4">
        <w:rPr>
          <w:rFonts w:cs="David" w:hint="eastAsia"/>
          <w:sz w:val="24"/>
          <w:szCs w:val="24"/>
          <w:rtl/>
        </w:rPr>
        <w:t>מבית</w:t>
      </w:r>
      <w:r w:rsidR="00B7587C" w:rsidRPr="006946E4">
        <w:rPr>
          <w:rFonts w:cs="David"/>
          <w:sz w:val="24"/>
          <w:szCs w:val="24"/>
          <w:rtl/>
        </w:rPr>
        <w:t xml:space="preserve"> </w:t>
      </w:r>
      <w:r w:rsidR="00B7587C" w:rsidRPr="006946E4">
        <w:rPr>
          <w:rFonts w:cs="David" w:hint="eastAsia"/>
          <w:sz w:val="24"/>
          <w:szCs w:val="24"/>
          <w:rtl/>
        </w:rPr>
        <w:t>הדין</w:t>
      </w:r>
      <w:r w:rsidR="00B7587C" w:rsidRPr="006946E4">
        <w:rPr>
          <w:rFonts w:cs="David"/>
          <w:sz w:val="24"/>
          <w:szCs w:val="24"/>
          <w:rtl/>
        </w:rPr>
        <w:t xml:space="preserve"> </w:t>
      </w:r>
      <w:r w:rsidR="00B7587C" w:rsidRPr="006946E4">
        <w:rPr>
          <w:rFonts w:cs="David" w:hint="eastAsia"/>
          <w:sz w:val="24"/>
          <w:szCs w:val="24"/>
          <w:rtl/>
        </w:rPr>
        <w:t>הרבני</w:t>
      </w:r>
      <w:r w:rsidR="00B7587C" w:rsidRPr="006946E4">
        <w:rPr>
          <w:rFonts w:cs="David"/>
          <w:sz w:val="24"/>
          <w:szCs w:val="24"/>
          <w:rtl/>
        </w:rPr>
        <w:t xml:space="preserve">, </w:t>
      </w:r>
      <w:r w:rsidR="00B7587C" w:rsidRPr="006946E4">
        <w:rPr>
          <w:rFonts w:cs="David" w:hint="eastAsia"/>
          <w:sz w:val="24"/>
          <w:szCs w:val="24"/>
          <w:rtl/>
        </w:rPr>
        <w:t>עלול</w:t>
      </w:r>
      <w:r w:rsidR="00B7587C" w:rsidRPr="006946E4">
        <w:rPr>
          <w:rFonts w:cs="David"/>
          <w:sz w:val="24"/>
          <w:szCs w:val="24"/>
          <w:rtl/>
        </w:rPr>
        <w:t xml:space="preserve"> </w:t>
      </w:r>
      <w:r w:rsidR="00B7587C" w:rsidRPr="006946E4">
        <w:rPr>
          <w:rFonts w:cs="David" w:hint="eastAsia"/>
          <w:sz w:val="24"/>
          <w:szCs w:val="24"/>
          <w:rtl/>
        </w:rPr>
        <w:t>להתפרש</w:t>
      </w:r>
      <w:r w:rsidR="00B7587C" w:rsidRPr="006946E4">
        <w:rPr>
          <w:rFonts w:cs="David"/>
          <w:sz w:val="24"/>
          <w:szCs w:val="24"/>
          <w:rtl/>
        </w:rPr>
        <w:t xml:space="preserve"> </w:t>
      </w:r>
      <w:r w:rsidR="00B7587C" w:rsidRPr="006946E4">
        <w:rPr>
          <w:rFonts w:cs="David" w:hint="eastAsia"/>
          <w:sz w:val="24"/>
          <w:szCs w:val="24"/>
          <w:rtl/>
        </w:rPr>
        <w:t>כמתן</w:t>
      </w:r>
      <w:r w:rsidR="00B7587C" w:rsidRPr="006946E4">
        <w:rPr>
          <w:rFonts w:cs="David"/>
          <w:sz w:val="24"/>
          <w:szCs w:val="24"/>
          <w:rtl/>
        </w:rPr>
        <w:t xml:space="preserve"> </w:t>
      </w:r>
      <w:r w:rsidR="00B7587C" w:rsidRPr="006946E4">
        <w:rPr>
          <w:rFonts w:cs="David" w:hint="eastAsia"/>
          <w:sz w:val="24"/>
          <w:szCs w:val="24"/>
          <w:rtl/>
        </w:rPr>
        <w:t>הכשר</w:t>
      </w:r>
      <w:r w:rsidR="00B7587C" w:rsidRPr="006946E4">
        <w:rPr>
          <w:rFonts w:cs="David"/>
          <w:sz w:val="24"/>
          <w:szCs w:val="24"/>
          <w:rtl/>
        </w:rPr>
        <w:t xml:space="preserve"> </w:t>
      </w:r>
      <w:r w:rsidR="00B7587C" w:rsidRPr="006946E4">
        <w:rPr>
          <w:rFonts w:cs="David" w:hint="eastAsia"/>
          <w:sz w:val="24"/>
          <w:szCs w:val="24"/>
          <w:rtl/>
        </w:rPr>
        <w:t>מצד</w:t>
      </w:r>
      <w:r w:rsidR="00B7587C" w:rsidRPr="006946E4">
        <w:rPr>
          <w:rFonts w:cs="David"/>
          <w:sz w:val="24"/>
          <w:szCs w:val="24"/>
          <w:rtl/>
        </w:rPr>
        <w:t xml:space="preserve"> </w:t>
      </w:r>
      <w:r w:rsidR="00B7587C" w:rsidRPr="006946E4">
        <w:rPr>
          <w:rFonts w:cs="David" w:hint="eastAsia"/>
          <w:sz w:val="24"/>
          <w:szCs w:val="24"/>
          <w:rtl/>
        </w:rPr>
        <w:t>המחוקק</w:t>
      </w:r>
      <w:r w:rsidR="00B7587C" w:rsidRPr="006946E4">
        <w:rPr>
          <w:rFonts w:cs="David"/>
          <w:sz w:val="24"/>
          <w:szCs w:val="24"/>
          <w:rtl/>
        </w:rPr>
        <w:t xml:space="preserve"> </w:t>
      </w:r>
      <w:r w:rsidR="00B7587C" w:rsidRPr="006946E4">
        <w:rPr>
          <w:rFonts w:cs="David" w:hint="eastAsia"/>
          <w:sz w:val="24"/>
          <w:szCs w:val="24"/>
          <w:rtl/>
        </w:rPr>
        <w:t>לבתי</w:t>
      </w:r>
      <w:r w:rsidR="00B7587C" w:rsidRPr="006946E4">
        <w:rPr>
          <w:rFonts w:cs="David"/>
          <w:sz w:val="24"/>
          <w:szCs w:val="24"/>
          <w:rtl/>
        </w:rPr>
        <w:t xml:space="preserve"> </w:t>
      </w:r>
      <w:r w:rsidR="00B7587C" w:rsidRPr="006946E4">
        <w:rPr>
          <w:rFonts w:cs="David" w:hint="eastAsia"/>
          <w:sz w:val="24"/>
          <w:szCs w:val="24"/>
          <w:rtl/>
        </w:rPr>
        <w:t>הדין</w:t>
      </w:r>
      <w:r w:rsidR="00B7587C" w:rsidRPr="006946E4">
        <w:rPr>
          <w:rFonts w:cs="David"/>
          <w:sz w:val="24"/>
          <w:szCs w:val="24"/>
          <w:rtl/>
        </w:rPr>
        <w:t xml:space="preserve"> </w:t>
      </w:r>
      <w:r w:rsidR="00B7587C" w:rsidRPr="006946E4">
        <w:rPr>
          <w:rFonts w:cs="David" w:hint="eastAsia"/>
          <w:sz w:val="24"/>
          <w:szCs w:val="24"/>
          <w:rtl/>
        </w:rPr>
        <w:t>הרבניים</w:t>
      </w:r>
      <w:r w:rsidR="00B7587C" w:rsidRPr="006946E4">
        <w:rPr>
          <w:rFonts w:cs="David"/>
          <w:sz w:val="24"/>
          <w:szCs w:val="24"/>
          <w:rtl/>
        </w:rPr>
        <w:t xml:space="preserve"> </w:t>
      </w:r>
      <w:r w:rsidR="00B7587C" w:rsidRPr="006946E4">
        <w:rPr>
          <w:rFonts w:cs="David" w:hint="eastAsia"/>
          <w:sz w:val="24"/>
          <w:szCs w:val="24"/>
          <w:rtl/>
        </w:rPr>
        <w:t>להוצאת</w:t>
      </w:r>
      <w:r w:rsidR="00B7587C" w:rsidRPr="006946E4">
        <w:rPr>
          <w:rFonts w:cs="David"/>
          <w:sz w:val="24"/>
          <w:szCs w:val="24"/>
          <w:rtl/>
        </w:rPr>
        <w:t xml:space="preserve"> 'כתבי </w:t>
      </w:r>
      <w:r w:rsidR="00B7587C" w:rsidRPr="006946E4">
        <w:rPr>
          <w:rFonts w:cs="David" w:hint="eastAsia"/>
          <w:sz w:val="24"/>
          <w:szCs w:val="24"/>
          <w:rtl/>
        </w:rPr>
        <w:t>סירוב</w:t>
      </w:r>
      <w:r w:rsidR="00B7587C" w:rsidRPr="006946E4">
        <w:rPr>
          <w:rFonts w:cs="David"/>
          <w:sz w:val="24"/>
          <w:szCs w:val="24"/>
          <w:rtl/>
        </w:rPr>
        <w:t>'</w:t>
      </w:r>
      <w:r w:rsidR="00D34F9C" w:rsidRPr="006946E4">
        <w:rPr>
          <w:rFonts w:cs="David"/>
          <w:sz w:val="24"/>
          <w:szCs w:val="24"/>
          <w:rtl/>
        </w:rPr>
        <w:t xml:space="preserve">, </w:t>
      </w:r>
      <w:r w:rsidR="00D34F9C" w:rsidRPr="006946E4">
        <w:rPr>
          <w:rFonts w:cs="David" w:hint="eastAsia"/>
          <w:sz w:val="24"/>
          <w:szCs w:val="24"/>
          <w:rtl/>
        </w:rPr>
        <w:t>שהרי</w:t>
      </w:r>
      <w:r w:rsidR="00D34F9C" w:rsidRPr="006946E4">
        <w:rPr>
          <w:rFonts w:cs="David"/>
          <w:sz w:val="24"/>
          <w:szCs w:val="24"/>
          <w:rtl/>
        </w:rPr>
        <w:t xml:space="preserve"> </w:t>
      </w:r>
      <w:r w:rsidR="00D34F9C" w:rsidRPr="006946E4">
        <w:rPr>
          <w:rFonts w:cs="David" w:hint="eastAsia"/>
          <w:sz w:val="24"/>
          <w:szCs w:val="24"/>
          <w:rtl/>
        </w:rPr>
        <w:t>מדובר</w:t>
      </w:r>
      <w:r w:rsidR="00D34F9C" w:rsidRPr="006946E4">
        <w:rPr>
          <w:rFonts w:cs="David"/>
          <w:sz w:val="24"/>
          <w:szCs w:val="24"/>
          <w:rtl/>
        </w:rPr>
        <w:t xml:space="preserve"> </w:t>
      </w:r>
      <w:r w:rsidR="00D34F9C" w:rsidRPr="006946E4">
        <w:rPr>
          <w:rFonts w:cs="David" w:hint="eastAsia"/>
          <w:sz w:val="24"/>
          <w:szCs w:val="24"/>
          <w:rtl/>
        </w:rPr>
        <w:t>בשני</w:t>
      </w:r>
      <w:r w:rsidR="00D34F9C" w:rsidRPr="006946E4">
        <w:rPr>
          <w:rFonts w:cs="David"/>
          <w:sz w:val="24"/>
          <w:szCs w:val="24"/>
          <w:rtl/>
        </w:rPr>
        <w:t xml:space="preserve"> </w:t>
      </w:r>
      <w:r w:rsidR="00D34F9C" w:rsidRPr="006946E4">
        <w:rPr>
          <w:rFonts w:cs="David" w:hint="eastAsia"/>
          <w:sz w:val="24"/>
          <w:szCs w:val="24"/>
          <w:rtl/>
        </w:rPr>
        <w:t>היבטים</w:t>
      </w:r>
      <w:r w:rsidR="00D34F9C" w:rsidRPr="006946E4">
        <w:rPr>
          <w:rFonts w:cs="David"/>
          <w:sz w:val="24"/>
          <w:szCs w:val="24"/>
          <w:rtl/>
        </w:rPr>
        <w:t xml:space="preserve"> </w:t>
      </w:r>
      <w:r w:rsidR="00D34F9C" w:rsidRPr="006946E4">
        <w:rPr>
          <w:rFonts w:cs="David" w:hint="eastAsia"/>
          <w:sz w:val="24"/>
          <w:szCs w:val="24"/>
          <w:rtl/>
        </w:rPr>
        <w:t>של</w:t>
      </w:r>
      <w:r w:rsidR="00D34F9C" w:rsidRPr="006946E4">
        <w:rPr>
          <w:rFonts w:cs="David"/>
          <w:sz w:val="24"/>
          <w:szCs w:val="24"/>
          <w:rtl/>
        </w:rPr>
        <w:t xml:space="preserve"> </w:t>
      </w:r>
      <w:r w:rsidR="00D34F9C" w:rsidRPr="006946E4">
        <w:rPr>
          <w:rFonts w:cs="David" w:hint="eastAsia"/>
          <w:sz w:val="24"/>
          <w:szCs w:val="24"/>
          <w:rtl/>
        </w:rPr>
        <w:t>אותה</w:t>
      </w:r>
      <w:r w:rsidR="00D34F9C" w:rsidRPr="006946E4">
        <w:rPr>
          <w:rFonts w:cs="David"/>
          <w:sz w:val="24"/>
          <w:szCs w:val="24"/>
          <w:rtl/>
        </w:rPr>
        <w:t xml:space="preserve"> </w:t>
      </w:r>
      <w:r w:rsidR="00D34F9C" w:rsidRPr="006946E4">
        <w:rPr>
          <w:rFonts w:cs="David" w:hint="eastAsia"/>
          <w:sz w:val="24"/>
          <w:szCs w:val="24"/>
          <w:rtl/>
        </w:rPr>
        <w:t>תופעה</w:t>
      </w:r>
      <w:r w:rsidR="00D34F9C" w:rsidRPr="006946E4">
        <w:rPr>
          <w:rFonts w:cs="David"/>
          <w:sz w:val="24"/>
          <w:szCs w:val="24"/>
          <w:rtl/>
        </w:rPr>
        <w:t xml:space="preserve"> </w:t>
      </w:r>
      <w:r w:rsidR="00D34F9C" w:rsidRPr="006946E4">
        <w:rPr>
          <w:rFonts w:cs="David" w:hint="eastAsia"/>
          <w:sz w:val="24"/>
          <w:szCs w:val="24"/>
          <w:rtl/>
        </w:rPr>
        <w:t>דתית</w:t>
      </w:r>
      <w:r w:rsidR="00231FA1">
        <w:rPr>
          <w:rFonts w:cs="David" w:hint="cs"/>
          <w:sz w:val="24"/>
          <w:szCs w:val="24"/>
          <w:rtl/>
        </w:rPr>
        <w:t>.</w:t>
      </w:r>
    </w:p>
    <w:p w:rsidR="00B060D2" w:rsidRDefault="00231FA1" w:rsidP="00B510D0">
      <w:pPr>
        <w:spacing w:after="120" w:line="360" w:lineRule="auto"/>
        <w:jc w:val="both"/>
        <w:rPr>
          <w:rFonts w:cs="David"/>
          <w:sz w:val="24"/>
          <w:szCs w:val="24"/>
          <w:rtl/>
        </w:rPr>
      </w:pPr>
      <w:r w:rsidRPr="006946E4">
        <w:rPr>
          <w:rFonts w:cs="David" w:hint="eastAsia"/>
          <w:sz w:val="24"/>
          <w:szCs w:val="24"/>
          <w:u w:val="single"/>
          <w:rtl/>
        </w:rPr>
        <w:t>בכל</w:t>
      </w:r>
      <w:r w:rsidRPr="006946E4">
        <w:rPr>
          <w:rFonts w:cs="David"/>
          <w:sz w:val="24"/>
          <w:szCs w:val="24"/>
          <w:u w:val="single"/>
          <w:rtl/>
        </w:rPr>
        <w:t xml:space="preserve"> מקרה, </w:t>
      </w:r>
      <w:r w:rsidRPr="006946E4">
        <w:rPr>
          <w:rFonts w:cs="David" w:hint="eastAsia"/>
          <w:sz w:val="24"/>
          <w:szCs w:val="24"/>
          <w:u w:val="single"/>
          <w:rtl/>
        </w:rPr>
        <w:t>מתן</w:t>
      </w:r>
      <w:r w:rsidRPr="006946E4">
        <w:rPr>
          <w:rFonts w:cs="David"/>
          <w:sz w:val="24"/>
          <w:szCs w:val="24"/>
          <w:u w:val="single"/>
          <w:rtl/>
        </w:rPr>
        <w:t xml:space="preserve"> </w:t>
      </w:r>
      <w:r w:rsidRPr="006946E4">
        <w:rPr>
          <w:rFonts w:cs="David" w:hint="eastAsia"/>
          <w:sz w:val="24"/>
          <w:szCs w:val="24"/>
          <w:u w:val="single"/>
          <w:rtl/>
        </w:rPr>
        <w:t>היתר</w:t>
      </w:r>
      <w:r w:rsidRPr="006946E4">
        <w:rPr>
          <w:rFonts w:cs="David"/>
          <w:sz w:val="24"/>
          <w:szCs w:val="24"/>
          <w:u w:val="single"/>
          <w:rtl/>
        </w:rPr>
        <w:t xml:space="preserve"> </w:t>
      </w:r>
      <w:r w:rsidRPr="006946E4">
        <w:rPr>
          <w:rFonts w:cs="David" w:hint="eastAsia"/>
          <w:sz w:val="24"/>
          <w:szCs w:val="24"/>
          <w:u w:val="single"/>
          <w:rtl/>
        </w:rPr>
        <w:t>שכזה</w:t>
      </w:r>
      <w:r w:rsidRPr="006946E4">
        <w:rPr>
          <w:rFonts w:cs="David"/>
          <w:sz w:val="24"/>
          <w:szCs w:val="24"/>
          <w:u w:val="single"/>
          <w:rtl/>
        </w:rPr>
        <w:t xml:space="preserve"> </w:t>
      </w:r>
      <w:r w:rsidRPr="006946E4">
        <w:rPr>
          <w:rFonts w:cs="David" w:hint="eastAsia"/>
          <w:sz w:val="24"/>
          <w:szCs w:val="24"/>
          <w:u w:val="single"/>
          <w:rtl/>
        </w:rPr>
        <w:t>הוא</w:t>
      </w:r>
      <w:r w:rsidRPr="006946E4">
        <w:rPr>
          <w:rFonts w:cs="David"/>
          <w:sz w:val="24"/>
          <w:szCs w:val="24"/>
          <w:u w:val="single"/>
          <w:rtl/>
        </w:rPr>
        <w:t xml:space="preserve"> </w:t>
      </w:r>
      <w:r w:rsidRPr="006946E4">
        <w:rPr>
          <w:rFonts w:cs="David" w:hint="eastAsia"/>
          <w:sz w:val="24"/>
          <w:szCs w:val="24"/>
          <w:u w:val="single"/>
          <w:rtl/>
        </w:rPr>
        <w:t>עניין</w:t>
      </w:r>
      <w:r w:rsidRPr="006946E4">
        <w:rPr>
          <w:rFonts w:cs="David"/>
          <w:sz w:val="24"/>
          <w:szCs w:val="24"/>
          <w:u w:val="single"/>
          <w:rtl/>
        </w:rPr>
        <w:t xml:space="preserve"> </w:t>
      </w:r>
      <w:r w:rsidRPr="006946E4">
        <w:rPr>
          <w:rFonts w:cs="David" w:hint="eastAsia"/>
          <w:sz w:val="24"/>
          <w:szCs w:val="24"/>
          <w:u w:val="single"/>
          <w:rtl/>
        </w:rPr>
        <w:t>הלכתי</w:t>
      </w:r>
      <w:r w:rsidRPr="006946E4">
        <w:rPr>
          <w:rFonts w:cs="David"/>
          <w:sz w:val="24"/>
          <w:szCs w:val="24"/>
          <w:u w:val="single"/>
          <w:rtl/>
        </w:rPr>
        <w:t xml:space="preserve">, </w:t>
      </w:r>
      <w:r w:rsidRPr="006946E4">
        <w:rPr>
          <w:rFonts w:cs="David" w:hint="eastAsia"/>
          <w:sz w:val="24"/>
          <w:szCs w:val="24"/>
          <w:u w:val="single"/>
          <w:rtl/>
        </w:rPr>
        <w:t>שספק</w:t>
      </w:r>
      <w:r w:rsidRPr="006946E4">
        <w:rPr>
          <w:rFonts w:cs="David"/>
          <w:sz w:val="24"/>
          <w:szCs w:val="24"/>
          <w:u w:val="single"/>
          <w:rtl/>
        </w:rPr>
        <w:t xml:space="preserve"> </w:t>
      </w:r>
      <w:r w:rsidRPr="006946E4">
        <w:rPr>
          <w:rFonts w:cs="David" w:hint="eastAsia"/>
          <w:sz w:val="24"/>
          <w:szCs w:val="24"/>
          <w:u w:val="single"/>
          <w:rtl/>
        </w:rPr>
        <w:t>אם</w:t>
      </w:r>
      <w:r w:rsidRPr="006946E4">
        <w:rPr>
          <w:rFonts w:cs="David"/>
          <w:sz w:val="24"/>
          <w:szCs w:val="24"/>
          <w:u w:val="single"/>
          <w:rtl/>
        </w:rPr>
        <w:t xml:space="preserve"> </w:t>
      </w:r>
      <w:r w:rsidRPr="006946E4">
        <w:rPr>
          <w:rFonts w:cs="David" w:hint="eastAsia"/>
          <w:sz w:val="24"/>
          <w:szCs w:val="24"/>
          <w:u w:val="single"/>
          <w:rtl/>
        </w:rPr>
        <w:t>יש</w:t>
      </w:r>
      <w:r w:rsidRPr="006946E4">
        <w:rPr>
          <w:rFonts w:cs="David"/>
          <w:sz w:val="24"/>
          <w:szCs w:val="24"/>
          <w:u w:val="single"/>
          <w:rtl/>
        </w:rPr>
        <w:t xml:space="preserve"> </w:t>
      </w:r>
      <w:r w:rsidRPr="006946E4">
        <w:rPr>
          <w:rFonts w:cs="David" w:hint="eastAsia"/>
          <w:sz w:val="24"/>
          <w:szCs w:val="24"/>
          <w:u w:val="single"/>
          <w:rtl/>
        </w:rPr>
        <w:t>מקום</w:t>
      </w:r>
      <w:r w:rsidRPr="006946E4">
        <w:rPr>
          <w:rFonts w:cs="David"/>
          <w:sz w:val="24"/>
          <w:szCs w:val="24"/>
          <w:u w:val="single"/>
          <w:rtl/>
        </w:rPr>
        <w:t xml:space="preserve"> </w:t>
      </w:r>
      <w:r w:rsidRPr="006946E4">
        <w:rPr>
          <w:rFonts w:cs="David" w:hint="eastAsia"/>
          <w:sz w:val="24"/>
          <w:szCs w:val="24"/>
          <w:u w:val="single"/>
          <w:rtl/>
        </w:rPr>
        <w:t>שהמחוקק</w:t>
      </w:r>
      <w:r w:rsidRPr="006946E4">
        <w:rPr>
          <w:rFonts w:cs="David"/>
          <w:sz w:val="24"/>
          <w:szCs w:val="24"/>
          <w:u w:val="single"/>
          <w:rtl/>
        </w:rPr>
        <w:t xml:space="preserve"> </w:t>
      </w:r>
      <w:r w:rsidRPr="006946E4">
        <w:rPr>
          <w:rFonts w:cs="David" w:hint="eastAsia"/>
          <w:sz w:val="24"/>
          <w:szCs w:val="24"/>
          <w:u w:val="single"/>
          <w:rtl/>
        </w:rPr>
        <w:t>הוא</w:t>
      </w:r>
      <w:r w:rsidRPr="006946E4">
        <w:rPr>
          <w:rFonts w:cs="David"/>
          <w:sz w:val="24"/>
          <w:szCs w:val="24"/>
          <w:u w:val="single"/>
          <w:rtl/>
        </w:rPr>
        <w:t xml:space="preserve"> </w:t>
      </w:r>
      <w:r w:rsidRPr="006946E4">
        <w:rPr>
          <w:rFonts w:cs="David" w:hint="eastAsia"/>
          <w:sz w:val="24"/>
          <w:szCs w:val="24"/>
          <w:u w:val="single"/>
          <w:rtl/>
        </w:rPr>
        <w:t>זה</w:t>
      </w:r>
      <w:r w:rsidRPr="006946E4">
        <w:rPr>
          <w:rFonts w:cs="David"/>
          <w:sz w:val="24"/>
          <w:szCs w:val="24"/>
          <w:u w:val="single"/>
          <w:rtl/>
        </w:rPr>
        <w:t xml:space="preserve"> </w:t>
      </w:r>
      <w:r w:rsidRPr="006946E4">
        <w:rPr>
          <w:rFonts w:cs="David" w:hint="eastAsia"/>
          <w:sz w:val="24"/>
          <w:szCs w:val="24"/>
          <w:u w:val="single"/>
          <w:rtl/>
        </w:rPr>
        <w:t>שיסדיר</w:t>
      </w:r>
      <w:r w:rsidRPr="006946E4">
        <w:rPr>
          <w:rFonts w:cs="David"/>
          <w:sz w:val="24"/>
          <w:szCs w:val="24"/>
          <w:u w:val="single"/>
          <w:rtl/>
        </w:rPr>
        <w:t xml:space="preserve"> </w:t>
      </w:r>
      <w:r w:rsidRPr="006946E4">
        <w:rPr>
          <w:rFonts w:cs="David" w:hint="eastAsia"/>
          <w:sz w:val="24"/>
          <w:szCs w:val="24"/>
          <w:u w:val="single"/>
          <w:rtl/>
        </w:rPr>
        <w:t>אותו</w:t>
      </w:r>
      <w:r w:rsidRPr="006946E4">
        <w:rPr>
          <w:rFonts w:cs="David"/>
          <w:sz w:val="24"/>
          <w:szCs w:val="24"/>
          <w:rtl/>
        </w:rPr>
        <w:t>.</w:t>
      </w:r>
      <w:r w:rsidRPr="002A2A12">
        <w:rPr>
          <w:rFonts w:hint="cs"/>
          <w:rtl/>
        </w:rPr>
        <w:t xml:space="preserve"> </w:t>
      </w:r>
      <w:r w:rsidR="00B060D2" w:rsidRPr="006946E4">
        <w:rPr>
          <w:rFonts w:cs="David" w:hint="eastAsia"/>
          <w:b/>
          <w:bCs/>
          <w:sz w:val="24"/>
          <w:szCs w:val="24"/>
          <w:u w:val="single"/>
          <w:rtl/>
        </w:rPr>
        <w:t>נוכח</w:t>
      </w:r>
      <w:r w:rsidR="00B060D2" w:rsidRPr="006946E4">
        <w:rPr>
          <w:rFonts w:cs="David"/>
          <w:b/>
          <w:bCs/>
          <w:sz w:val="24"/>
          <w:szCs w:val="24"/>
          <w:u w:val="single"/>
          <w:rtl/>
        </w:rPr>
        <w:t xml:space="preserve"> </w:t>
      </w:r>
      <w:r w:rsidR="0051063F" w:rsidRPr="006946E4">
        <w:rPr>
          <w:rFonts w:cs="David" w:hint="eastAsia"/>
          <w:b/>
          <w:bCs/>
          <w:sz w:val="24"/>
          <w:szCs w:val="24"/>
          <w:u w:val="single"/>
          <w:rtl/>
        </w:rPr>
        <w:t>האמור</w:t>
      </w:r>
      <w:r w:rsidR="00B060D2" w:rsidRPr="006946E4">
        <w:rPr>
          <w:rFonts w:cs="David"/>
          <w:b/>
          <w:bCs/>
          <w:sz w:val="24"/>
          <w:szCs w:val="24"/>
          <w:u w:val="single"/>
          <w:rtl/>
        </w:rPr>
        <w:t xml:space="preserve">, מוצע </w:t>
      </w:r>
      <w:r w:rsidR="00D30D25" w:rsidRPr="006946E4">
        <w:rPr>
          <w:rFonts w:cs="David" w:hint="eastAsia"/>
          <w:b/>
          <w:bCs/>
          <w:sz w:val="24"/>
          <w:szCs w:val="24"/>
          <w:u w:val="single"/>
          <w:rtl/>
        </w:rPr>
        <w:t>למחוק</w:t>
      </w:r>
      <w:r w:rsidR="00D30D25" w:rsidRPr="006946E4">
        <w:rPr>
          <w:rFonts w:cs="David"/>
          <w:b/>
          <w:bCs/>
          <w:sz w:val="24"/>
          <w:szCs w:val="24"/>
          <w:u w:val="single"/>
          <w:rtl/>
        </w:rPr>
        <w:t xml:space="preserve"> מהצעת החוק את </w:t>
      </w:r>
      <w:r w:rsidR="00B060D2" w:rsidRPr="006946E4">
        <w:rPr>
          <w:rFonts w:cs="David" w:hint="eastAsia"/>
          <w:b/>
          <w:bCs/>
          <w:sz w:val="24"/>
          <w:szCs w:val="24"/>
          <w:u w:val="single"/>
          <w:rtl/>
        </w:rPr>
        <w:t>ההוראות</w:t>
      </w:r>
      <w:r w:rsidR="00B060D2" w:rsidRPr="006946E4">
        <w:rPr>
          <w:rFonts w:cs="David"/>
          <w:b/>
          <w:bCs/>
          <w:sz w:val="24"/>
          <w:szCs w:val="24"/>
          <w:u w:val="single"/>
          <w:rtl/>
        </w:rPr>
        <w:t xml:space="preserve"> </w:t>
      </w:r>
      <w:r w:rsidR="00B060D2" w:rsidRPr="006946E4">
        <w:rPr>
          <w:rFonts w:cs="David" w:hint="eastAsia"/>
          <w:b/>
          <w:bCs/>
          <w:sz w:val="24"/>
          <w:szCs w:val="24"/>
          <w:u w:val="single"/>
          <w:rtl/>
        </w:rPr>
        <w:t>שבסעיף</w:t>
      </w:r>
      <w:r w:rsidR="00B060D2" w:rsidRPr="006946E4">
        <w:rPr>
          <w:rFonts w:cs="David"/>
          <w:b/>
          <w:bCs/>
          <w:sz w:val="24"/>
          <w:szCs w:val="24"/>
          <w:u w:val="single"/>
          <w:rtl/>
        </w:rPr>
        <w:t xml:space="preserve"> 3(ג) </w:t>
      </w:r>
      <w:r w:rsidR="00B060D2" w:rsidRPr="006946E4">
        <w:rPr>
          <w:rFonts w:cs="David" w:hint="eastAsia"/>
          <w:b/>
          <w:bCs/>
          <w:sz w:val="24"/>
          <w:szCs w:val="24"/>
          <w:u w:val="single"/>
          <w:rtl/>
        </w:rPr>
        <w:t>ו</w:t>
      </w:r>
      <w:r w:rsidR="00B060D2" w:rsidRPr="006946E4">
        <w:rPr>
          <w:rFonts w:cs="David"/>
          <w:b/>
          <w:bCs/>
          <w:sz w:val="24"/>
          <w:szCs w:val="24"/>
          <w:u w:val="single"/>
          <w:rtl/>
        </w:rPr>
        <w:t>-(ה)</w:t>
      </w:r>
      <w:r w:rsidR="00B060D2" w:rsidRPr="00813A35">
        <w:rPr>
          <w:rFonts w:cs="David" w:hint="cs"/>
          <w:sz w:val="24"/>
          <w:szCs w:val="24"/>
          <w:rtl/>
        </w:rPr>
        <w:t>.</w:t>
      </w:r>
      <w:r w:rsidR="00294919">
        <w:rPr>
          <w:rFonts w:cs="David" w:hint="cs"/>
          <w:sz w:val="24"/>
          <w:szCs w:val="24"/>
          <w:rtl/>
        </w:rPr>
        <w:t xml:space="preserve"> </w:t>
      </w:r>
    </w:p>
    <w:p w:rsidR="00175F40" w:rsidRDefault="00175F40" w:rsidP="00035BFA">
      <w:pPr>
        <w:spacing w:after="0" w:line="360" w:lineRule="auto"/>
        <w:jc w:val="both"/>
        <w:rPr>
          <w:rFonts w:cs="David"/>
          <w:sz w:val="24"/>
          <w:szCs w:val="24"/>
          <w:rtl/>
        </w:rPr>
      </w:pPr>
    </w:p>
    <w:p w:rsidR="00035BFA" w:rsidRDefault="004A616D" w:rsidP="00AE3C5D">
      <w:pPr>
        <w:spacing w:after="120" w:line="240" w:lineRule="auto"/>
        <w:jc w:val="both"/>
        <w:rPr>
          <w:rFonts w:cs="David"/>
          <w:sz w:val="24"/>
          <w:szCs w:val="24"/>
          <w:rtl/>
        </w:rPr>
      </w:pPr>
      <w:r w:rsidRPr="00813A35">
        <w:rPr>
          <w:rFonts w:cs="David" w:hint="cs"/>
          <w:b/>
          <w:bCs/>
          <w:sz w:val="24"/>
          <w:szCs w:val="24"/>
          <w:rtl/>
        </w:rPr>
        <w:t>(</w:t>
      </w:r>
      <w:r w:rsidR="00AE3C5D">
        <w:rPr>
          <w:rFonts w:cs="David" w:hint="cs"/>
          <w:b/>
          <w:bCs/>
          <w:sz w:val="24"/>
          <w:szCs w:val="24"/>
          <w:rtl/>
        </w:rPr>
        <w:t>5</w:t>
      </w:r>
      <w:r w:rsidRPr="00813A35">
        <w:rPr>
          <w:rFonts w:cs="David" w:hint="cs"/>
          <w:b/>
          <w:bCs/>
          <w:sz w:val="24"/>
          <w:szCs w:val="24"/>
          <w:rtl/>
        </w:rPr>
        <w:t>) הסכמה של קטין, חסוי, פסול דין או נעדר</w:t>
      </w:r>
      <w:r w:rsidRPr="00813A35">
        <w:rPr>
          <w:rFonts w:cs="David" w:hint="cs"/>
          <w:sz w:val="24"/>
          <w:szCs w:val="24"/>
          <w:rtl/>
        </w:rPr>
        <w:t xml:space="preserve"> (סעיף קטן (ד)) </w:t>
      </w:r>
    </w:p>
    <w:p w:rsidR="00C508F4" w:rsidRPr="00485B82" w:rsidRDefault="00D9794B" w:rsidP="00521A3F">
      <w:pPr>
        <w:spacing w:after="120" w:line="360" w:lineRule="auto"/>
        <w:jc w:val="both"/>
        <w:rPr>
          <w:rFonts w:cs="David"/>
          <w:sz w:val="24"/>
          <w:szCs w:val="24"/>
          <w:rtl/>
        </w:rPr>
      </w:pPr>
      <w:r w:rsidRPr="00813A35">
        <w:rPr>
          <w:rFonts w:cs="David" w:hint="cs"/>
          <w:sz w:val="24"/>
          <w:szCs w:val="24"/>
          <w:rtl/>
        </w:rPr>
        <w:t xml:space="preserve">נוכח הדרישה </w:t>
      </w:r>
      <w:r w:rsidR="003A4EC3" w:rsidRPr="00813A35">
        <w:rPr>
          <w:rFonts w:cs="David" w:hint="cs"/>
          <w:sz w:val="24"/>
          <w:szCs w:val="24"/>
          <w:rtl/>
        </w:rPr>
        <w:t xml:space="preserve">להסכמה חופשית של </w:t>
      </w:r>
      <w:r w:rsidRPr="00813A35">
        <w:rPr>
          <w:rFonts w:cs="David" w:hint="cs"/>
          <w:sz w:val="24"/>
          <w:szCs w:val="24"/>
          <w:rtl/>
        </w:rPr>
        <w:t xml:space="preserve">שני </w:t>
      </w:r>
      <w:r w:rsidRPr="00485B82">
        <w:rPr>
          <w:rFonts w:cs="David" w:hint="cs"/>
          <w:sz w:val="24"/>
          <w:szCs w:val="24"/>
          <w:rtl/>
        </w:rPr>
        <w:t xml:space="preserve">הצדדים, </w:t>
      </w:r>
      <w:r w:rsidRPr="00485B82">
        <w:rPr>
          <w:rFonts w:cs="David" w:hint="cs"/>
          <w:sz w:val="24"/>
          <w:szCs w:val="24"/>
          <w:u w:val="single"/>
          <w:rtl/>
        </w:rPr>
        <w:t xml:space="preserve">ספק </w:t>
      </w:r>
      <w:r w:rsidR="00511113" w:rsidRPr="00485B82">
        <w:rPr>
          <w:rFonts w:cs="David" w:hint="cs"/>
          <w:sz w:val="24"/>
          <w:szCs w:val="24"/>
          <w:u w:val="single"/>
          <w:rtl/>
        </w:rPr>
        <w:t xml:space="preserve">אם </w:t>
      </w:r>
      <w:r w:rsidR="00DB5D67" w:rsidRPr="00485B82">
        <w:rPr>
          <w:rFonts w:cs="David" w:hint="cs"/>
          <w:sz w:val="24"/>
          <w:szCs w:val="24"/>
          <w:u w:val="single"/>
          <w:rtl/>
        </w:rPr>
        <w:t xml:space="preserve">יש מקום להעניק </w:t>
      </w:r>
      <w:r w:rsidR="00C508F4" w:rsidRPr="00485B82">
        <w:rPr>
          <w:rFonts w:cs="David" w:hint="cs"/>
          <w:sz w:val="24"/>
          <w:szCs w:val="24"/>
          <w:u w:val="single"/>
          <w:rtl/>
        </w:rPr>
        <w:t xml:space="preserve">לבתי הדין הרבניים סמכות לדון בעניינם של מי </w:t>
      </w:r>
      <w:r w:rsidR="00A6122F" w:rsidRPr="00485B82">
        <w:rPr>
          <w:rFonts w:cs="David" w:hint="cs"/>
          <w:sz w:val="24"/>
          <w:szCs w:val="24"/>
          <w:u w:val="single"/>
          <w:rtl/>
        </w:rPr>
        <w:t xml:space="preserve">שאינם יכולים לתת הסכמה </w:t>
      </w:r>
      <w:r w:rsidR="00DB5D67" w:rsidRPr="00485B82">
        <w:rPr>
          <w:rFonts w:cs="David" w:hint="cs"/>
          <w:sz w:val="24"/>
          <w:szCs w:val="24"/>
          <w:u w:val="single"/>
          <w:rtl/>
        </w:rPr>
        <w:t xml:space="preserve">חופשית </w:t>
      </w:r>
      <w:r w:rsidR="00A6122F" w:rsidRPr="00485B82">
        <w:rPr>
          <w:rFonts w:cs="David" w:hint="cs"/>
          <w:sz w:val="24"/>
          <w:szCs w:val="24"/>
          <w:u w:val="single"/>
          <w:rtl/>
        </w:rPr>
        <w:t xml:space="preserve">בעצמם. </w:t>
      </w:r>
      <w:r w:rsidR="00DB5D67" w:rsidRPr="00485B82">
        <w:rPr>
          <w:rFonts w:cs="David" w:hint="cs"/>
          <w:sz w:val="24"/>
          <w:szCs w:val="24"/>
          <w:u w:val="single"/>
          <w:rtl/>
        </w:rPr>
        <w:t>ה</w:t>
      </w:r>
      <w:r w:rsidR="00A6122F" w:rsidRPr="00485B82">
        <w:rPr>
          <w:rFonts w:cs="David" w:hint="cs"/>
          <w:sz w:val="24"/>
          <w:szCs w:val="24"/>
          <w:u w:val="single"/>
          <w:rtl/>
        </w:rPr>
        <w:t xml:space="preserve">ספק </w:t>
      </w:r>
      <w:r w:rsidR="00DB5D67" w:rsidRPr="00485B82">
        <w:rPr>
          <w:rFonts w:cs="David" w:hint="cs"/>
          <w:sz w:val="24"/>
          <w:szCs w:val="24"/>
          <w:u w:val="single"/>
          <w:rtl/>
        </w:rPr>
        <w:t xml:space="preserve">מתעצם בשל העובדה שמדובר </w:t>
      </w:r>
      <w:r w:rsidR="00A6122F" w:rsidRPr="00485B82">
        <w:rPr>
          <w:rFonts w:cs="David" w:hint="cs"/>
          <w:sz w:val="24"/>
          <w:szCs w:val="24"/>
          <w:u w:val="single"/>
          <w:rtl/>
        </w:rPr>
        <w:t>בגורמים מוחלשים</w:t>
      </w:r>
      <w:r w:rsidR="006B2778" w:rsidRPr="00485B82">
        <w:rPr>
          <w:rFonts w:cs="David" w:hint="cs"/>
          <w:sz w:val="24"/>
          <w:szCs w:val="24"/>
          <w:u w:val="single"/>
          <w:rtl/>
        </w:rPr>
        <w:t>,</w:t>
      </w:r>
      <w:r w:rsidR="00A6122F" w:rsidRPr="00485B82">
        <w:rPr>
          <w:rFonts w:cs="David" w:hint="cs"/>
          <w:sz w:val="24"/>
          <w:szCs w:val="24"/>
          <w:u w:val="single"/>
          <w:rtl/>
        </w:rPr>
        <w:t xml:space="preserve"> שהחוק האזרחי </w:t>
      </w:r>
      <w:r w:rsidR="00DB5D67" w:rsidRPr="00485B82">
        <w:rPr>
          <w:rFonts w:cs="David" w:hint="cs"/>
          <w:sz w:val="24"/>
          <w:szCs w:val="24"/>
          <w:u w:val="single"/>
          <w:rtl/>
        </w:rPr>
        <w:t>ה</w:t>
      </w:r>
      <w:r w:rsidR="00A6122F" w:rsidRPr="00485B82">
        <w:rPr>
          <w:rFonts w:cs="David" w:hint="cs"/>
          <w:sz w:val="24"/>
          <w:szCs w:val="24"/>
          <w:u w:val="single"/>
          <w:rtl/>
        </w:rPr>
        <w:t>עניק להם זכויות והגנות</w:t>
      </w:r>
      <w:r w:rsidR="00DB5D67" w:rsidRPr="00485B82">
        <w:rPr>
          <w:rFonts w:cs="David" w:hint="cs"/>
          <w:sz w:val="24"/>
          <w:szCs w:val="24"/>
          <w:u w:val="single"/>
          <w:rtl/>
        </w:rPr>
        <w:t xml:space="preserve">, שלא בהכרח יישמרו להם במקרה שהדיון יתקיים בפני בית הדין </w:t>
      </w:r>
      <w:r w:rsidR="00231FA1" w:rsidRPr="00485B82">
        <w:rPr>
          <w:rFonts w:cs="David" w:hint="cs"/>
          <w:sz w:val="24"/>
          <w:szCs w:val="24"/>
          <w:u w:val="single"/>
          <w:rtl/>
        </w:rPr>
        <w:t>הדתי</w:t>
      </w:r>
      <w:r w:rsidR="00E72EB4" w:rsidRPr="00485B82">
        <w:rPr>
          <w:rFonts w:cs="David" w:hint="cs"/>
          <w:sz w:val="24"/>
          <w:szCs w:val="24"/>
          <w:u w:val="single"/>
          <w:rtl/>
        </w:rPr>
        <w:t xml:space="preserve">, ומשכך, השלכות ההסכמה עלולות להיות </w:t>
      </w:r>
      <w:r w:rsidR="00E72EB4" w:rsidRPr="00485B82">
        <w:rPr>
          <w:rFonts w:cs="David" w:hint="cs"/>
          <w:sz w:val="24"/>
          <w:szCs w:val="24"/>
          <w:u w:val="single"/>
          <w:rtl/>
        </w:rPr>
        <w:lastRenderedPageBreak/>
        <w:t xml:space="preserve">מרחיקות לכת בעבורם יותר מהסכמה של </w:t>
      </w:r>
      <w:r w:rsidR="00231FA1" w:rsidRPr="00485B82">
        <w:rPr>
          <w:rFonts w:cs="David" w:hint="cs"/>
          <w:sz w:val="24"/>
          <w:szCs w:val="24"/>
          <w:u w:val="single"/>
          <w:rtl/>
        </w:rPr>
        <w:t>ב</w:t>
      </w:r>
      <w:r w:rsidR="008447A4" w:rsidRPr="00485B82">
        <w:rPr>
          <w:rFonts w:cs="David" w:hint="cs"/>
          <w:sz w:val="24"/>
          <w:szCs w:val="24"/>
          <w:u w:val="single"/>
          <w:rtl/>
        </w:rPr>
        <w:t>גיר כשיר</w:t>
      </w:r>
      <w:r w:rsidR="00E72EB4" w:rsidRPr="00485B82">
        <w:rPr>
          <w:rFonts w:cs="David" w:hint="cs"/>
          <w:sz w:val="24"/>
          <w:szCs w:val="24"/>
          <w:rtl/>
        </w:rPr>
        <w:t>.</w:t>
      </w:r>
      <w:r w:rsidR="00A6122F" w:rsidRPr="00485B82">
        <w:rPr>
          <w:rFonts w:cs="David" w:hint="cs"/>
          <w:sz w:val="24"/>
          <w:szCs w:val="24"/>
          <w:rtl/>
        </w:rPr>
        <w:t xml:space="preserve"> </w:t>
      </w:r>
      <w:r w:rsidR="00C508F4" w:rsidRPr="00485B82">
        <w:rPr>
          <w:rFonts w:cs="David" w:hint="cs"/>
          <w:sz w:val="24"/>
          <w:szCs w:val="24"/>
          <w:rtl/>
        </w:rPr>
        <w:t xml:space="preserve">גם מינוי אפוטרופוס למתן הסכמה אין בו כדי לפתור את הקושי, שכן, נוכח העובדה שבתי הדין הרבניים סבורים כי קיים איסור דתי להתדיין בבתי המשפט האזרחיים, </w:t>
      </w:r>
      <w:r w:rsidR="00521A3F" w:rsidRPr="00485B82">
        <w:rPr>
          <w:rFonts w:cs="David" w:hint="cs"/>
          <w:sz w:val="24"/>
          <w:szCs w:val="24"/>
          <w:rtl/>
        </w:rPr>
        <w:t xml:space="preserve">מתעורר החשש </w:t>
      </w:r>
      <w:r w:rsidR="00C508F4" w:rsidRPr="00485B82">
        <w:rPr>
          <w:rFonts w:cs="David" w:hint="cs"/>
          <w:sz w:val="24"/>
          <w:szCs w:val="24"/>
          <w:rtl/>
        </w:rPr>
        <w:t xml:space="preserve">שבית הדין ימנה כאפוטרופוס </w:t>
      </w:r>
      <w:r w:rsidR="005626F9" w:rsidRPr="00485B82">
        <w:rPr>
          <w:rFonts w:cs="David" w:hint="cs"/>
          <w:sz w:val="24"/>
          <w:szCs w:val="24"/>
          <w:rtl/>
        </w:rPr>
        <w:t xml:space="preserve">רק </w:t>
      </w:r>
      <w:r w:rsidR="00C508F4" w:rsidRPr="00485B82">
        <w:rPr>
          <w:rFonts w:cs="David" w:hint="cs"/>
          <w:sz w:val="24"/>
          <w:szCs w:val="24"/>
          <w:rtl/>
        </w:rPr>
        <w:t xml:space="preserve">את מי </w:t>
      </w:r>
      <w:r w:rsidR="00521A3F" w:rsidRPr="00485B82">
        <w:rPr>
          <w:rFonts w:cs="David" w:hint="cs"/>
          <w:sz w:val="24"/>
          <w:szCs w:val="24"/>
          <w:rtl/>
        </w:rPr>
        <w:t xml:space="preserve">שהוא סבור </w:t>
      </w:r>
      <w:r w:rsidR="00C508F4" w:rsidRPr="00485B82">
        <w:rPr>
          <w:rFonts w:cs="David" w:hint="cs"/>
          <w:sz w:val="24"/>
          <w:szCs w:val="24"/>
          <w:rtl/>
        </w:rPr>
        <w:t xml:space="preserve">שייתן את הסכמתו לסמכות בית הדין. </w:t>
      </w:r>
    </w:p>
    <w:p w:rsidR="00CA438D" w:rsidRDefault="006125F3" w:rsidP="00667CF3">
      <w:pPr>
        <w:spacing w:after="120" w:line="360" w:lineRule="auto"/>
        <w:jc w:val="both"/>
        <w:rPr>
          <w:rFonts w:cs="David"/>
          <w:sz w:val="24"/>
          <w:szCs w:val="24"/>
          <w:rtl/>
        </w:rPr>
      </w:pPr>
      <w:r w:rsidRPr="00485B82">
        <w:rPr>
          <w:rFonts w:cs="David" w:hint="cs"/>
          <w:sz w:val="24"/>
          <w:szCs w:val="24"/>
          <w:rtl/>
        </w:rPr>
        <w:t>לעניין זה, אנו סבורים כי לא ניתן לגזור גזירה</w:t>
      </w:r>
      <w:r>
        <w:rPr>
          <w:rFonts w:cs="David" w:hint="cs"/>
          <w:sz w:val="24"/>
          <w:szCs w:val="24"/>
          <w:rtl/>
        </w:rPr>
        <w:t xml:space="preserve"> שווה לענייננו מהאפשרות </w:t>
      </w:r>
      <w:r w:rsidR="00BF4FCB">
        <w:rPr>
          <w:rFonts w:cs="David" w:hint="cs"/>
          <w:sz w:val="24"/>
          <w:szCs w:val="24"/>
          <w:rtl/>
        </w:rPr>
        <w:t xml:space="preserve">הקיימת </w:t>
      </w:r>
      <w:r w:rsidR="00BF4FCB" w:rsidRPr="00813A35">
        <w:rPr>
          <w:rFonts w:cs="David" w:hint="cs"/>
          <w:sz w:val="24"/>
          <w:szCs w:val="24"/>
          <w:rtl/>
        </w:rPr>
        <w:t xml:space="preserve">בסעיף 155(ב) לחוק הירושה, התשכ"ה-1965 (להלן </w:t>
      </w:r>
      <w:r w:rsidR="00BF4FCB" w:rsidRPr="00813A35">
        <w:rPr>
          <w:rFonts w:cs="David"/>
          <w:sz w:val="24"/>
          <w:szCs w:val="24"/>
          <w:rtl/>
        </w:rPr>
        <w:t>–</w:t>
      </w:r>
      <w:r w:rsidR="00BF4FCB" w:rsidRPr="00813A35">
        <w:rPr>
          <w:rFonts w:cs="David" w:hint="cs"/>
          <w:sz w:val="24"/>
          <w:szCs w:val="24"/>
          <w:rtl/>
        </w:rPr>
        <w:t xml:space="preserve"> חוק הירושה)</w:t>
      </w:r>
      <w:r w:rsidR="00BF4FCB">
        <w:rPr>
          <w:rFonts w:cs="David" w:hint="cs"/>
          <w:sz w:val="24"/>
          <w:szCs w:val="24"/>
          <w:rtl/>
        </w:rPr>
        <w:t xml:space="preserve">, לתת </w:t>
      </w:r>
      <w:r w:rsidR="00CA438D" w:rsidRPr="00813A35">
        <w:rPr>
          <w:rFonts w:cs="David" w:hint="cs"/>
          <w:sz w:val="24"/>
          <w:szCs w:val="24"/>
          <w:rtl/>
        </w:rPr>
        <w:t xml:space="preserve">הסכמה </w:t>
      </w:r>
      <w:r w:rsidR="00BF4FCB">
        <w:rPr>
          <w:rFonts w:cs="David" w:hint="cs"/>
          <w:sz w:val="24"/>
          <w:szCs w:val="24"/>
          <w:rtl/>
        </w:rPr>
        <w:t xml:space="preserve">בידי אפוטרופוס </w:t>
      </w:r>
      <w:r w:rsidR="00CA438D" w:rsidRPr="00813A35">
        <w:rPr>
          <w:rFonts w:cs="David" w:hint="cs"/>
          <w:sz w:val="24"/>
          <w:szCs w:val="24"/>
          <w:rtl/>
        </w:rPr>
        <w:t>להתדיין בפני בית דין דתי</w:t>
      </w:r>
      <w:r w:rsidR="00BF4FCB">
        <w:rPr>
          <w:rFonts w:cs="David" w:hint="cs"/>
          <w:sz w:val="24"/>
          <w:szCs w:val="24"/>
          <w:rtl/>
        </w:rPr>
        <w:t xml:space="preserve"> בענייני ירושה</w:t>
      </w:r>
      <w:r w:rsidR="009620E3" w:rsidRPr="00813A35">
        <w:rPr>
          <w:rFonts w:cs="David" w:hint="cs"/>
          <w:sz w:val="24"/>
          <w:szCs w:val="24"/>
          <w:rtl/>
        </w:rPr>
        <w:t>.</w:t>
      </w:r>
      <w:r w:rsidR="009C5DC9" w:rsidRPr="00813A35">
        <w:rPr>
          <w:rFonts w:cs="David" w:hint="cs"/>
          <w:sz w:val="24"/>
          <w:szCs w:val="24"/>
          <w:rtl/>
        </w:rPr>
        <w:t xml:space="preserve"> </w:t>
      </w:r>
      <w:r w:rsidR="00BF4FCB">
        <w:rPr>
          <w:rFonts w:cs="David" w:hint="cs"/>
          <w:sz w:val="24"/>
          <w:szCs w:val="24"/>
          <w:rtl/>
        </w:rPr>
        <w:t xml:space="preserve">זאת, </w:t>
      </w:r>
      <w:r w:rsidR="00CA438D" w:rsidRPr="00813A35">
        <w:rPr>
          <w:rFonts w:cs="David" w:hint="cs"/>
          <w:sz w:val="24"/>
          <w:szCs w:val="24"/>
          <w:rtl/>
        </w:rPr>
        <w:t xml:space="preserve">נוכח העובדה שאפשרות זו מסויגת </w:t>
      </w:r>
      <w:r w:rsidR="00BF4FCB">
        <w:rPr>
          <w:rFonts w:cs="David" w:hint="cs"/>
          <w:sz w:val="24"/>
          <w:szCs w:val="24"/>
          <w:rtl/>
        </w:rPr>
        <w:t xml:space="preserve">על ידי הקביעה </w:t>
      </w:r>
      <w:r w:rsidR="009620E3" w:rsidRPr="00813A35">
        <w:rPr>
          <w:rFonts w:cs="David" w:hint="cs"/>
          <w:sz w:val="24"/>
          <w:szCs w:val="24"/>
          <w:rtl/>
        </w:rPr>
        <w:t xml:space="preserve">שאם בית הדין הדתי </w:t>
      </w:r>
      <w:r w:rsidR="00CA438D" w:rsidRPr="00813A35">
        <w:rPr>
          <w:rFonts w:cs="David" w:hint="cs"/>
          <w:sz w:val="24"/>
          <w:szCs w:val="24"/>
          <w:rtl/>
        </w:rPr>
        <w:t xml:space="preserve">מחיל </w:t>
      </w:r>
      <w:r w:rsidR="009620E3" w:rsidRPr="00813A35">
        <w:rPr>
          <w:rFonts w:cs="David" w:hint="cs"/>
          <w:sz w:val="24"/>
          <w:szCs w:val="24"/>
          <w:rtl/>
        </w:rPr>
        <w:t>על העניין את הדין הדתי</w:t>
      </w:r>
      <w:r w:rsidR="00CA438D" w:rsidRPr="00813A35">
        <w:rPr>
          <w:rFonts w:cs="David" w:hint="cs"/>
          <w:sz w:val="24"/>
          <w:szCs w:val="24"/>
          <w:rtl/>
        </w:rPr>
        <w:t xml:space="preserve"> שלפיו הוא נוהג</w:t>
      </w:r>
      <w:r w:rsidR="009620E3" w:rsidRPr="00813A35">
        <w:rPr>
          <w:rFonts w:cs="David" w:hint="cs"/>
          <w:sz w:val="24"/>
          <w:szCs w:val="24"/>
          <w:rtl/>
        </w:rPr>
        <w:t xml:space="preserve">, זכויות הירושה של קטין או פסול דין </w:t>
      </w:r>
      <w:r w:rsidR="00633D07" w:rsidRPr="006946E4">
        <w:rPr>
          <w:rFonts w:cs="David" w:hint="eastAsia"/>
          <w:sz w:val="24"/>
          <w:szCs w:val="24"/>
          <w:u w:val="single"/>
          <w:rtl/>
        </w:rPr>
        <w:t>לא</w:t>
      </w:r>
      <w:r w:rsidR="00633D07" w:rsidRPr="006946E4">
        <w:rPr>
          <w:rFonts w:cs="David"/>
          <w:sz w:val="24"/>
          <w:szCs w:val="24"/>
          <w:u w:val="single"/>
          <w:rtl/>
        </w:rPr>
        <w:t xml:space="preserve"> תהיינה </w:t>
      </w:r>
      <w:r w:rsidR="009620E3" w:rsidRPr="006946E4">
        <w:rPr>
          <w:rFonts w:cs="David" w:hint="eastAsia"/>
          <w:sz w:val="24"/>
          <w:szCs w:val="24"/>
          <w:u w:val="single"/>
          <w:rtl/>
        </w:rPr>
        <w:t>פחותות</w:t>
      </w:r>
      <w:r w:rsidR="009620E3" w:rsidRPr="006946E4">
        <w:rPr>
          <w:rFonts w:cs="David"/>
          <w:sz w:val="24"/>
          <w:szCs w:val="24"/>
          <w:u w:val="single"/>
          <w:rtl/>
        </w:rPr>
        <w:t xml:space="preserve"> </w:t>
      </w:r>
      <w:r w:rsidR="009620E3" w:rsidRPr="006946E4">
        <w:rPr>
          <w:rFonts w:cs="David" w:hint="eastAsia"/>
          <w:sz w:val="24"/>
          <w:szCs w:val="24"/>
          <w:u w:val="single"/>
          <w:rtl/>
        </w:rPr>
        <w:t>ממה</w:t>
      </w:r>
      <w:r w:rsidR="009620E3" w:rsidRPr="006946E4">
        <w:rPr>
          <w:rFonts w:cs="David"/>
          <w:sz w:val="24"/>
          <w:szCs w:val="24"/>
          <w:u w:val="single"/>
          <w:rtl/>
        </w:rPr>
        <w:t xml:space="preserve"> </w:t>
      </w:r>
      <w:r w:rsidR="009620E3" w:rsidRPr="006946E4">
        <w:rPr>
          <w:rFonts w:cs="David" w:hint="eastAsia"/>
          <w:sz w:val="24"/>
          <w:szCs w:val="24"/>
          <w:u w:val="single"/>
          <w:rtl/>
        </w:rPr>
        <w:t>שהיו</w:t>
      </w:r>
      <w:r w:rsidR="009620E3" w:rsidRPr="006946E4">
        <w:rPr>
          <w:rFonts w:cs="David"/>
          <w:sz w:val="24"/>
          <w:szCs w:val="24"/>
          <w:u w:val="single"/>
          <w:rtl/>
        </w:rPr>
        <w:t xml:space="preserve"> </w:t>
      </w:r>
      <w:r w:rsidR="009620E3" w:rsidRPr="006946E4">
        <w:rPr>
          <w:rFonts w:cs="David" w:hint="eastAsia"/>
          <w:sz w:val="24"/>
          <w:szCs w:val="24"/>
          <w:u w:val="single"/>
          <w:rtl/>
        </w:rPr>
        <w:t>לפי</w:t>
      </w:r>
      <w:r w:rsidR="009620E3" w:rsidRPr="006946E4">
        <w:rPr>
          <w:rFonts w:cs="David"/>
          <w:sz w:val="24"/>
          <w:szCs w:val="24"/>
          <w:u w:val="single"/>
          <w:rtl/>
        </w:rPr>
        <w:t xml:space="preserve"> </w:t>
      </w:r>
      <w:r w:rsidR="009620E3" w:rsidRPr="006946E4">
        <w:rPr>
          <w:rFonts w:cs="David" w:hint="eastAsia"/>
          <w:sz w:val="24"/>
          <w:szCs w:val="24"/>
          <w:u w:val="single"/>
          <w:rtl/>
        </w:rPr>
        <w:t>חוק</w:t>
      </w:r>
      <w:r w:rsidR="009620E3" w:rsidRPr="006946E4">
        <w:rPr>
          <w:rFonts w:cs="David"/>
          <w:sz w:val="24"/>
          <w:szCs w:val="24"/>
          <w:u w:val="single"/>
          <w:rtl/>
        </w:rPr>
        <w:t xml:space="preserve"> </w:t>
      </w:r>
      <w:r w:rsidR="009620E3" w:rsidRPr="006946E4">
        <w:rPr>
          <w:rFonts w:cs="David" w:hint="eastAsia"/>
          <w:sz w:val="24"/>
          <w:szCs w:val="24"/>
          <w:u w:val="single"/>
          <w:rtl/>
        </w:rPr>
        <w:t>הירושה</w:t>
      </w:r>
      <w:r w:rsidR="00CA438D" w:rsidRPr="00813A35">
        <w:rPr>
          <w:rFonts w:cs="David" w:hint="cs"/>
          <w:sz w:val="24"/>
          <w:szCs w:val="24"/>
          <w:rtl/>
        </w:rPr>
        <w:t xml:space="preserve"> (סעיף 155(ג) לחוק הירושה)</w:t>
      </w:r>
      <w:r w:rsidR="009620E3" w:rsidRPr="00813A35">
        <w:rPr>
          <w:rFonts w:cs="David" w:hint="cs"/>
          <w:sz w:val="24"/>
          <w:szCs w:val="24"/>
          <w:rtl/>
        </w:rPr>
        <w:t xml:space="preserve">. דהיינו: המחוקק הבטיח </w:t>
      </w:r>
      <w:r w:rsidR="00CA438D" w:rsidRPr="00813A35">
        <w:rPr>
          <w:rFonts w:cs="David" w:hint="cs"/>
          <w:sz w:val="24"/>
          <w:szCs w:val="24"/>
          <w:rtl/>
        </w:rPr>
        <w:t>ש</w:t>
      </w:r>
      <w:r w:rsidR="009620E3" w:rsidRPr="00813A35">
        <w:rPr>
          <w:rFonts w:cs="David" w:hint="cs"/>
          <w:sz w:val="24"/>
          <w:szCs w:val="24"/>
          <w:rtl/>
        </w:rPr>
        <w:t xml:space="preserve">גורמים מוחלשים </w:t>
      </w:r>
      <w:r w:rsidR="00CA438D" w:rsidRPr="00813A35">
        <w:rPr>
          <w:rFonts w:cs="David" w:hint="cs"/>
          <w:sz w:val="24"/>
          <w:szCs w:val="24"/>
          <w:rtl/>
        </w:rPr>
        <w:t xml:space="preserve">שיסכימו </w:t>
      </w:r>
      <w:r w:rsidR="00CA438D" w:rsidRPr="00813A35">
        <w:rPr>
          <w:rFonts w:cs="David"/>
          <w:sz w:val="24"/>
          <w:szCs w:val="24"/>
          <w:rtl/>
        </w:rPr>
        <w:t>–</w:t>
      </w:r>
      <w:r w:rsidR="00CA438D" w:rsidRPr="00813A35">
        <w:rPr>
          <w:rFonts w:cs="David" w:hint="cs"/>
          <w:sz w:val="24"/>
          <w:szCs w:val="24"/>
          <w:rtl/>
        </w:rPr>
        <w:t xml:space="preserve"> באמצעות האפוטרופוס שלהם </w:t>
      </w:r>
      <w:r w:rsidR="00CA438D" w:rsidRPr="00813A35">
        <w:rPr>
          <w:rFonts w:cs="David"/>
          <w:sz w:val="24"/>
          <w:szCs w:val="24"/>
          <w:rtl/>
        </w:rPr>
        <w:t>–</w:t>
      </w:r>
      <w:r w:rsidR="00CA438D" w:rsidRPr="00813A35">
        <w:rPr>
          <w:rFonts w:cs="David" w:hint="cs"/>
          <w:sz w:val="24"/>
          <w:szCs w:val="24"/>
          <w:rtl/>
        </w:rPr>
        <w:t xml:space="preserve"> להתדיין בפני בית הדין הדתי, </w:t>
      </w:r>
      <w:r w:rsidR="009620E3" w:rsidRPr="00813A35">
        <w:rPr>
          <w:rFonts w:cs="David" w:hint="cs"/>
          <w:sz w:val="24"/>
          <w:szCs w:val="24"/>
          <w:rtl/>
        </w:rPr>
        <w:t xml:space="preserve">לא יינזקו מהסכמה </w:t>
      </w:r>
      <w:r w:rsidR="00CA438D" w:rsidRPr="00813A35">
        <w:rPr>
          <w:rFonts w:cs="David" w:hint="cs"/>
          <w:sz w:val="24"/>
          <w:szCs w:val="24"/>
          <w:rtl/>
        </w:rPr>
        <w:t>זו מבחינת תוכן ההסדרים שיחולו עליהם.</w:t>
      </w:r>
      <w:r w:rsidR="00D944BE" w:rsidRPr="00813A35">
        <w:rPr>
          <w:rFonts w:cs="David" w:hint="cs"/>
          <w:sz w:val="24"/>
          <w:szCs w:val="24"/>
          <w:rtl/>
        </w:rPr>
        <w:t xml:space="preserve"> </w:t>
      </w:r>
    </w:p>
    <w:p w:rsidR="00B63AE7" w:rsidRDefault="0055112B" w:rsidP="0055112B">
      <w:pPr>
        <w:spacing w:after="120" w:line="360" w:lineRule="auto"/>
        <w:jc w:val="both"/>
        <w:rPr>
          <w:rFonts w:cs="David"/>
          <w:sz w:val="24"/>
          <w:szCs w:val="24"/>
          <w:rtl/>
        </w:rPr>
      </w:pPr>
      <w:r w:rsidRPr="006946E4">
        <w:rPr>
          <w:rFonts w:cs="David" w:hint="eastAsia"/>
          <w:b/>
          <w:bCs/>
          <w:sz w:val="24"/>
          <w:szCs w:val="24"/>
          <w:u w:val="single"/>
          <w:rtl/>
        </w:rPr>
        <w:t>נוכח</w:t>
      </w:r>
      <w:r w:rsidRPr="006946E4">
        <w:rPr>
          <w:rFonts w:cs="David"/>
          <w:b/>
          <w:bCs/>
          <w:sz w:val="24"/>
          <w:szCs w:val="24"/>
          <w:u w:val="single"/>
          <w:rtl/>
        </w:rPr>
        <w:t xml:space="preserve"> </w:t>
      </w:r>
      <w:r w:rsidRPr="006946E4">
        <w:rPr>
          <w:rFonts w:cs="David" w:hint="eastAsia"/>
          <w:b/>
          <w:bCs/>
          <w:sz w:val="24"/>
          <w:szCs w:val="24"/>
          <w:u w:val="single"/>
          <w:rtl/>
        </w:rPr>
        <w:t>האמור</w:t>
      </w:r>
      <w:r w:rsidRPr="006946E4">
        <w:rPr>
          <w:rFonts w:cs="David"/>
          <w:b/>
          <w:bCs/>
          <w:sz w:val="24"/>
          <w:szCs w:val="24"/>
          <w:u w:val="single"/>
          <w:rtl/>
        </w:rPr>
        <w:t xml:space="preserve">, </w:t>
      </w:r>
      <w:r w:rsidRPr="006946E4">
        <w:rPr>
          <w:rFonts w:cs="David" w:hint="eastAsia"/>
          <w:b/>
          <w:bCs/>
          <w:sz w:val="24"/>
          <w:szCs w:val="24"/>
          <w:u w:val="single"/>
          <w:rtl/>
        </w:rPr>
        <w:t>מוצע</w:t>
      </w:r>
      <w:r w:rsidRPr="006946E4">
        <w:rPr>
          <w:rFonts w:cs="David"/>
          <w:b/>
          <w:bCs/>
          <w:sz w:val="24"/>
          <w:szCs w:val="24"/>
          <w:u w:val="single"/>
          <w:rtl/>
        </w:rPr>
        <w:t xml:space="preserve"> </w:t>
      </w:r>
      <w:r w:rsidRPr="006946E4">
        <w:rPr>
          <w:rFonts w:cs="David" w:hint="eastAsia"/>
          <w:b/>
          <w:bCs/>
          <w:sz w:val="24"/>
          <w:szCs w:val="24"/>
          <w:u w:val="single"/>
          <w:rtl/>
        </w:rPr>
        <w:t>למחוק</w:t>
      </w:r>
      <w:r w:rsidRPr="006946E4">
        <w:rPr>
          <w:rFonts w:cs="David"/>
          <w:b/>
          <w:bCs/>
          <w:sz w:val="24"/>
          <w:szCs w:val="24"/>
          <w:u w:val="single"/>
          <w:rtl/>
        </w:rPr>
        <w:t xml:space="preserve"> </w:t>
      </w:r>
      <w:r w:rsidRPr="006946E4">
        <w:rPr>
          <w:rFonts w:cs="David" w:hint="eastAsia"/>
          <w:b/>
          <w:bCs/>
          <w:sz w:val="24"/>
          <w:szCs w:val="24"/>
          <w:u w:val="single"/>
          <w:rtl/>
        </w:rPr>
        <w:t>את</w:t>
      </w:r>
      <w:r w:rsidRPr="006946E4">
        <w:rPr>
          <w:rFonts w:cs="David"/>
          <w:b/>
          <w:bCs/>
          <w:sz w:val="24"/>
          <w:szCs w:val="24"/>
          <w:u w:val="single"/>
          <w:rtl/>
        </w:rPr>
        <w:t xml:space="preserve"> </w:t>
      </w:r>
      <w:r w:rsidRPr="006946E4">
        <w:rPr>
          <w:rFonts w:cs="David" w:hint="eastAsia"/>
          <w:b/>
          <w:bCs/>
          <w:sz w:val="24"/>
          <w:szCs w:val="24"/>
          <w:u w:val="single"/>
          <w:rtl/>
        </w:rPr>
        <w:t>האפשרות</w:t>
      </w:r>
      <w:r w:rsidRPr="006946E4">
        <w:rPr>
          <w:rFonts w:cs="David"/>
          <w:b/>
          <w:bCs/>
          <w:sz w:val="24"/>
          <w:szCs w:val="24"/>
          <w:u w:val="single"/>
          <w:rtl/>
        </w:rPr>
        <w:t xml:space="preserve"> </w:t>
      </w:r>
      <w:r w:rsidRPr="006946E4">
        <w:rPr>
          <w:rFonts w:cs="David" w:hint="eastAsia"/>
          <w:b/>
          <w:bCs/>
          <w:sz w:val="24"/>
          <w:szCs w:val="24"/>
          <w:u w:val="single"/>
          <w:rtl/>
        </w:rPr>
        <w:t>למתן</w:t>
      </w:r>
      <w:r w:rsidRPr="006946E4">
        <w:rPr>
          <w:rFonts w:cs="David"/>
          <w:b/>
          <w:bCs/>
          <w:sz w:val="24"/>
          <w:szCs w:val="24"/>
          <w:u w:val="single"/>
          <w:rtl/>
        </w:rPr>
        <w:t xml:space="preserve"> </w:t>
      </w:r>
      <w:r w:rsidRPr="006946E4">
        <w:rPr>
          <w:rFonts w:cs="David" w:hint="eastAsia"/>
          <w:b/>
          <w:bCs/>
          <w:sz w:val="24"/>
          <w:szCs w:val="24"/>
          <w:u w:val="single"/>
          <w:rtl/>
        </w:rPr>
        <w:t>הסכמה</w:t>
      </w:r>
      <w:r w:rsidRPr="006946E4">
        <w:rPr>
          <w:rFonts w:cs="David"/>
          <w:b/>
          <w:bCs/>
          <w:sz w:val="24"/>
          <w:szCs w:val="24"/>
          <w:u w:val="single"/>
          <w:rtl/>
        </w:rPr>
        <w:t xml:space="preserve"> </w:t>
      </w:r>
      <w:r w:rsidRPr="006946E4">
        <w:rPr>
          <w:rFonts w:cs="David" w:hint="eastAsia"/>
          <w:b/>
          <w:bCs/>
          <w:sz w:val="24"/>
          <w:szCs w:val="24"/>
          <w:u w:val="single"/>
          <w:rtl/>
        </w:rPr>
        <w:t>בידי</w:t>
      </w:r>
      <w:r w:rsidRPr="006946E4">
        <w:rPr>
          <w:rFonts w:cs="David"/>
          <w:b/>
          <w:bCs/>
          <w:sz w:val="24"/>
          <w:szCs w:val="24"/>
          <w:u w:val="single"/>
          <w:rtl/>
        </w:rPr>
        <w:t xml:space="preserve"> </w:t>
      </w:r>
      <w:r w:rsidRPr="006946E4">
        <w:rPr>
          <w:rFonts w:cs="David" w:hint="eastAsia"/>
          <w:b/>
          <w:bCs/>
          <w:sz w:val="24"/>
          <w:szCs w:val="24"/>
          <w:u w:val="single"/>
          <w:rtl/>
        </w:rPr>
        <w:t>אפוטרופוס</w:t>
      </w:r>
      <w:r w:rsidRPr="006946E4">
        <w:rPr>
          <w:rFonts w:cs="David"/>
          <w:b/>
          <w:bCs/>
          <w:sz w:val="24"/>
          <w:szCs w:val="24"/>
          <w:u w:val="single"/>
          <w:rtl/>
        </w:rPr>
        <w:t xml:space="preserve"> </w:t>
      </w:r>
      <w:r w:rsidRPr="006946E4">
        <w:rPr>
          <w:rFonts w:cs="David" w:hint="eastAsia"/>
          <w:b/>
          <w:bCs/>
          <w:sz w:val="24"/>
          <w:szCs w:val="24"/>
          <w:u w:val="single"/>
          <w:rtl/>
        </w:rPr>
        <w:t>עבור</w:t>
      </w:r>
      <w:r w:rsidRPr="006946E4">
        <w:rPr>
          <w:rFonts w:cs="David"/>
          <w:b/>
          <w:bCs/>
          <w:sz w:val="24"/>
          <w:szCs w:val="24"/>
          <w:u w:val="single"/>
          <w:rtl/>
        </w:rPr>
        <w:t xml:space="preserve"> </w:t>
      </w:r>
      <w:r w:rsidRPr="006946E4">
        <w:rPr>
          <w:rFonts w:cs="David" w:hint="eastAsia"/>
          <w:b/>
          <w:bCs/>
          <w:sz w:val="24"/>
          <w:szCs w:val="24"/>
          <w:u w:val="single"/>
          <w:rtl/>
        </w:rPr>
        <w:t>קטין</w:t>
      </w:r>
      <w:r w:rsidRPr="006946E4">
        <w:rPr>
          <w:rFonts w:cs="David"/>
          <w:b/>
          <w:bCs/>
          <w:sz w:val="24"/>
          <w:szCs w:val="24"/>
          <w:u w:val="single"/>
          <w:rtl/>
        </w:rPr>
        <w:t xml:space="preserve">, </w:t>
      </w:r>
      <w:r w:rsidRPr="006946E4">
        <w:rPr>
          <w:rFonts w:cs="David" w:hint="eastAsia"/>
          <w:b/>
          <w:bCs/>
          <w:sz w:val="24"/>
          <w:szCs w:val="24"/>
          <w:u w:val="single"/>
          <w:rtl/>
        </w:rPr>
        <w:t>חסוי</w:t>
      </w:r>
      <w:r w:rsidRPr="006946E4">
        <w:rPr>
          <w:rFonts w:cs="David"/>
          <w:b/>
          <w:bCs/>
          <w:sz w:val="24"/>
          <w:szCs w:val="24"/>
          <w:u w:val="single"/>
          <w:rtl/>
        </w:rPr>
        <w:t xml:space="preserve">, </w:t>
      </w:r>
      <w:r w:rsidRPr="006946E4">
        <w:rPr>
          <w:rFonts w:cs="David" w:hint="eastAsia"/>
          <w:b/>
          <w:bCs/>
          <w:sz w:val="24"/>
          <w:szCs w:val="24"/>
          <w:u w:val="single"/>
          <w:rtl/>
        </w:rPr>
        <w:t>פסול</w:t>
      </w:r>
      <w:r w:rsidRPr="006946E4">
        <w:rPr>
          <w:rFonts w:cs="David"/>
          <w:b/>
          <w:bCs/>
          <w:sz w:val="24"/>
          <w:szCs w:val="24"/>
          <w:u w:val="single"/>
          <w:rtl/>
        </w:rPr>
        <w:t xml:space="preserve"> </w:t>
      </w:r>
      <w:r w:rsidRPr="006946E4">
        <w:rPr>
          <w:rFonts w:cs="David" w:hint="eastAsia"/>
          <w:b/>
          <w:bCs/>
          <w:sz w:val="24"/>
          <w:szCs w:val="24"/>
          <w:u w:val="single"/>
          <w:rtl/>
        </w:rPr>
        <w:t>דין</w:t>
      </w:r>
      <w:r w:rsidRPr="006946E4">
        <w:rPr>
          <w:rFonts w:cs="David"/>
          <w:b/>
          <w:bCs/>
          <w:sz w:val="24"/>
          <w:szCs w:val="24"/>
          <w:u w:val="single"/>
          <w:rtl/>
        </w:rPr>
        <w:t xml:space="preserve"> </w:t>
      </w:r>
      <w:r w:rsidRPr="006946E4">
        <w:rPr>
          <w:rFonts w:cs="David" w:hint="eastAsia"/>
          <w:b/>
          <w:bCs/>
          <w:sz w:val="24"/>
          <w:szCs w:val="24"/>
          <w:u w:val="single"/>
          <w:rtl/>
        </w:rPr>
        <w:t>או</w:t>
      </w:r>
      <w:r w:rsidRPr="006946E4">
        <w:rPr>
          <w:rFonts w:cs="David"/>
          <w:b/>
          <w:bCs/>
          <w:sz w:val="24"/>
          <w:szCs w:val="24"/>
          <w:u w:val="single"/>
          <w:rtl/>
        </w:rPr>
        <w:t xml:space="preserve"> </w:t>
      </w:r>
      <w:r w:rsidRPr="006946E4">
        <w:rPr>
          <w:rFonts w:cs="David" w:hint="eastAsia"/>
          <w:b/>
          <w:bCs/>
          <w:sz w:val="24"/>
          <w:szCs w:val="24"/>
          <w:u w:val="single"/>
          <w:rtl/>
        </w:rPr>
        <w:t>נעדר</w:t>
      </w:r>
      <w:r>
        <w:rPr>
          <w:rFonts w:cs="David" w:hint="cs"/>
          <w:sz w:val="24"/>
          <w:szCs w:val="24"/>
          <w:rtl/>
        </w:rPr>
        <w:t>.</w:t>
      </w:r>
    </w:p>
    <w:p w:rsidR="00AB6F0A" w:rsidRDefault="00AB6F0A" w:rsidP="006903EE">
      <w:pPr>
        <w:spacing w:after="0" w:line="360" w:lineRule="auto"/>
        <w:jc w:val="both"/>
        <w:rPr>
          <w:rFonts w:cs="David"/>
          <w:color w:val="0070C0"/>
          <w:sz w:val="24"/>
          <w:szCs w:val="24"/>
          <w:rtl/>
        </w:rPr>
      </w:pPr>
    </w:p>
    <w:p w:rsidR="00CF335C" w:rsidRPr="00E42098" w:rsidRDefault="00CF335C" w:rsidP="00CF335C">
      <w:pPr>
        <w:spacing w:after="120" w:line="240" w:lineRule="auto"/>
        <w:jc w:val="both"/>
        <w:rPr>
          <w:rFonts w:cs="David"/>
          <w:b/>
          <w:bCs/>
          <w:sz w:val="24"/>
          <w:szCs w:val="24"/>
          <w:u w:val="single"/>
          <w:rtl/>
        </w:rPr>
      </w:pPr>
      <w:r w:rsidRPr="00E42098">
        <w:rPr>
          <w:rFonts w:cs="David" w:hint="cs"/>
          <w:b/>
          <w:bCs/>
          <w:sz w:val="24"/>
          <w:szCs w:val="24"/>
          <w:u w:val="single"/>
          <w:rtl/>
        </w:rPr>
        <w:t xml:space="preserve">סעיף 4 להצעת החוק </w:t>
      </w:r>
      <w:r w:rsidRPr="00E42098">
        <w:rPr>
          <w:rFonts w:cs="David"/>
          <w:b/>
          <w:bCs/>
          <w:sz w:val="24"/>
          <w:szCs w:val="24"/>
          <w:u w:val="single"/>
          <w:rtl/>
        </w:rPr>
        <w:t>–</w:t>
      </w:r>
      <w:r w:rsidRPr="00E42098">
        <w:rPr>
          <w:rFonts w:cs="David" w:hint="cs"/>
          <w:b/>
          <w:bCs/>
          <w:sz w:val="24"/>
          <w:szCs w:val="24"/>
          <w:u w:val="single"/>
          <w:rtl/>
        </w:rPr>
        <w:t xml:space="preserve"> תחולת הדין הדתי</w:t>
      </w:r>
    </w:p>
    <w:tbl>
      <w:tblPr>
        <w:tblStyle w:val="a7"/>
        <w:bidiVisual/>
        <w:tblW w:w="0" w:type="auto"/>
        <w:tblLook w:val="04A0" w:firstRow="1" w:lastRow="0" w:firstColumn="1" w:lastColumn="0" w:noHBand="0" w:noVBand="1"/>
      </w:tblPr>
      <w:tblGrid>
        <w:gridCol w:w="8296"/>
      </w:tblGrid>
      <w:tr w:rsidR="00CF335C" w:rsidRPr="009C335B" w:rsidTr="00CF335C">
        <w:tc>
          <w:tcPr>
            <w:tcW w:w="8296" w:type="dxa"/>
          </w:tcPr>
          <w:p w:rsidR="00CF335C" w:rsidRPr="009C335B" w:rsidRDefault="00CF335C" w:rsidP="009C335B">
            <w:pPr>
              <w:spacing w:before="60" w:after="60"/>
              <w:jc w:val="both"/>
              <w:rPr>
                <w:rFonts w:ascii="Narkisim" w:hAnsi="Narkisim" w:cs="Narkisim"/>
                <w:color w:val="0070C0"/>
                <w:sz w:val="24"/>
                <w:szCs w:val="24"/>
                <w:rtl/>
              </w:rPr>
            </w:pPr>
            <w:r w:rsidRPr="009C335B">
              <w:rPr>
                <w:rFonts w:ascii="Narkisim" w:hAnsi="Narkisim" w:cs="Narkisim"/>
                <w:sz w:val="24"/>
                <w:szCs w:val="24"/>
                <w:rtl/>
              </w:rPr>
              <w:t>בלי לגרוע מסמכויות בית דין, בעניין שהובא בפני בית דין בהתאם לחוק זה רשאי בית הדין לדון ולפסוק לפי הדין הדתי שחל בו.</w:t>
            </w:r>
          </w:p>
        </w:tc>
      </w:tr>
    </w:tbl>
    <w:p w:rsidR="00CF335C" w:rsidRPr="007A1DAB" w:rsidRDefault="00F245EC" w:rsidP="002A2A12">
      <w:pPr>
        <w:spacing w:before="120" w:after="120" w:line="360" w:lineRule="auto"/>
        <w:jc w:val="both"/>
        <w:rPr>
          <w:rFonts w:cs="David"/>
          <w:sz w:val="24"/>
          <w:szCs w:val="24"/>
          <w:rtl/>
        </w:rPr>
      </w:pPr>
      <w:r w:rsidRPr="007A1DAB">
        <w:rPr>
          <w:rFonts w:cs="David" w:hint="cs"/>
          <w:sz w:val="24"/>
          <w:szCs w:val="24"/>
          <w:rtl/>
        </w:rPr>
        <w:t>מוצע לקבוע, כי בעניין שהובא להתדיינות בפני בית הדין בהתאם לחוק המוצע, בית הדין יהיה רשאי לדון ולפסוק לפי הדין הדתי שחל בו.</w:t>
      </w:r>
    </w:p>
    <w:p w:rsidR="00F245EC" w:rsidRPr="007A1DAB" w:rsidRDefault="00391A67" w:rsidP="002A2A12">
      <w:pPr>
        <w:spacing w:after="120" w:line="360" w:lineRule="auto"/>
        <w:jc w:val="both"/>
        <w:rPr>
          <w:rFonts w:cs="David"/>
          <w:sz w:val="24"/>
          <w:szCs w:val="24"/>
          <w:rtl/>
        </w:rPr>
      </w:pPr>
      <w:r w:rsidRPr="006946E4">
        <w:rPr>
          <w:rFonts w:cs="David" w:hint="eastAsia"/>
          <w:b/>
          <w:bCs/>
          <w:sz w:val="24"/>
          <w:szCs w:val="24"/>
          <w:u w:val="single"/>
          <w:rtl/>
        </w:rPr>
        <w:t>נקודה</w:t>
      </w:r>
      <w:r w:rsidRPr="006946E4">
        <w:rPr>
          <w:rFonts w:cs="David"/>
          <w:b/>
          <w:bCs/>
          <w:sz w:val="24"/>
          <w:szCs w:val="24"/>
          <w:u w:val="single"/>
          <w:rtl/>
        </w:rPr>
        <w:t xml:space="preserve"> </w:t>
      </w:r>
      <w:r w:rsidR="00F245EC" w:rsidRPr="006946E4">
        <w:rPr>
          <w:rFonts w:cs="David" w:hint="eastAsia"/>
          <w:b/>
          <w:bCs/>
          <w:sz w:val="24"/>
          <w:szCs w:val="24"/>
          <w:u w:val="single"/>
          <w:rtl/>
        </w:rPr>
        <w:t>לדיון</w:t>
      </w:r>
      <w:r w:rsidR="00F245EC" w:rsidRPr="007A1DAB">
        <w:rPr>
          <w:rFonts w:cs="David" w:hint="cs"/>
          <w:sz w:val="24"/>
          <w:szCs w:val="24"/>
          <w:rtl/>
        </w:rPr>
        <w:t>:</w:t>
      </w:r>
      <w:r>
        <w:rPr>
          <w:rFonts w:cs="David" w:hint="cs"/>
          <w:sz w:val="24"/>
          <w:szCs w:val="24"/>
          <w:rtl/>
        </w:rPr>
        <w:t xml:space="preserve"> כאמור לעיל, בהקשר זה מתעוררת שאלת המתח שבין הדין הדתי ועקרונות של שיטת משפט ליברלית מודרנית.</w:t>
      </w:r>
    </w:p>
    <w:p w:rsidR="00853FD8" w:rsidRDefault="00853FD8" w:rsidP="006903EE">
      <w:pPr>
        <w:spacing w:after="0" w:line="360" w:lineRule="auto"/>
        <w:jc w:val="both"/>
        <w:rPr>
          <w:rFonts w:cs="David"/>
          <w:color w:val="0070C0"/>
          <w:sz w:val="24"/>
          <w:szCs w:val="24"/>
          <w:rtl/>
        </w:rPr>
      </w:pPr>
    </w:p>
    <w:p w:rsidR="002B1596" w:rsidRPr="006A46A7" w:rsidRDefault="002B1596" w:rsidP="009C335B">
      <w:pPr>
        <w:spacing w:after="120" w:line="240" w:lineRule="auto"/>
        <w:jc w:val="both"/>
        <w:rPr>
          <w:rFonts w:cs="David"/>
          <w:b/>
          <w:bCs/>
          <w:sz w:val="24"/>
          <w:szCs w:val="24"/>
          <w:u w:val="single"/>
          <w:rtl/>
        </w:rPr>
      </w:pPr>
      <w:r w:rsidRPr="006A46A7">
        <w:rPr>
          <w:rFonts w:cs="David" w:hint="cs"/>
          <w:b/>
          <w:bCs/>
          <w:sz w:val="24"/>
          <w:szCs w:val="24"/>
          <w:u w:val="single"/>
          <w:rtl/>
        </w:rPr>
        <w:t xml:space="preserve">סעיף 5 להצעת החוק </w:t>
      </w:r>
      <w:r w:rsidRPr="006A46A7">
        <w:rPr>
          <w:rFonts w:cs="David"/>
          <w:b/>
          <w:bCs/>
          <w:sz w:val="24"/>
          <w:szCs w:val="24"/>
          <w:u w:val="single"/>
          <w:rtl/>
        </w:rPr>
        <w:t>–</w:t>
      </w:r>
      <w:r w:rsidRPr="006A46A7">
        <w:rPr>
          <w:rFonts w:cs="David" w:hint="cs"/>
          <w:b/>
          <w:bCs/>
          <w:sz w:val="24"/>
          <w:szCs w:val="24"/>
          <w:u w:val="single"/>
          <w:rtl/>
        </w:rPr>
        <w:t xml:space="preserve"> הוראות חוק הבוררות</w:t>
      </w:r>
    </w:p>
    <w:tbl>
      <w:tblPr>
        <w:tblStyle w:val="a7"/>
        <w:bidiVisual/>
        <w:tblW w:w="0" w:type="auto"/>
        <w:tblLook w:val="04A0" w:firstRow="1" w:lastRow="0" w:firstColumn="1" w:lastColumn="0" w:noHBand="0" w:noVBand="1"/>
      </w:tblPr>
      <w:tblGrid>
        <w:gridCol w:w="8296"/>
      </w:tblGrid>
      <w:tr w:rsidR="002B1596" w:rsidRPr="006A46A7" w:rsidTr="002B1596">
        <w:tc>
          <w:tcPr>
            <w:tcW w:w="8296" w:type="dxa"/>
          </w:tcPr>
          <w:p w:rsidR="002B1596" w:rsidRPr="006A46A7" w:rsidRDefault="002B1596" w:rsidP="009C335B">
            <w:pPr>
              <w:spacing w:before="60" w:after="60"/>
              <w:jc w:val="both"/>
              <w:rPr>
                <w:rFonts w:ascii="Narkisim" w:hAnsi="Narkisim" w:cs="Narkisim"/>
                <w:sz w:val="24"/>
                <w:szCs w:val="24"/>
                <w:rtl/>
              </w:rPr>
            </w:pPr>
            <w:r w:rsidRPr="006A46A7">
              <w:rPr>
                <w:rFonts w:ascii="Narkisim" w:hAnsi="Narkisim" w:cs="Narkisim"/>
                <w:sz w:val="24"/>
                <w:szCs w:val="24"/>
                <w:rtl/>
              </w:rPr>
              <w:t>על בוררות לפי חוק זה יחולו, בשינויים המחויבים, הוראות חוק הבוררות, התשכ"ח–1968, למעט סעיפים 31 עד 35, ככל שאין בהן סתירה להוראות חוק זה.</w:t>
            </w:r>
          </w:p>
        </w:tc>
      </w:tr>
    </w:tbl>
    <w:p w:rsidR="002B1596" w:rsidRPr="006A46A7" w:rsidRDefault="006A46A7" w:rsidP="00AE28C7">
      <w:pPr>
        <w:spacing w:before="120" w:after="120" w:line="360" w:lineRule="auto"/>
        <w:jc w:val="both"/>
        <w:rPr>
          <w:rFonts w:cs="David"/>
          <w:sz w:val="24"/>
          <w:szCs w:val="24"/>
          <w:rtl/>
        </w:rPr>
      </w:pPr>
      <w:r w:rsidRPr="006A46A7">
        <w:rPr>
          <w:rFonts w:cs="David" w:hint="cs"/>
          <w:sz w:val="24"/>
          <w:szCs w:val="24"/>
          <w:rtl/>
        </w:rPr>
        <w:t>מוצע לקבוע כי על בוררות בעניין אזרחי שתידון לפני בית הדין הדתי לפי החוק המוצע, יחולו הוראות חוק הבוררות, ככל שאין בהן סתירה להוראות החוק המוצע, למעט הוראות סעיפים 31 עד 35 לחוק הבוררות, שעניינם שכרו של הבורר.</w:t>
      </w:r>
    </w:p>
    <w:p w:rsidR="001F2D74" w:rsidRDefault="001F2D74" w:rsidP="006903EE">
      <w:pPr>
        <w:spacing w:after="0" w:line="360" w:lineRule="auto"/>
        <w:jc w:val="both"/>
        <w:rPr>
          <w:rFonts w:cs="David"/>
          <w:color w:val="0070C0"/>
          <w:sz w:val="24"/>
          <w:szCs w:val="24"/>
          <w:rtl/>
        </w:rPr>
      </w:pPr>
    </w:p>
    <w:p w:rsidR="009C335B" w:rsidRPr="00F71E68" w:rsidRDefault="009C335B" w:rsidP="009C335B">
      <w:pPr>
        <w:spacing w:after="120" w:line="240" w:lineRule="auto"/>
        <w:jc w:val="both"/>
        <w:rPr>
          <w:rFonts w:cs="David"/>
          <w:b/>
          <w:bCs/>
          <w:sz w:val="24"/>
          <w:szCs w:val="24"/>
          <w:u w:val="single"/>
          <w:rtl/>
        </w:rPr>
      </w:pPr>
      <w:r w:rsidRPr="00F71E68">
        <w:rPr>
          <w:rFonts w:cs="David" w:hint="cs"/>
          <w:b/>
          <w:bCs/>
          <w:sz w:val="24"/>
          <w:szCs w:val="24"/>
          <w:u w:val="single"/>
          <w:rtl/>
        </w:rPr>
        <w:t xml:space="preserve">סעיף 6 להצעת החוק </w:t>
      </w:r>
      <w:r w:rsidRPr="00F71E68">
        <w:rPr>
          <w:rFonts w:cs="David"/>
          <w:b/>
          <w:bCs/>
          <w:sz w:val="24"/>
          <w:szCs w:val="24"/>
          <w:u w:val="single"/>
          <w:rtl/>
        </w:rPr>
        <w:t>–</w:t>
      </w:r>
      <w:r w:rsidRPr="00F71E68">
        <w:rPr>
          <w:rFonts w:cs="David" w:hint="cs"/>
          <w:b/>
          <w:bCs/>
          <w:sz w:val="24"/>
          <w:szCs w:val="24"/>
          <w:u w:val="single"/>
          <w:rtl/>
        </w:rPr>
        <w:t xml:space="preserve"> תחולה והוראות מעבר</w:t>
      </w:r>
    </w:p>
    <w:tbl>
      <w:tblPr>
        <w:tblStyle w:val="a7"/>
        <w:bidiVisual/>
        <w:tblW w:w="0" w:type="auto"/>
        <w:tblLook w:val="04A0" w:firstRow="1" w:lastRow="0" w:firstColumn="1" w:lastColumn="0" w:noHBand="0" w:noVBand="1"/>
      </w:tblPr>
      <w:tblGrid>
        <w:gridCol w:w="8296"/>
      </w:tblGrid>
      <w:tr w:rsidR="009C335B" w:rsidRPr="00F71E68" w:rsidTr="009C335B">
        <w:tc>
          <w:tcPr>
            <w:tcW w:w="8296" w:type="dxa"/>
          </w:tcPr>
          <w:p w:rsidR="009C335B" w:rsidRPr="00F71E68" w:rsidRDefault="009C335B" w:rsidP="009C335B">
            <w:pPr>
              <w:pStyle w:val="TableBlock"/>
              <w:spacing w:before="60" w:after="60" w:line="240" w:lineRule="auto"/>
              <w:rPr>
                <w:rFonts w:ascii="Narkisim" w:hAnsi="Narkisim" w:cs="Narkisim"/>
                <w:color w:val="auto"/>
                <w:sz w:val="24"/>
                <w:szCs w:val="24"/>
              </w:rPr>
            </w:pPr>
            <w:r w:rsidRPr="00F71E68">
              <w:rPr>
                <w:rFonts w:ascii="Narkisim" w:hAnsi="Narkisim" w:cs="Narkisim"/>
                <w:color w:val="auto"/>
                <w:sz w:val="24"/>
                <w:szCs w:val="24"/>
                <w:rtl/>
              </w:rPr>
              <w:t>(א)</w:t>
            </w:r>
            <w:r w:rsidRPr="00F71E68">
              <w:rPr>
                <w:rFonts w:ascii="Narkisim" w:hAnsi="Narkisim" w:cs="Narkisim" w:hint="cs"/>
                <w:color w:val="auto"/>
                <w:sz w:val="24"/>
                <w:szCs w:val="24"/>
                <w:rtl/>
              </w:rPr>
              <w:t xml:space="preserve"> </w:t>
            </w:r>
            <w:r w:rsidRPr="00F71E68">
              <w:rPr>
                <w:rFonts w:ascii="Narkisim" w:hAnsi="Narkisim" w:cs="Narkisim"/>
                <w:color w:val="auto"/>
                <w:sz w:val="24"/>
                <w:szCs w:val="24"/>
                <w:rtl/>
              </w:rPr>
              <w:t>פסק בוררות שנתן בית דין דתי לפני תחילתו של חוק זה, שמתקיימים לגביו התנאים האמורים בסעיף 2 לחוק זה, יראו אותו כאילו ניתן לפי הוראות חוק זה.</w:t>
            </w:r>
          </w:p>
          <w:p w:rsidR="009C335B" w:rsidRPr="00F71E68" w:rsidRDefault="009C335B" w:rsidP="009C335B">
            <w:pPr>
              <w:pStyle w:val="TableBlock"/>
              <w:spacing w:before="60" w:after="60" w:line="240" w:lineRule="auto"/>
              <w:rPr>
                <w:rFonts w:ascii="Narkisim" w:hAnsi="Narkisim" w:cs="Narkisim"/>
                <w:color w:val="auto"/>
                <w:sz w:val="24"/>
                <w:szCs w:val="24"/>
              </w:rPr>
            </w:pPr>
            <w:r w:rsidRPr="00F71E68">
              <w:rPr>
                <w:rFonts w:ascii="Narkisim" w:hAnsi="Narkisim" w:cs="Narkisim"/>
                <w:color w:val="auto"/>
                <w:sz w:val="24"/>
                <w:szCs w:val="24"/>
                <w:rtl/>
              </w:rPr>
              <w:t>(ב)</w:t>
            </w:r>
            <w:r w:rsidRPr="00F71E68">
              <w:rPr>
                <w:rFonts w:ascii="Narkisim" w:hAnsi="Narkisim" w:cs="Narkisim" w:hint="cs"/>
                <w:color w:val="auto"/>
                <w:sz w:val="24"/>
                <w:szCs w:val="24"/>
                <w:rtl/>
              </w:rPr>
              <w:t xml:space="preserve"> </w:t>
            </w:r>
            <w:r w:rsidRPr="00F71E68">
              <w:rPr>
                <w:rFonts w:ascii="Narkisim" w:hAnsi="Narkisim" w:cs="Narkisim"/>
                <w:color w:val="auto"/>
                <w:sz w:val="24"/>
                <w:szCs w:val="24"/>
                <w:rtl/>
              </w:rPr>
              <w:t>הוראות חוק זה יחולו גם על הליכי בוררות התלויים ועומדים לפני בית דין דתי ביום תחילתו של חוק זה.</w:t>
            </w:r>
          </w:p>
          <w:p w:rsidR="009C335B" w:rsidRPr="00F71E68" w:rsidRDefault="009C335B" w:rsidP="009C335B">
            <w:pPr>
              <w:spacing w:before="60" w:after="60"/>
              <w:jc w:val="both"/>
              <w:rPr>
                <w:rFonts w:ascii="Narkisim" w:hAnsi="Narkisim" w:cs="Narkisim"/>
                <w:sz w:val="24"/>
                <w:szCs w:val="24"/>
                <w:rtl/>
              </w:rPr>
            </w:pPr>
            <w:r w:rsidRPr="00F71E68">
              <w:rPr>
                <w:rFonts w:ascii="Narkisim" w:hAnsi="Narkisim" w:cs="Narkisim"/>
                <w:sz w:val="24"/>
                <w:szCs w:val="24"/>
                <w:rtl/>
              </w:rPr>
              <w:t>(ג)</w:t>
            </w:r>
            <w:r w:rsidRPr="00F71E68">
              <w:rPr>
                <w:rFonts w:ascii="Narkisim" w:hAnsi="Narkisim" w:cs="Narkisim" w:hint="cs"/>
                <w:sz w:val="24"/>
                <w:szCs w:val="24"/>
                <w:rtl/>
              </w:rPr>
              <w:t xml:space="preserve"> </w:t>
            </w:r>
            <w:r w:rsidRPr="00F71E68">
              <w:rPr>
                <w:rFonts w:ascii="Narkisim" w:hAnsi="Narkisim" w:cs="Narkisim"/>
                <w:sz w:val="24"/>
                <w:szCs w:val="24"/>
                <w:rtl/>
              </w:rPr>
              <w:t>הוראות חוק זה יחולו גם על הסכם אשר נערך לפני תחילתו של חוק זה ושנקבע בו שתתקיים בוררות בבית דין בעניין אזרחי.</w:t>
            </w:r>
          </w:p>
        </w:tc>
      </w:tr>
    </w:tbl>
    <w:p w:rsidR="009C335B" w:rsidRPr="00C7461A" w:rsidRDefault="006A46A7" w:rsidP="00AE28C7">
      <w:pPr>
        <w:spacing w:before="120" w:after="120" w:line="360" w:lineRule="auto"/>
        <w:jc w:val="both"/>
        <w:rPr>
          <w:rFonts w:cs="David"/>
          <w:sz w:val="24"/>
          <w:szCs w:val="24"/>
          <w:rtl/>
        </w:rPr>
      </w:pPr>
      <w:r w:rsidRPr="00F71E68">
        <w:rPr>
          <w:rFonts w:cs="David" w:hint="cs"/>
          <w:sz w:val="24"/>
          <w:szCs w:val="24"/>
          <w:rtl/>
        </w:rPr>
        <w:t xml:space="preserve">מוצע לקבוע הוראות מעבר, שיסדירו את מעמדם של פסקי בוררות שניתנו על ידי בתי דין דתיים לפני תחילתו של חוק זה, ושל הליכי בוררות שתלויים ועומדים לפני בית דין דתי ביום תחילתו של </w:t>
      </w:r>
      <w:r w:rsidRPr="00F71E68">
        <w:rPr>
          <w:rFonts w:cs="David" w:hint="cs"/>
          <w:sz w:val="24"/>
          <w:szCs w:val="24"/>
          <w:rtl/>
        </w:rPr>
        <w:lastRenderedPageBreak/>
        <w:t>החוק המוצע.</w:t>
      </w:r>
      <w:r w:rsidR="00160CF7" w:rsidRPr="00F71E68">
        <w:rPr>
          <w:rFonts w:cs="David" w:hint="cs"/>
          <w:sz w:val="24"/>
          <w:szCs w:val="24"/>
          <w:rtl/>
        </w:rPr>
        <w:t xml:space="preserve"> </w:t>
      </w:r>
      <w:r w:rsidR="00152FE4" w:rsidRPr="00F71E68">
        <w:rPr>
          <w:rFonts w:cs="David" w:hint="cs"/>
          <w:sz w:val="24"/>
          <w:szCs w:val="24"/>
          <w:rtl/>
        </w:rPr>
        <w:t xml:space="preserve">כן מוצע לקבוע כי הוראות החוק המוצע יחולו גם על הסכם שנערך לפני תחילתו של חוק </w:t>
      </w:r>
      <w:r w:rsidR="00152FE4" w:rsidRPr="00C7461A">
        <w:rPr>
          <w:rFonts w:cs="David" w:hint="cs"/>
          <w:sz w:val="24"/>
          <w:szCs w:val="24"/>
          <w:rtl/>
        </w:rPr>
        <w:t>זה ושנקבע שתתקיים בוררות בבית דין בעניין אזרחי.</w:t>
      </w:r>
    </w:p>
    <w:p w:rsidR="00152FE4" w:rsidRPr="00C7461A" w:rsidRDefault="00152FE4" w:rsidP="0086466E">
      <w:pPr>
        <w:spacing w:after="120" w:line="360" w:lineRule="auto"/>
        <w:jc w:val="both"/>
        <w:rPr>
          <w:rFonts w:cs="David"/>
          <w:sz w:val="24"/>
          <w:szCs w:val="24"/>
          <w:rtl/>
        </w:rPr>
      </w:pPr>
      <w:r w:rsidRPr="00C7461A">
        <w:rPr>
          <w:rFonts w:cs="David" w:hint="cs"/>
          <w:sz w:val="24"/>
          <w:szCs w:val="24"/>
          <w:u w:val="single"/>
          <w:rtl/>
        </w:rPr>
        <w:t>נקודות לדיון</w:t>
      </w:r>
      <w:r w:rsidRPr="00C7461A">
        <w:rPr>
          <w:rFonts w:cs="David" w:hint="cs"/>
          <w:sz w:val="24"/>
          <w:szCs w:val="24"/>
          <w:rtl/>
        </w:rPr>
        <w:t>:</w:t>
      </w:r>
    </w:p>
    <w:p w:rsidR="009E0ED7" w:rsidRDefault="00152FE4" w:rsidP="009E0ED7">
      <w:pPr>
        <w:spacing w:after="120" w:line="240" w:lineRule="auto"/>
        <w:jc w:val="both"/>
        <w:rPr>
          <w:rFonts w:cs="David"/>
          <w:sz w:val="24"/>
          <w:szCs w:val="24"/>
          <w:rtl/>
        </w:rPr>
      </w:pPr>
      <w:r w:rsidRPr="00C7461A">
        <w:rPr>
          <w:rFonts w:cs="David" w:hint="cs"/>
          <w:b/>
          <w:bCs/>
          <w:sz w:val="24"/>
          <w:szCs w:val="24"/>
          <w:rtl/>
        </w:rPr>
        <w:t>(1) פסקי בוררות שניתנו לפני תחילתו של חוק זה</w:t>
      </w:r>
      <w:r w:rsidRPr="00C7461A">
        <w:rPr>
          <w:rFonts w:cs="David" w:hint="cs"/>
          <w:sz w:val="24"/>
          <w:szCs w:val="24"/>
          <w:rtl/>
        </w:rPr>
        <w:t xml:space="preserve"> (סעיף קטן (א)) </w:t>
      </w:r>
    </w:p>
    <w:p w:rsidR="009C0063" w:rsidRDefault="004D000B" w:rsidP="009E0ED7">
      <w:pPr>
        <w:spacing w:after="120" w:line="360" w:lineRule="auto"/>
        <w:jc w:val="both"/>
        <w:rPr>
          <w:rFonts w:cs="David"/>
          <w:sz w:val="24"/>
          <w:szCs w:val="24"/>
          <w:rtl/>
        </w:rPr>
      </w:pPr>
      <w:r w:rsidRPr="00C7461A">
        <w:rPr>
          <w:rFonts w:cs="David" w:hint="cs"/>
          <w:sz w:val="24"/>
          <w:szCs w:val="24"/>
          <w:rtl/>
        </w:rPr>
        <w:t xml:space="preserve">חרף </w:t>
      </w:r>
      <w:r w:rsidR="00306C7D" w:rsidRPr="00C7461A">
        <w:rPr>
          <w:rFonts w:cs="David" w:hint="cs"/>
          <w:sz w:val="24"/>
          <w:szCs w:val="24"/>
          <w:rtl/>
        </w:rPr>
        <w:t xml:space="preserve">פסק הדין בעניין </w:t>
      </w:r>
      <w:r w:rsidR="0036304D" w:rsidRPr="0036304D">
        <w:rPr>
          <w:rFonts w:cs="David" w:hint="cs"/>
          <w:b/>
          <w:bCs/>
          <w:sz w:val="24"/>
          <w:szCs w:val="24"/>
          <w:rtl/>
        </w:rPr>
        <w:t xml:space="preserve">סימה </w:t>
      </w:r>
      <w:r w:rsidR="00306C7D" w:rsidRPr="0036304D">
        <w:rPr>
          <w:rFonts w:cs="David" w:hint="cs"/>
          <w:b/>
          <w:bCs/>
          <w:sz w:val="24"/>
          <w:szCs w:val="24"/>
          <w:rtl/>
        </w:rPr>
        <w:t>אמיר</w:t>
      </w:r>
      <w:r w:rsidR="00EB71A3" w:rsidRPr="00C7461A">
        <w:rPr>
          <w:rFonts w:cs="David" w:hint="cs"/>
          <w:sz w:val="24"/>
          <w:szCs w:val="24"/>
          <w:rtl/>
        </w:rPr>
        <w:t xml:space="preserve">, </w:t>
      </w:r>
      <w:r w:rsidRPr="00C7461A">
        <w:rPr>
          <w:rFonts w:cs="David" w:hint="cs"/>
          <w:sz w:val="24"/>
          <w:szCs w:val="24"/>
          <w:rtl/>
        </w:rPr>
        <w:t xml:space="preserve">בתי הדין הרבניים המשיכו לנהל הליכי בוררות </w:t>
      </w:r>
      <w:r w:rsidR="003272C1">
        <w:rPr>
          <w:rFonts w:cs="David" w:hint="cs"/>
          <w:sz w:val="24"/>
          <w:szCs w:val="24"/>
          <w:rtl/>
        </w:rPr>
        <w:t>בעניינים אזרחיים</w:t>
      </w:r>
      <w:r w:rsidR="0036304D">
        <w:rPr>
          <w:rFonts w:cs="David" w:hint="cs"/>
          <w:sz w:val="24"/>
          <w:szCs w:val="24"/>
          <w:rtl/>
        </w:rPr>
        <w:t xml:space="preserve">, דבר שעורר את </w:t>
      </w:r>
      <w:r w:rsidR="00CB0429" w:rsidRPr="00C7461A">
        <w:rPr>
          <w:rFonts w:cs="David" w:hint="cs"/>
          <w:sz w:val="24"/>
          <w:szCs w:val="24"/>
          <w:rtl/>
        </w:rPr>
        <w:t xml:space="preserve">שאלת תוקפם </w:t>
      </w:r>
      <w:r w:rsidR="00D13F98" w:rsidRPr="00C7461A">
        <w:rPr>
          <w:rFonts w:cs="David" w:hint="cs"/>
          <w:sz w:val="24"/>
          <w:szCs w:val="24"/>
          <w:rtl/>
        </w:rPr>
        <w:t>של פסק</w:t>
      </w:r>
      <w:r w:rsidR="00CB0429" w:rsidRPr="00C7461A">
        <w:rPr>
          <w:rFonts w:cs="David" w:hint="cs"/>
          <w:sz w:val="24"/>
          <w:szCs w:val="24"/>
          <w:rtl/>
        </w:rPr>
        <w:t>י</w:t>
      </w:r>
      <w:r w:rsidR="00D13F98" w:rsidRPr="00C7461A">
        <w:rPr>
          <w:rFonts w:cs="David" w:hint="cs"/>
          <w:sz w:val="24"/>
          <w:szCs w:val="24"/>
          <w:rtl/>
        </w:rPr>
        <w:t xml:space="preserve"> בוררות </w:t>
      </w:r>
      <w:r w:rsidR="0036304D">
        <w:rPr>
          <w:rFonts w:cs="David" w:hint="cs"/>
          <w:sz w:val="24"/>
          <w:szCs w:val="24"/>
          <w:rtl/>
        </w:rPr>
        <w:t>אלו</w:t>
      </w:r>
      <w:r w:rsidR="00D13F98" w:rsidRPr="00C7461A">
        <w:rPr>
          <w:rFonts w:cs="David" w:hint="cs"/>
          <w:sz w:val="24"/>
          <w:szCs w:val="24"/>
          <w:rtl/>
        </w:rPr>
        <w:t xml:space="preserve">. </w:t>
      </w:r>
      <w:r w:rsidR="00FE766A" w:rsidRPr="00C7461A">
        <w:rPr>
          <w:rFonts w:cs="David" w:hint="cs"/>
          <w:sz w:val="24"/>
          <w:szCs w:val="24"/>
          <w:rtl/>
        </w:rPr>
        <w:t>בית המשפט העליון קבע</w:t>
      </w:r>
      <w:r w:rsidR="00DB2000" w:rsidRPr="00C7461A">
        <w:rPr>
          <w:rStyle w:val="a5"/>
          <w:rFonts w:cs="David"/>
          <w:sz w:val="24"/>
          <w:szCs w:val="24"/>
          <w:rtl/>
        </w:rPr>
        <w:footnoteReference w:id="8"/>
      </w:r>
      <w:r w:rsidR="00FE766A" w:rsidRPr="00C7461A">
        <w:rPr>
          <w:rFonts w:cs="David" w:hint="cs"/>
          <w:sz w:val="24"/>
          <w:szCs w:val="24"/>
          <w:rtl/>
        </w:rPr>
        <w:t xml:space="preserve">, כי פסק בוררות שכזה אמנם אינו </w:t>
      </w:r>
      <w:r w:rsidR="00FE766A" w:rsidRPr="00C7461A">
        <w:rPr>
          <w:rFonts w:cs="David" w:hint="cs"/>
          <w:sz w:val="24"/>
          <w:szCs w:val="24"/>
          <w:u w:val="single"/>
          <w:rtl/>
        </w:rPr>
        <w:t>בטל מעיקרו</w:t>
      </w:r>
      <w:r w:rsidR="00FE766A" w:rsidRPr="00C7461A">
        <w:rPr>
          <w:rFonts w:cs="David" w:hint="cs"/>
          <w:sz w:val="24"/>
          <w:szCs w:val="24"/>
          <w:rtl/>
        </w:rPr>
        <w:t xml:space="preserve"> אך הוא </w:t>
      </w:r>
      <w:r w:rsidR="00FE766A" w:rsidRPr="00C7461A">
        <w:rPr>
          <w:rFonts w:cs="David" w:hint="cs"/>
          <w:sz w:val="24"/>
          <w:szCs w:val="24"/>
          <w:u w:val="single"/>
          <w:rtl/>
        </w:rPr>
        <w:t>ניתן לביטול</w:t>
      </w:r>
      <w:r w:rsidR="00FE766A" w:rsidRPr="00C7461A">
        <w:rPr>
          <w:rFonts w:cs="David" w:hint="cs"/>
          <w:sz w:val="24"/>
          <w:szCs w:val="24"/>
          <w:rtl/>
        </w:rPr>
        <w:t xml:space="preserve"> בטענת חוסר סמכות לפי סעיף 24(2) ו-(3) לחוק הבוררות</w:t>
      </w:r>
      <w:r w:rsidR="00465145" w:rsidRPr="00C7461A">
        <w:rPr>
          <w:rFonts w:cs="David" w:hint="cs"/>
          <w:sz w:val="24"/>
          <w:szCs w:val="24"/>
          <w:rtl/>
        </w:rPr>
        <w:t xml:space="preserve">, בכפוף לעקרונות של מניעות, השתק וחוסר תום לב. ואמנם, </w:t>
      </w:r>
      <w:r w:rsidR="0036304D">
        <w:rPr>
          <w:rFonts w:cs="David" w:hint="cs"/>
          <w:sz w:val="24"/>
          <w:szCs w:val="24"/>
          <w:rtl/>
        </w:rPr>
        <w:t>במקרים מסוימים</w:t>
      </w:r>
      <w:r w:rsidR="00465145" w:rsidRPr="00C7461A">
        <w:rPr>
          <w:rFonts w:cs="David" w:hint="cs"/>
          <w:sz w:val="24"/>
          <w:szCs w:val="24"/>
          <w:rtl/>
        </w:rPr>
        <w:t xml:space="preserve"> ב</w:t>
      </w:r>
      <w:r w:rsidR="0036304D">
        <w:rPr>
          <w:rFonts w:cs="David" w:hint="cs"/>
          <w:sz w:val="24"/>
          <w:szCs w:val="24"/>
          <w:rtl/>
        </w:rPr>
        <w:t>י</w:t>
      </w:r>
      <w:r w:rsidR="00465145" w:rsidRPr="00C7461A">
        <w:rPr>
          <w:rFonts w:cs="David" w:hint="cs"/>
          <w:sz w:val="24"/>
          <w:szCs w:val="24"/>
          <w:rtl/>
        </w:rPr>
        <w:t xml:space="preserve">ת המשפט </w:t>
      </w:r>
      <w:r w:rsidR="00CB0429" w:rsidRPr="00C7461A">
        <w:rPr>
          <w:rFonts w:cs="David" w:hint="cs"/>
          <w:sz w:val="24"/>
          <w:szCs w:val="24"/>
          <w:rtl/>
        </w:rPr>
        <w:t xml:space="preserve">המחוזי </w:t>
      </w:r>
      <w:r w:rsidR="00465145" w:rsidRPr="00C7461A">
        <w:rPr>
          <w:rFonts w:cs="David" w:hint="cs"/>
          <w:sz w:val="24"/>
          <w:szCs w:val="24"/>
          <w:rtl/>
        </w:rPr>
        <w:t>ביטל פסקי בוררות של בתי דין רבניים שניתנו בחוסר סמכות</w:t>
      </w:r>
      <w:r w:rsidR="00465145" w:rsidRPr="00C7461A">
        <w:rPr>
          <w:rStyle w:val="a5"/>
          <w:rFonts w:cs="David"/>
          <w:sz w:val="24"/>
          <w:szCs w:val="24"/>
          <w:rtl/>
        </w:rPr>
        <w:footnoteReference w:id="9"/>
      </w:r>
      <w:r w:rsidR="00465145" w:rsidRPr="00C7461A">
        <w:rPr>
          <w:rFonts w:cs="David" w:hint="cs"/>
          <w:sz w:val="24"/>
          <w:szCs w:val="24"/>
          <w:rtl/>
        </w:rPr>
        <w:t xml:space="preserve">. </w:t>
      </w:r>
      <w:r w:rsidR="006C38CE" w:rsidRPr="00C7461A">
        <w:rPr>
          <w:rFonts w:cs="David" w:hint="cs"/>
          <w:sz w:val="24"/>
          <w:szCs w:val="24"/>
          <w:rtl/>
        </w:rPr>
        <w:t xml:space="preserve">סעיף 6(א) המוצע מכשיר באופן גורף את כל פסקי הבוררות שניתנו על ידי בתי הדין </w:t>
      </w:r>
      <w:r w:rsidR="0036304D">
        <w:rPr>
          <w:rFonts w:cs="David" w:hint="cs"/>
          <w:sz w:val="24"/>
          <w:szCs w:val="24"/>
          <w:rtl/>
        </w:rPr>
        <w:t>הרבניים</w:t>
      </w:r>
      <w:r w:rsidR="006C38CE" w:rsidRPr="00C7461A">
        <w:rPr>
          <w:rFonts w:cs="David" w:hint="cs"/>
          <w:sz w:val="24"/>
          <w:szCs w:val="24"/>
          <w:rtl/>
        </w:rPr>
        <w:t>.</w:t>
      </w:r>
      <w:r w:rsidR="009C0063" w:rsidRPr="00C7461A">
        <w:rPr>
          <w:rFonts w:cs="David" w:hint="cs"/>
          <w:sz w:val="24"/>
          <w:szCs w:val="24"/>
          <w:rtl/>
        </w:rPr>
        <w:t xml:space="preserve"> </w:t>
      </w:r>
      <w:r w:rsidR="00DA59F6" w:rsidRPr="00C7461A">
        <w:rPr>
          <w:rFonts w:cs="David" w:hint="cs"/>
          <w:sz w:val="24"/>
          <w:szCs w:val="24"/>
          <w:rtl/>
        </w:rPr>
        <w:t>הכשרה גורפת זו מעוררת שאלות:</w:t>
      </w:r>
      <w:r w:rsidR="009C0063" w:rsidRPr="00C7461A">
        <w:rPr>
          <w:rFonts w:cs="David" w:hint="cs"/>
          <w:sz w:val="24"/>
          <w:szCs w:val="24"/>
          <w:rtl/>
        </w:rPr>
        <w:t xml:space="preserve"> הן במישור </w:t>
      </w:r>
      <w:r w:rsidR="009C0063" w:rsidRPr="009C5E90">
        <w:rPr>
          <w:rFonts w:cs="David" w:hint="cs"/>
          <w:sz w:val="24"/>
          <w:szCs w:val="24"/>
          <w:u w:val="single"/>
          <w:rtl/>
        </w:rPr>
        <w:t>ההצהרתי העקרוני</w:t>
      </w:r>
      <w:r w:rsidR="009C0063" w:rsidRPr="00C7461A">
        <w:rPr>
          <w:rFonts w:cs="David" w:hint="cs"/>
          <w:sz w:val="24"/>
          <w:szCs w:val="24"/>
          <w:rtl/>
        </w:rPr>
        <w:t xml:space="preserve"> </w:t>
      </w:r>
      <w:r w:rsidR="00DA59F6" w:rsidRPr="00C7461A">
        <w:rPr>
          <w:rFonts w:cs="David"/>
          <w:sz w:val="24"/>
          <w:szCs w:val="24"/>
          <w:rtl/>
        </w:rPr>
        <w:t>–</w:t>
      </w:r>
      <w:r w:rsidR="00DA59F6" w:rsidRPr="00C7461A">
        <w:rPr>
          <w:rFonts w:cs="David" w:hint="cs"/>
          <w:sz w:val="24"/>
          <w:szCs w:val="24"/>
          <w:rtl/>
        </w:rPr>
        <w:t xml:space="preserve"> האם ראוי שהמחוקק י</w:t>
      </w:r>
      <w:r w:rsidR="009C0063" w:rsidRPr="00C7461A">
        <w:rPr>
          <w:rFonts w:cs="David" w:hint="cs"/>
          <w:sz w:val="24"/>
          <w:szCs w:val="24"/>
          <w:rtl/>
        </w:rPr>
        <w:t xml:space="preserve">כשיר </w:t>
      </w:r>
      <w:r w:rsidR="00DA59F6" w:rsidRPr="00C7461A">
        <w:rPr>
          <w:rFonts w:cs="David" w:hint="cs"/>
          <w:sz w:val="24"/>
          <w:szCs w:val="24"/>
          <w:rtl/>
        </w:rPr>
        <w:t xml:space="preserve">בדיעבד </w:t>
      </w:r>
      <w:r w:rsidR="009C0063" w:rsidRPr="00C7461A">
        <w:rPr>
          <w:rFonts w:cs="David" w:hint="cs"/>
          <w:sz w:val="24"/>
          <w:szCs w:val="24"/>
          <w:rtl/>
        </w:rPr>
        <w:t xml:space="preserve">פעולות </w:t>
      </w:r>
      <w:r w:rsidR="00DA59F6" w:rsidRPr="00C7461A">
        <w:rPr>
          <w:rFonts w:cs="David" w:hint="cs"/>
          <w:sz w:val="24"/>
          <w:szCs w:val="24"/>
          <w:rtl/>
        </w:rPr>
        <w:t xml:space="preserve">של בתי דין רבניים </w:t>
      </w:r>
      <w:r w:rsidR="00391A67">
        <w:rPr>
          <w:rFonts w:cs="David" w:hint="cs"/>
          <w:sz w:val="24"/>
          <w:szCs w:val="24"/>
          <w:rtl/>
        </w:rPr>
        <w:t xml:space="preserve">שנפסק בבית המשפט העליון כי </w:t>
      </w:r>
      <w:r w:rsidR="009C0063" w:rsidRPr="00C7461A">
        <w:rPr>
          <w:rFonts w:cs="David" w:hint="cs"/>
          <w:sz w:val="24"/>
          <w:szCs w:val="24"/>
          <w:rtl/>
        </w:rPr>
        <w:t>נעשו בחוסר סמכות</w:t>
      </w:r>
      <w:r w:rsidR="00DA59F6" w:rsidRPr="00C7461A">
        <w:rPr>
          <w:rFonts w:cs="David" w:hint="cs"/>
          <w:sz w:val="24"/>
          <w:szCs w:val="24"/>
          <w:rtl/>
        </w:rPr>
        <w:t xml:space="preserve"> ונגד פסיקה מפורשת של </w:t>
      </w:r>
      <w:r w:rsidR="008A1DF1">
        <w:rPr>
          <w:rFonts w:cs="David" w:hint="cs"/>
          <w:sz w:val="24"/>
          <w:szCs w:val="24"/>
          <w:rtl/>
        </w:rPr>
        <w:t>בג</w:t>
      </w:r>
      <w:r w:rsidR="008A1DF1">
        <w:rPr>
          <w:rFonts w:cs="David"/>
          <w:sz w:val="24"/>
          <w:szCs w:val="24"/>
          <w:rtl/>
        </w:rPr>
        <w:t>"</w:t>
      </w:r>
      <w:r w:rsidR="008A1DF1">
        <w:rPr>
          <w:rFonts w:cs="David" w:hint="cs"/>
          <w:sz w:val="24"/>
          <w:szCs w:val="24"/>
          <w:rtl/>
        </w:rPr>
        <w:t>ץ</w:t>
      </w:r>
      <w:r w:rsidR="00DA59F6" w:rsidRPr="00C7461A">
        <w:rPr>
          <w:rFonts w:cs="David" w:hint="cs"/>
          <w:sz w:val="24"/>
          <w:szCs w:val="24"/>
          <w:rtl/>
        </w:rPr>
        <w:t>?</w:t>
      </w:r>
      <w:r w:rsidR="009C0063" w:rsidRPr="00C7461A">
        <w:rPr>
          <w:rFonts w:cs="David" w:hint="cs"/>
          <w:sz w:val="24"/>
          <w:szCs w:val="24"/>
          <w:rtl/>
        </w:rPr>
        <w:t xml:space="preserve"> והן במישור </w:t>
      </w:r>
      <w:r w:rsidR="009C0063" w:rsidRPr="009C5E90">
        <w:rPr>
          <w:rFonts w:cs="David" w:hint="cs"/>
          <w:sz w:val="24"/>
          <w:szCs w:val="24"/>
          <w:u w:val="single"/>
          <w:rtl/>
        </w:rPr>
        <w:t>המעשי</w:t>
      </w:r>
      <w:r w:rsidR="009C0063" w:rsidRPr="00C7461A">
        <w:rPr>
          <w:rFonts w:cs="David" w:hint="cs"/>
          <w:sz w:val="24"/>
          <w:szCs w:val="24"/>
          <w:rtl/>
        </w:rPr>
        <w:t xml:space="preserve"> </w:t>
      </w:r>
      <w:r w:rsidR="00DA59F6" w:rsidRPr="00C7461A">
        <w:rPr>
          <w:rFonts w:cs="David"/>
          <w:sz w:val="24"/>
          <w:szCs w:val="24"/>
          <w:rtl/>
        </w:rPr>
        <w:t>–</w:t>
      </w:r>
      <w:r w:rsidR="00DA59F6" w:rsidRPr="00C7461A">
        <w:rPr>
          <w:rFonts w:cs="David" w:hint="cs"/>
          <w:sz w:val="24"/>
          <w:szCs w:val="24"/>
          <w:rtl/>
        </w:rPr>
        <w:t xml:space="preserve"> האם מוצדק להכשיר פסקי בוררות גם ב</w:t>
      </w:r>
      <w:r w:rsidR="009C0063" w:rsidRPr="00C7461A">
        <w:rPr>
          <w:rFonts w:cs="David" w:hint="cs"/>
          <w:sz w:val="24"/>
          <w:szCs w:val="24"/>
          <w:rtl/>
        </w:rPr>
        <w:t>אותם המקרים שבהם צדדים מעוניינים להגיש בקשה לביטול פסק הבוררות</w:t>
      </w:r>
      <w:r w:rsidR="00DA59F6" w:rsidRPr="00C7461A">
        <w:rPr>
          <w:rFonts w:cs="David" w:hint="cs"/>
          <w:sz w:val="24"/>
          <w:szCs w:val="24"/>
          <w:rtl/>
        </w:rPr>
        <w:t>, בשל העובדה שניתן בחוסר סמכות</w:t>
      </w:r>
      <w:r w:rsidR="005125AD" w:rsidRPr="00C7461A">
        <w:rPr>
          <w:rFonts w:cs="David" w:hint="cs"/>
          <w:sz w:val="24"/>
          <w:szCs w:val="24"/>
          <w:rtl/>
        </w:rPr>
        <w:t>?</w:t>
      </w:r>
    </w:p>
    <w:p w:rsidR="0036304D" w:rsidRDefault="0036304D" w:rsidP="00485B82">
      <w:pPr>
        <w:spacing w:after="120" w:line="360" w:lineRule="auto"/>
        <w:jc w:val="both"/>
        <w:rPr>
          <w:rFonts w:cs="David"/>
          <w:sz w:val="24"/>
          <w:szCs w:val="24"/>
          <w:rtl/>
        </w:rPr>
      </w:pPr>
      <w:r>
        <w:rPr>
          <w:rFonts w:cs="David" w:hint="cs"/>
          <w:sz w:val="24"/>
          <w:szCs w:val="24"/>
          <w:rtl/>
        </w:rPr>
        <w:t xml:space="preserve">נוכח האמור, </w:t>
      </w:r>
      <w:r w:rsidRPr="009C3414">
        <w:rPr>
          <w:rFonts w:cs="David" w:hint="cs"/>
          <w:sz w:val="24"/>
          <w:szCs w:val="24"/>
          <w:u w:val="single"/>
          <w:rtl/>
        </w:rPr>
        <w:t xml:space="preserve">מוצע לסייג את ההכשר שבסעיף 6(א) המוצע לפסקי בוררות שניתנו בתקופה שקדמה להלכת </w:t>
      </w:r>
      <w:r w:rsidRPr="009C3414">
        <w:rPr>
          <w:rFonts w:cs="David" w:hint="cs"/>
          <w:b/>
          <w:bCs/>
          <w:sz w:val="24"/>
          <w:szCs w:val="24"/>
          <w:u w:val="single"/>
          <w:rtl/>
        </w:rPr>
        <w:t>סימה אמיר</w:t>
      </w:r>
      <w:r w:rsidRPr="009C3414">
        <w:rPr>
          <w:rFonts w:cs="David" w:hint="cs"/>
          <w:sz w:val="24"/>
          <w:szCs w:val="24"/>
          <w:u w:val="single"/>
          <w:rtl/>
        </w:rPr>
        <w:t xml:space="preserve">, </w:t>
      </w:r>
      <w:r w:rsidR="00485B82">
        <w:rPr>
          <w:rFonts w:cs="David" w:hint="cs"/>
          <w:sz w:val="24"/>
          <w:szCs w:val="24"/>
          <w:u w:val="single"/>
          <w:rtl/>
        </w:rPr>
        <w:t>או לפחות</w:t>
      </w:r>
      <w:r w:rsidRPr="009C3414">
        <w:rPr>
          <w:rFonts w:cs="David" w:hint="cs"/>
          <w:sz w:val="24"/>
          <w:szCs w:val="24"/>
          <w:u w:val="single"/>
          <w:rtl/>
        </w:rPr>
        <w:t xml:space="preserve"> </w:t>
      </w:r>
      <w:r w:rsidR="00DC386F" w:rsidRPr="009C3414">
        <w:rPr>
          <w:rFonts w:cs="David" w:hint="cs"/>
          <w:sz w:val="24"/>
          <w:szCs w:val="24"/>
          <w:u w:val="single"/>
          <w:rtl/>
        </w:rPr>
        <w:t xml:space="preserve">לקבוע כי </w:t>
      </w:r>
      <w:r w:rsidRPr="009C3414">
        <w:rPr>
          <w:rFonts w:cs="David" w:hint="cs"/>
          <w:sz w:val="24"/>
          <w:szCs w:val="24"/>
          <w:u w:val="single"/>
          <w:rtl/>
        </w:rPr>
        <w:t xml:space="preserve">ההכשר לא יחול על פסקי בוררות שניתנו לאחר הלכת סימה אמיר </w:t>
      </w:r>
      <w:r w:rsidR="00811987" w:rsidRPr="009C3414">
        <w:rPr>
          <w:rFonts w:cs="David" w:hint="cs"/>
          <w:sz w:val="24"/>
          <w:szCs w:val="24"/>
          <w:u w:val="single"/>
          <w:rtl/>
        </w:rPr>
        <w:t>ו</w:t>
      </w:r>
      <w:r w:rsidRPr="009C3414">
        <w:rPr>
          <w:rFonts w:cs="David" w:hint="cs"/>
          <w:sz w:val="24"/>
          <w:szCs w:val="24"/>
          <w:u w:val="single"/>
          <w:rtl/>
        </w:rPr>
        <w:t xml:space="preserve">לפי חוק הבוררות </w:t>
      </w:r>
      <w:r w:rsidR="00811987" w:rsidRPr="009C3414">
        <w:rPr>
          <w:rFonts w:cs="David" w:hint="cs"/>
          <w:sz w:val="24"/>
          <w:szCs w:val="24"/>
          <w:u w:val="single"/>
          <w:rtl/>
        </w:rPr>
        <w:t>ניתן</w:t>
      </w:r>
      <w:r w:rsidRPr="009C3414">
        <w:rPr>
          <w:rFonts w:cs="David" w:hint="cs"/>
          <w:sz w:val="24"/>
          <w:szCs w:val="24"/>
          <w:u w:val="single"/>
          <w:rtl/>
        </w:rPr>
        <w:t xml:space="preserve"> להגיש בקשה לבטלם</w:t>
      </w:r>
      <w:r>
        <w:rPr>
          <w:rFonts w:cs="David" w:hint="cs"/>
          <w:sz w:val="24"/>
          <w:szCs w:val="24"/>
          <w:rtl/>
        </w:rPr>
        <w:t>.</w:t>
      </w:r>
    </w:p>
    <w:p w:rsidR="009E0ED7" w:rsidRPr="00C7461A" w:rsidRDefault="009E0ED7" w:rsidP="009E0ED7">
      <w:pPr>
        <w:spacing w:after="0" w:line="360" w:lineRule="auto"/>
        <w:jc w:val="both"/>
        <w:rPr>
          <w:rFonts w:cs="David"/>
          <w:sz w:val="24"/>
          <w:szCs w:val="24"/>
          <w:rtl/>
        </w:rPr>
      </w:pPr>
    </w:p>
    <w:p w:rsidR="009E0ED7" w:rsidRDefault="00152FE4" w:rsidP="009E0ED7">
      <w:pPr>
        <w:spacing w:after="120" w:line="240" w:lineRule="auto"/>
        <w:jc w:val="both"/>
        <w:rPr>
          <w:rFonts w:cs="David"/>
          <w:sz w:val="24"/>
          <w:szCs w:val="24"/>
          <w:rtl/>
        </w:rPr>
      </w:pPr>
      <w:r w:rsidRPr="00C7461A">
        <w:rPr>
          <w:rFonts w:cs="David" w:hint="cs"/>
          <w:b/>
          <w:bCs/>
          <w:sz w:val="24"/>
          <w:szCs w:val="24"/>
          <w:rtl/>
        </w:rPr>
        <w:t xml:space="preserve">(2) הליכי בוררות תלויים ועומדים </w:t>
      </w:r>
      <w:r w:rsidRPr="00C7461A">
        <w:rPr>
          <w:rFonts w:cs="David" w:hint="cs"/>
          <w:sz w:val="24"/>
          <w:szCs w:val="24"/>
          <w:rtl/>
        </w:rPr>
        <w:t xml:space="preserve">(סעיף קטן (ב)) </w:t>
      </w:r>
    </w:p>
    <w:p w:rsidR="00152FE4" w:rsidRDefault="00F14016" w:rsidP="009E0ED7">
      <w:pPr>
        <w:spacing w:after="120" w:line="360" w:lineRule="auto"/>
        <w:jc w:val="both"/>
        <w:rPr>
          <w:rFonts w:cs="David"/>
          <w:sz w:val="24"/>
          <w:szCs w:val="24"/>
          <w:rtl/>
        </w:rPr>
      </w:pPr>
      <w:r>
        <w:rPr>
          <w:rFonts w:cs="David" w:hint="cs"/>
          <w:sz w:val="24"/>
          <w:szCs w:val="24"/>
          <w:rtl/>
        </w:rPr>
        <w:t>העובדה ש</w:t>
      </w:r>
      <w:r w:rsidRPr="00F71E68">
        <w:rPr>
          <w:rFonts w:cs="David" w:hint="cs"/>
          <w:sz w:val="24"/>
          <w:szCs w:val="24"/>
          <w:rtl/>
        </w:rPr>
        <w:t>בתי הדין הדתיים ממשיכים לקיים הליכי בוררות בעניינים אזרחיים</w:t>
      </w:r>
      <w:r>
        <w:rPr>
          <w:rFonts w:cs="David" w:hint="cs"/>
          <w:sz w:val="24"/>
          <w:szCs w:val="24"/>
          <w:rtl/>
        </w:rPr>
        <w:t xml:space="preserve">, חרף קביעתו המפורשת </w:t>
      </w:r>
      <w:r w:rsidR="005125AD" w:rsidRPr="00C7461A">
        <w:rPr>
          <w:rFonts w:cs="David" w:hint="cs"/>
          <w:sz w:val="24"/>
          <w:szCs w:val="24"/>
          <w:rtl/>
        </w:rPr>
        <w:t xml:space="preserve">של </w:t>
      </w:r>
      <w:r w:rsidR="008A1DF1">
        <w:rPr>
          <w:rFonts w:cs="David" w:hint="cs"/>
          <w:sz w:val="24"/>
          <w:szCs w:val="24"/>
          <w:rtl/>
        </w:rPr>
        <w:t>בג</w:t>
      </w:r>
      <w:r w:rsidR="008A1DF1">
        <w:rPr>
          <w:rFonts w:cs="David"/>
          <w:sz w:val="24"/>
          <w:szCs w:val="24"/>
          <w:rtl/>
        </w:rPr>
        <w:t>"</w:t>
      </w:r>
      <w:r w:rsidR="008A1DF1">
        <w:rPr>
          <w:rFonts w:cs="David" w:hint="cs"/>
          <w:sz w:val="24"/>
          <w:szCs w:val="24"/>
          <w:rtl/>
        </w:rPr>
        <w:t>ץ</w:t>
      </w:r>
      <w:r w:rsidR="005125AD" w:rsidRPr="00C7461A">
        <w:rPr>
          <w:rFonts w:cs="David" w:hint="cs"/>
          <w:sz w:val="24"/>
          <w:szCs w:val="24"/>
          <w:rtl/>
        </w:rPr>
        <w:t xml:space="preserve"> ב</w:t>
      </w:r>
      <w:r w:rsidR="00152FE4" w:rsidRPr="00C7461A">
        <w:rPr>
          <w:rFonts w:cs="David" w:hint="cs"/>
          <w:sz w:val="24"/>
          <w:szCs w:val="24"/>
          <w:rtl/>
        </w:rPr>
        <w:t xml:space="preserve">הלכת </w:t>
      </w:r>
      <w:r w:rsidRPr="00F14016">
        <w:rPr>
          <w:rFonts w:cs="David" w:hint="cs"/>
          <w:b/>
          <w:bCs/>
          <w:sz w:val="24"/>
          <w:szCs w:val="24"/>
          <w:rtl/>
        </w:rPr>
        <w:t xml:space="preserve">סימה </w:t>
      </w:r>
      <w:r w:rsidR="00152FE4" w:rsidRPr="00F14016">
        <w:rPr>
          <w:rFonts w:cs="David" w:hint="cs"/>
          <w:b/>
          <w:bCs/>
          <w:sz w:val="24"/>
          <w:szCs w:val="24"/>
          <w:rtl/>
        </w:rPr>
        <w:t>אמיר</w:t>
      </w:r>
      <w:r w:rsidR="005125AD" w:rsidRPr="00C7461A">
        <w:rPr>
          <w:rFonts w:cs="David" w:hint="cs"/>
          <w:sz w:val="24"/>
          <w:szCs w:val="24"/>
          <w:rtl/>
        </w:rPr>
        <w:t xml:space="preserve"> </w:t>
      </w:r>
      <w:r>
        <w:rPr>
          <w:rFonts w:cs="David" w:hint="cs"/>
          <w:sz w:val="24"/>
          <w:szCs w:val="24"/>
          <w:rtl/>
        </w:rPr>
        <w:t>מעוררת תמיהה. גם מבקר המדינה העיר על הבעייתיות שבתופעה זו</w:t>
      </w:r>
      <w:r>
        <w:rPr>
          <w:rStyle w:val="a5"/>
          <w:rFonts w:cs="David"/>
          <w:sz w:val="24"/>
          <w:szCs w:val="24"/>
          <w:rtl/>
        </w:rPr>
        <w:footnoteReference w:id="10"/>
      </w:r>
      <w:r>
        <w:rPr>
          <w:rFonts w:cs="David" w:hint="cs"/>
          <w:sz w:val="24"/>
          <w:szCs w:val="24"/>
          <w:rtl/>
        </w:rPr>
        <w:t xml:space="preserve">. </w:t>
      </w:r>
      <w:r w:rsidR="00586E39">
        <w:rPr>
          <w:rFonts w:cs="David" w:hint="cs"/>
          <w:sz w:val="24"/>
          <w:szCs w:val="24"/>
          <w:rtl/>
        </w:rPr>
        <w:t xml:space="preserve">משכך, מתעוררת השאלה </w:t>
      </w:r>
      <w:r w:rsidR="00E47D6E">
        <w:rPr>
          <w:rFonts w:cs="David" w:hint="cs"/>
          <w:sz w:val="24"/>
          <w:szCs w:val="24"/>
          <w:rtl/>
        </w:rPr>
        <w:t xml:space="preserve">האם ראוי שהמחוקק </w:t>
      </w:r>
      <w:r w:rsidR="00201B92">
        <w:rPr>
          <w:rFonts w:cs="David" w:hint="cs"/>
          <w:sz w:val="24"/>
          <w:szCs w:val="24"/>
          <w:rtl/>
        </w:rPr>
        <w:t xml:space="preserve">ייתן תוקף </w:t>
      </w:r>
      <w:r w:rsidR="00586E39">
        <w:rPr>
          <w:rFonts w:cs="David" w:hint="cs"/>
          <w:sz w:val="24"/>
          <w:szCs w:val="24"/>
          <w:rtl/>
        </w:rPr>
        <w:t xml:space="preserve">בדיעבד </w:t>
      </w:r>
      <w:r w:rsidR="00201B92">
        <w:rPr>
          <w:rFonts w:cs="David" w:hint="cs"/>
          <w:sz w:val="24"/>
          <w:szCs w:val="24"/>
          <w:rtl/>
        </w:rPr>
        <w:t xml:space="preserve">להליכי בוררות </w:t>
      </w:r>
      <w:r w:rsidR="00E47D6E">
        <w:rPr>
          <w:rFonts w:cs="David" w:hint="cs"/>
          <w:sz w:val="24"/>
          <w:szCs w:val="24"/>
          <w:rtl/>
        </w:rPr>
        <w:t>של בתי הדין הרבניים שנעשו בחוסר סמכות</w:t>
      </w:r>
      <w:r w:rsidR="00586E39">
        <w:rPr>
          <w:rFonts w:cs="David" w:hint="cs"/>
          <w:sz w:val="24"/>
          <w:szCs w:val="24"/>
          <w:rtl/>
        </w:rPr>
        <w:t xml:space="preserve"> ובניגוד לפסיקת </w:t>
      </w:r>
      <w:r w:rsidR="008A1DF1">
        <w:rPr>
          <w:rFonts w:cs="David" w:hint="cs"/>
          <w:sz w:val="24"/>
          <w:szCs w:val="24"/>
          <w:rtl/>
        </w:rPr>
        <w:t>בג</w:t>
      </w:r>
      <w:r w:rsidR="008A1DF1">
        <w:rPr>
          <w:rFonts w:cs="David"/>
          <w:sz w:val="24"/>
          <w:szCs w:val="24"/>
          <w:rtl/>
        </w:rPr>
        <w:t>"</w:t>
      </w:r>
      <w:r w:rsidR="008A1DF1">
        <w:rPr>
          <w:rFonts w:cs="David" w:hint="cs"/>
          <w:sz w:val="24"/>
          <w:szCs w:val="24"/>
          <w:rtl/>
        </w:rPr>
        <w:t>ץ</w:t>
      </w:r>
      <w:r w:rsidR="00E47D6E">
        <w:rPr>
          <w:rFonts w:cs="David" w:hint="cs"/>
          <w:sz w:val="24"/>
          <w:szCs w:val="24"/>
          <w:rtl/>
        </w:rPr>
        <w:t xml:space="preserve">? </w:t>
      </w:r>
    </w:p>
    <w:p w:rsidR="006B7E98" w:rsidRPr="00F71E68" w:rsidRDefault="006B7E98" w:rsidP="0002456D">
      <w:pPr>
        <w:spacing w:after="0" w:line="240" w:lineRule="auto"/>
        <w:jc w:val="both"/>
        <w:rPr>
          <w:rFonts w:cs="David"/>
          <w:sz w:val="24"/>
          <w:szCs w:val="24"/>
          <w:rtl/>
        </w:rPr>
      </w:pPr>
    </w:p>
    <w:sectPr w:rsidR="006B7E98" w:rsidRPr="00F71E68" w:rsidSect="00C2451C">
      <w:footerReference w:type="default" r:id="rId8"/>
      <w:pgSz w:w="11906" w:h="16838"/>
      <w:pgMar w:top="1191" w:right="1797" w:bottom="1191"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33B" w:rsidRDefault="0051533B" w:rsidP="00793A69">
      <w:pPr>
        <w:spacing w:after="0" w:line="240" w:lineRule="auto"/>
      </w:pPr>
      <w:r>
        <w:separator/>
      </w:r>
    </w:p>
  </w:endnote>
  <w:endnote w:type="continuationSeparator" w:id="0">
    <w:p w:rsidR="0051533B" w:rsidRDefault="0051533B" w:rsidP="00793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Arial TUR">
    <w:altName w:val="Arial"/>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tl/>
      </w:rPr>
      <w:id w:val="-1813476784"/>
      <w:docPartObj>
        <w:docPartGallery w:val="Page Numbers (Bottom of Page)"/>
        <w:docPartUnique/>
      </w:docPartObj>
    </w:sdtPr>
    <w:sdtEndPr>
      <w:rPr>
        <w:cs/>
      </w:rPr>
    </w:sdtEndPr>
    <w:sdtContent>
      <w:p w:rsidR="0056432F" w:rsidRPr="0056432F" w:rsidRDefault="0056432F">
        <w:pPr>
          <w:pStyle w:val="aa"/>
          <w:jc w:val="center"/>
          <w:rPr>
            <w:sz w:val="16"/>
            <w:szCs w:val="16"/>
            <w:rtl/>
            <w:cs/>
          </w:rPr>
        </w:pPr>
        <w:r w:rsidRPr="0056432F">
          <w:rPr>
            <w:sz w:val="16"/>
            <w:szCs w:val="16"/>
          </w:rPr>
          <w:fldChar w:fldCharType="begin"/>
        </w:r>
        <w:r w:rsidRPr="0056432F">
          <w:rPr>
            <w:sz w:val="16"/>
            <w:szCs w:val="16"/>
            <w:rtl/>
            <w:cs/>
          </w:rPr>
          <w:instrText>PAGE   \* MERGEFORMAT</w:instrText>
        </w:r>
        <w:r w:rsidRPr="0056432F">
          <w:rPr>
            <w:sz w:val="16"/>
            <w:szCs w:val="16"/>
          </w:rPr>
          <w:fldChar w:fldCharType="separate"/>
        </w:r>
        <w:r w:rsidR="00833DF7" w:rsidRPr="00833DF7">
          <w:rPr>
            <w:noProof/>
            <w:sz w:val="16"/>
            <w:szCs w:val="16"/>
            <w:rtl/>
            <w:lang w:val="he-IL"/>
          </w:rPr>
          <w:t>1</w:t>
        </w:r>
        <w:r w:rsidRPr="0056432F">
          <w:rPr>
            <w:sz w:val="16"/>
            <w:szCs w:val="16"/>
          </w:rPr>
          <w:fldChar w:fldCharType="end"/>
        </w:r>
      </w:p>
    </w:sdtContent>
  </w:sdt>
  <w:p w:rsidR="0056432F" w:rsidRDefault="0056432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33B" w:rsidRDefault="0051533B" w:rsidP="00793A69">
      <w:pPr>
        <w:spacing w:after="0" w:line="240" w:lineRule="auto"/>
      </w:pPr>
      <w:r>
        <w:separator/>
      </w:r>
    </w:p>
  </w:footnote>
  <w:footnote w:type="continuationSeparator" w:id="0">
    <w:p w:rsidR="0051533B" w:rsidRDefault="0051533B" w:rsidP="00793A69">
      <w:pPr>
        <w:spacing w:after="0" w:line="240" w:lineRule="auto"/>
      </w:pPr>
      <w:r>
        <w:continuationSeparator/>
      </w:r>
    </w:p>
  </w:footnote>
  <w:footnote w:id="1">
    <w:p w:rsidR="001F191B" w:rsidRDefault="001F191B">
      <w:pPr>
        <w:pStyle w:val="a3"/>
        <w:rPr>
          <w:rtl/>
        </w:rPr>
      </w:pPr>
      <w:r>
        <w:rPr>
          <w:rStyle w:val="a5"/>
        </w:rPr>
        <w:footnoteRef/>
      </w:r>
      <w:r>
        <w:rPr>
          <w:rtl/>
        </w:rPr>
        <w:t xml:space="preserve"> </w:t>
      </w:r>
      <w:r w:rsidRPr="001F191B">
        <w:rPr>
          <w:rFonts w:hAnsi="David"/>
          <w:sz w:val="20"/>
          <w:rtl/>
        </w:rPr>
        <w:t>בגץ 8638/03</w:t>
      </w:r>
      <w:r w:rsidRPr="001F191B">
        <w:rPr>
          <w:rFonts w:hAnsi="David" w:hint="cs"/>
          <w:sz w:val="20"/>
          <w:rtl/>
        </w:rPr>
        <w:t xml:space="preserve"> </w:t>
      </w:r>
      <w:r w:rsidRPr="001F191B">
        <w:rPr>
          <w:rFonts w:hAnsi="David"/>
          <w:b/>
          <w:bCs/>
          <w:sz w:val="20"/>
          <w:rtl/>
        </w:rPr>
        <w:t>סימה אמיר נ' בית הדין הרבני הגדול בירושלים</w:t>
      </w:r>
      <w:r w:rsidRPr="001F191B">
        <w:rPr>
          <w:rFonts w:hAnsi="David" w:hint="cs"/>
          <w:sz w:val="20"/>
          <w:rtl/>
        </w:rPr>
        <w:t xml:space="preserve"> (2006)</w:t>
      </w:r>
      <w:r>
        <w:rPr>
          <w:rFonts w:hAnsi="David" w:hint="cs"/>
          <w:sz w:val="20"/>
          <w:rtl/>
        </w:rPr>
        <w:t xml:space="preserve"> (להלן </w:t>
      </w:r>
      <w:r>
        <w:rPr>
          <w:rFonts w:hAnsi="David"/>
          <w:sz w:val="20"/>
          <w:rtl/>
        </w:rPr>
        <w:t>–</w:t>
      </w:r>
      <w:r>
        <w:rPr>
          <w:rFonts w:hAnsi="David" w:hint="cs"/>
          <w:sz w:val="20"/>
          <w:rtl/>
        </w:rPr>
        <w:t xml:space="preserve"> פרשת </w:t>
      </w:r>
      <w:r w:rsidR="00BD7553">
        <w:rPr>
          <w:rFonts w:hAnsi="David" w:hint="cs"/>
          <w:sz w:val="20"/>
          <w:rtl/>
        </w:rPr>
        <w:t xml:space="preserve">סימה </w:t>
      </w:r>
      <w:r>
        <w:rPr>
          <w:rFonts w:hAnsi="David" w:hint="cs"/>
          <w:sz w:val="20"/>
          <w:rtl/>
        </w:rPr>
        <w:t xml:space="preserve">אמיר או הלכת </w:t>
      </w:r>
      <w:r w:rsidR="00BD7553">
        <w:rPr>
          <w:rFonts w:hAnsi="David" w:hint="cs"/>
          <w:sz w:val="20"/>
          <w:rtl/>
        </w:rPr>
        <w:t xml:space="preserve">סימה </w:t>
      </w:r>
      <w:r>
        <w:rPr>
          <w:rFonts w:hAnsi="David" w:hint="cs"/>
          <w:sz w:val="20"/>
          <w:rtl/>
        </w:rPr>
        <w:t>אמיר)</w:t>
      </w:r>
      <w:r w:rsidRPr="001F191B">
        <w:rPr>
          <w:rFonts w:hAnsi="David" w:hint="cs"/>
          <w:sz w:val="20"/>
          <w:rtl/>
        </w:rPr>
        <w:t>.</w:t>
      </w:r>
    </w:p>
  </w:footnote>
  <w:footnote w:id="2">
    <w:p w:rsidR="005C5E37" w:rsidRDefault="005C5E37" w:rsidP="00D85176">
      <w:pPr>
        <w:pStyle w:val="a3"/>
      </w:pPr>
      <w:r>
        <w:rPr>
          <w:rStyle w:val="a5"/>
        </w:rPr>
        <w:footnoteRef/>
      </w:r>
      <w:r>
        <w:rPr>
          <w:rtl/>
        </w:rPr>
        <w:t xml:space="preserve"> </w:t>
      </w:r>
      <w:r w:rsidR="00D85176">
        <w:rPr>
          <w:rFonts w:hint="cs"/>
          <w:rtl/>
        </w:rPr>
        <w:t xml:space="preserve">  </w:t>
      </w:r>
      <w:r w:rsidR="00C129E9">
        <w:rPr>
          <w:rFonts w:hint="cs"/>
          <w:rtl/>
        </w:rPr>
        <w:t xml:space="preserve">אנו סבורים כי לעניין זה אין די בסמכות הנתונה לצדדים לפי סעיף 24(9) לחוק הבוררות, התשכ"ח-1968 </w:t>
      </w:r>
      <w:r w:rsidRPr="001922D7">
        <w:rPr>
          <w:rFonts w:hint="cs"/>
          <w:sz w:val="20"/>
          <w:rtl/>
        </w:rPr>
        <w:t>להגיש בקשה לביטול פסק בוררות, בטענה שתוכנו של פסק הבוררות מנוגד לתקנת הציבור</w:t>
      </w:r>
      <w:r w:rsidR="00C129E9">
        <w:rPr>
          <w:rFonts w:hint="cs"/>
          <w:sz w:val="20"/>
          <w:rtl/>
        </w:rPr>
        <w:t>:</w:t>
      </w:r>
      <w:r w:rsidRPr="001922D7">
        <w:rPr>
          <w:rFonts w:hint="cs"/>
          <w:sz w:val="20"/>
          <w:rtl/>
        </w:rPr>
        <w:t xml:space="preserve"> </w:t>
      </w:r>
      <w:r w:rsidRPr="00C17741">
        <w:rPr>
          <w:rFonts w:hint="cs"/>
          <w:sz w:val="20"/>
          <w:u w:val="single"/>
          <w:rtl/>
        </w:rPr>
        <w:t>ראשית</w:t>
      </w:r>
      <w:r w:rsidRPr="001922D7">
        <w:rPr>
          <w:rFonts w:hint="cs"/>
          <w:sz w:val="20"/>
          <w:rtl/>
        </w:rPr>
        <w:t xml:space="preserve">, ספק </w:t>
      </w:r>
      <w:r w:rsidR="00727329">
        <w:rPr>
          <w:rFonts w:hint="cs"/>
          <w:sz w:val="20"/>
          <w:rtl/>
        </w:rPr>
        <w:t xml:space="preserve">עד כמה </w:t>
      </w:r>
      <w:r w:rsidRPr="001922D7">
        <w:rPr>
          <w:rFonts w:hint="cs"/>
          <w:sz w:val="20"/>
          <w:rtl/>
        </w:rPr>
        <w:t xml:space="preserve">קבוצות שנמנעות מלפנות לבית המשפט האזרחיים, </w:t>
      </w:r>
      <w:r w:rsidR="00727329">
        <w:rPr>
          <w:rFonts w:hint="cs"/>
          <w:sz w:val="20"/>
          <w:rtl/>
        </w:rPr>
        <w:t xml:space="preserve">אכן </w:t>
      </w:r>
      <w:r w:rsidRPr="001922D7">
        <w:rPr>
          <w:rFonts w:hint="cs"/>
          <w:sz w:val="20"/>
          <w:rtl/>
        </w:rPr>
        <w:t>יפנו לבית המשפט המחוזי בבקשה לביטול פסק הבוררות בטענה שהוא נוגד תפיסות יסוד של המחוקק</w:t>
      </w:r>
      <w:r w:rsidR="00727329">
        <w:rPr>
          <w:rFonts w:hint="cs"/>
          <w:sz w:val="20"/>
          <w:rtl/>
        </w:rPr>
        <w:t>;</w:t>
      </w:r>
      <w:r w:rsidRPr="001922D7">
        <w:rPr>
          <w:rFonts w:hint="cs"/>
          <w:sz w:val="20"/>
          <w:rtl/>
        </w:rPr>
        <w:t xml:space="preserve"> </w:t>
      </w:r>
      <w:r w:rsidRPr="00C17741">
        <w:rPr>
          <w:rFonts w:hint="cs"/>
          <w:sz w:val="20"/>
          <w:u w:val="single"/>
          <w:rtl/>
        </w:rPr>
        <w:t>שנית</w:t>
      </w:r>
      <w:r w:rsidRPr="001922D7">
        <w:rPr>
          <w:rFonts w:hint="cs"/>
          <w:sz w:val="20"/>
          <w:rtl/>
        </w:rPr>
        <w:t xml:space="preserve">, וזה העיקר, גם אם סעיף 24(9) האמור </w:t>
      </w:r>
      <w:r w:rsidR="00727329">
        <w:rPr>
          <w:rFonts w:hint="cs"/>
          <w:sz w:val="20"/>
          <w:rtl/>
        </w:rPr>
        <w:t xml:space="preserve">עשוי לתת סעד </w:t>
      </w:r>
      <w:r w:rsidRPr="001922D7">
        <w:rPr>
          <w:rFonts w:hint="cs"/>
          <w:b/>
          <w:bCs/>
          <w:sz w:val="20"/>
          <w:rtl/>
        </w:rPr>
        <w:t>בדיעבד</w:t>
      </w:r>
      <w:r w:rsidRPr="001922D7">
        <w:rPr>
          <w:rFonts w:hint="cs"/>
          <w:sz w:val="20"/>
          <w:rtl/>
        </w:rPr>
        <w:t xml:space="preserve">, השאלה היא האם </w:t>
      </w:r>
      <w:r w:rsidRPr="001922D7">
        <w:rPr>
          <w:rFonts w:hint="cs"/>
          <w:b/>
          <w:bCs/>
          <w:sz w:val="20"/>
          <w:rtl/>
        </w:rPr>
        <w:t>מלכתחילה</w:t>
      </w:r>
      <w:r w:rsidRPr="001922D7">
        <w:rPr>
          <w:rFonts w:hint="cs"/>
          <w:sz w:val="20"/>
          <w:rtl/>
        </w:rPr>
        <w:t xml:space="preserve"> נכון שהמדינה תקים ותממן גופים רשמיים מטעמה שישמשו כבוררים, ויחילו דין שעלול להיות נוגד לתקנת הציבור.</w:t>
      </w:r>
    </w:p>
  </w:footnote>
  <w:footnote w:id="3">
    <w:p w:rsidR="00C22FB2" w:rsidRDefault="00C22FB2" w:rsidP="00C22FB2">
      <w:pPr>
        <w:pStyle w:val="a3"/>
      </w:pPr>
      <w:r>
        <w:rPr>
          <w:rStyle w:val="a5"/>
        </w:rPr>
        <w:footnoteRef/>
      </w:r>
      <w:r>
        <w:rPr>
          <w:rtl/>
        </w:rPr>
        <w:t xml:space="preserve"> </w:t>
      </w:r>
      <w:r>
        <w:rPr>
          <w:rFonts w:hint="cs"/>
          <w:rtl/>
        </w:rPr>
        <w:t>הנתונים נלקחו מדברי ההסבר שבתזכיר החוק הממשלתי.</w:t>
      </w:r>
    </w:p>
  </w:footnote>
  <w:footnote w:id="4">
    <w:p w:rsidR="00F642E0" w:rsidRDefault="00F642E0" w:rsidP="003407C1">
      <w:pPr>
        <w:pStyle w:val="a3"/>
      </w:pPr>
      <w:r>
        <w:rPr>
          <w:rStyle w:val="a5"/>
        </w:rPr>
        <w:footnoteRef/>
      </w:r>
      <w:r>
        <w:rPr>
          <w:rtl/>
        </w:rPr>
        <w:t xml:space="preserve"> </w:t>
      </w:r>
      <w:r w:rsidRPr="00F642E0">
        <w:rPr>
          <w:rFonts w:hint="cs"/>
          <w:sz w:val="20"/>
          <w:rtl/>
        </w:rPr>
        <w:t xml:space="preserve">המשמעות של </w:t>
      </w:r>
      <w:r>
        <w:rPr>
          <w:rFonts w:hint="cs"/>
          <w:sz w:val="20"/>
          <w:rtl/>
        </w:rPr>
        <w:t>'</w:t>
      </w:r>
      <w:r w:rsidRPr="00F642E0">
        <w:rPr>
          <w:rFonts w:hint="cs"/>
          <w:sz w:val="20"/>
          <w:rtl/>
        </w:rPr>
        <w:t>כתב סירוב</w:t>
      </w:r>
      <w:r>
        <w:rPr>
          <w:rFonts w:hint="cs"/>
          <w:sz w:val="20"/>
          <w:rtl/>
        </w:rPr>
        <w:t>'</w:t>
      </w:r>
      <w:r w:rsidRPr="00F642E0">
        <w:rPr>
          <w:rFonts w:hint="cs"/>
          <w:sz w:val="20"/>
          <w:rtl/>
        </w:rPr>
        <w:t xml:space="preserve"> ה</w:t>
      </w:r>
      <w:r w:rsidR="003407C1">
        <w:rPr>
          <w:rFonts w:hint="cs"/>
          <w:sz w:val="20"/>
          <w:rtl/>
        </w:rPr>
        <w:t>י</w:t>
      </w:r>
      <w:r w:rsidRPr="00F642E0">
        <w:rPr>
          <w:rFonts w:hint="cs"/>
          <w:sz w:val="20"/>
          <w:rtl/>
        </w:rPr>
        <w:t>א</w:t>
      </w:r>
      <w:r w:rsidR="003407C1">
        <w:rPr>
          <w:rFonts w:hint="cs"/>
          <w:sz w:val="20"/>
          <w:rtl/>
        </w:rPr>
        <w:t>,</w:t>
      </w:r>
      <w:r w:rsidRPr="00F642E0">
        <w:rPr>
          <w:rFonts w:hint="cs"/>
          <w:sz w:val="20"/>
          <w:rtl/>
        </w:rPr>
        <w:t xml:space="preserve"> </w:t>
      </w:r>
      <w:r>
        <w:rPr>
          <w:rFonts w:hint="cs"/>
          <w:sz w:val="20"/>
          <w:rtl/>
        </w:rPr>
        <w:t xml:space="preserve">שבית הדין הרבני קובע שהצד שאינו רוצה להתדיין בפניו הוא 'סרבן', ועל כן יש לנקוט נגדו בסנקציות חברתיות כדוגמת </w:t>
      </w:r>
      <w:r w:rsidRPr="00F642E0">
        <w:rPr>
          <w:rFonts w:hint="cs"/>
          <w:sz w:val="20"/>
          <w:rtl/>
        </w:rPr>
        <w:t>חרם ונידוי חברתי</w:t>
      </w:r>
      <w:r>
        <w:rPr>
          <w:rFonts w:hint="cs"/>
          <w:sz w:val="20"/>
          <w:rtl/>
        </w:rPr>
        <w:t>, במטרה להפעיל עליו לחץ להתדיין בפניו בית הדין.</w:t>
      </w:r>
    </w:p>
  </w:footnote>
  <w:footnote w:id="5">
    <w:p w:rsidR="00D944BE" w:rsidRDefault="00D944BE" w:rsidP="009E6D0E">
      <w:pPr>
        <w:pStyle w:val="a3"/>
        <w:rPr>
          <w:rtl/>
        </w:rPr>
      </w:pPr>
      <w:r>
        <w:rPr>
          <w:rStyle w:val="a5"/>
        </w:rPr>
        <w:footnoteRef/>
      </w:r>
      <w:r>
        <w:rPr>
          <w:rtl/>
        </w:rPr>
        <w:t xml:space="preserve"> </w:t>
      </w:r>
      <w:r w:rsidR="009E6D0E" w:rsidRPr="009E6D0E">
        <w:rPr>
          <w:snapToGrid/>
          <w:rtl/>
        </w:rPr>
        <w:t>בגץ 3269/95</w:t>
      </w:r>
      <w:r w:rsidR="009E6D0E" w:rsidRPr="009E6D0E">
        <w:rPr>
          <w:rFonts w:hint="cs"/>
          <w:snapToGrid/>
          <w:rtl/>
        </w:rPr>
        <w:t xml:space="preserve"> </w:t>
      </w:r>
      <w:r w:rsidR="009E6D0E" w:rsidRPr="009E6D0E">
        <w:rPr>
          <w:b/>
          <w:bCs/>
          <w:snapToGrid/>
          <w:rtl/>
        </w:rPr>
        <w:t>יוסף כץ נ' בית הדין הרבני האזורי בירושלים</w:t>
      </w:r>
      <w:r w:rsidR="009E6D0E" w:rsidRPr="009E6D0E">
        <w:rPr>
          <w:rFonts w:hint="cs"/>
          <w:snapToGrid/>
          <w:rtl/>
        </w:rPr>
        <w:t xml:space="preserve"> </w:t>
      </w:r>
      <w:r w:rsidR="009E6D0E" w:rsidRPr="009E6D0E">
        <w:rPr>
          <w:rFonts w:hint="cs"/>
          <w:snapToGrid/>
          <w:sz w:val="20"/>
          <w:rtl/>
        </w:rPr>
        <w:t>(1996).</w:t>
      </w:r>
    </w:p>
  </w:footnote>
  <w:footnote w:id="6">
    <w:p w:rsidR="00D944BE" w:rsidRDefault="00D944BE" w:rsidP="00BE2B89">
      <w:pPr>
        <w:pStyle w:val="a3"/>
        <w:rPr>
          <w:rtl/>
        </w:rPr>
      </w:pPr>
      <w:r>
        <w:rPr>
          <w:rStyle w:val="a5"/>
        </w:rPr>
        <w:footnoteRef/>
      </w:r>
      <w:r>
        <w:rPr>
          <w:rtl/>
        </w:rPr>
        <w:t xml:space="preserve"> </w:t>
      </w:r>
      <w:r>
        <w:rPr>
          <w:rFonts w:hint="cs"/>
          <w:rtl/>
        </w:rPr>
        <w:t>ראו דוגמאות לפסקי דין רבניים כאלה אצל</w:t>
      </w:r>
      <w:r w:rsidR="00BE2B89">
        <w:rPr>
          <w:rFonts w:hint="cs"/>
          <w:rtl/>
        </w:rPr>
        <w:t xml:space="preserve">: עמיחי רדזינר "בית הדין </w:t>
      </w:r>
      <w:r w:rsidR="00BE2B89" w:rsidRPr="00BE2B89">
        <w:rPr>
          <w:rFonts w:hint="cs"/>
          <w:rtl/>
        </w:rPr>
        <w:t xml:space="preserve">הרבני בין בג"ץ לבד"ץ: השפעת בג"ץ על מעמדו ההלכתי של בית </w:t>
      </w:r>
      <w:r w:rsidRPr="00BE2B89">
        <w:rPr>
          <w:rFonts w:hint="cs"/>
          <w:rtl/>
        </w:rPr>
        <w:t xml:space="preserve"> </w:t>
      </w:r>
      <w:r w:rsidR="00BE2B89" w:rsidRPr="00BE2B89">
        <w:rPr>
          <w:rFonts w:hint="cs"/>
          <w:rtl/>
        </w:rPr>
        <w:t xml:space="preserve">הדין הרשמי" </w:t>
      </w:r>
      <w:r w:rsidR="00BE2B89" w:rsidRPr="00BE2B89">
        <w:rPr>
          <w:rFonts w:hint="cs"/>
          <w:b/>
          <w:bCs/>
          <w:rtl/>
        </w:rPr>
        <w:t>משפט וממשל</w:t>
      </w:r>
      <w:r w:rsidR="00BE2B89" w:rsidRPr="00BE2B89">
        <w:rPr>
          <w:rFonts w:hint="cs"/>
          <w:rtl/>
        </w:rPr>
        <w:t xml:space="preserve"> יג (תשע"א) 271, </w:t>
      </w:r>
      <w:r w:rsidRPr="003025B9">
        <w:rPr>
          <w:rtl/>
        </w:rPr>
        <w:t>319-320</w:t>
      </w:r>
      <w:r w:rsidRPr="00BE2B89">
        <w:rPr>
          <w:rFonts w:hint="cs"/>
          <w:rtl/>
        </w:rPr>
        <w:t>, ובה</w:t>
      </w:r>
      <w:r>
        <w:rPr>
          <w:rFonts w:hint="cs"/>
          <w:rtl/>
        </w:rPr>
        <w:t>"ש 157 שם.</w:t>
      </w:r>
      <w:r w:rsidR="007F315F">
        <w:rPr>
          <w:rFonts w:hint="cs"/>
          <w:rtl/>
        </w:rPr>
        <w:t xml:space="preserve"> </w:t>
      </w:r>
    </w:p>
  </w:footnote>
  <w:footnote w:id="7">
    <w:p w:rsidR="00470325" w:rsidRDefault="00470325" w:rsidP="00470325">
      <w:pPr>
        <w:pStyle w:val="a3"/>
      </w:pPr>
      <w:r>
        <w:rPr>
          <w:rStyle w:val="a5"/>
        </w:rPr>
        <w:footnoteRef/>
      </w:r>
      <w:r>
        <w:rPr>
          <w:rtl/>
        </w:rPr>
        <w:t xml:space="preserve"> </w:t>
      </w:r>
      <w:r w:rsidRPr="006A7A03">
        <w:rPr>
          <w:rFonts w:hint="cs"/>
          <w:color w:val="auto"/>
          <w:sz w:val="20"/>
          <w:rtl/>
        </w:rPr>
        <w:t>לא למותר לציין, כי גם בחקיקה הקיימת שמקנה לבית הדין הרבני בהקשרים שונים סמכות שיפוט מכוח הסכמת הצדדים</w:t>
      </w:r>
      <w:r w:rsidRPr="009E4B8E">
        <w:rPr>
          <w:rFonts w:hint="cs"/>
          <w:color w:val="auto"/>
          <w:sz w:val="20"/>
          <w:rtl/>
        </w:rPr>
        <w:t xml:space="preserve"> </w:t>
      </w:r>
      <w:r w:rsidRPr="006A7A03">
        <w:rPr>
          <w:rFonts w:hint="cs"/>
          <w:color w:val="auto"/>
          <w:sz w:val="20"/>
          <w:rtl/>
        </w:rPr>
        <w:t>(סעיף 9 לחוק שיפוט בתי דין רבניים; סעיף 155(א) לחוק הירושה)</w:t>
      </w:r>
      <w:r>
        <w:rPr>
          <w:rFonts w:hint="cs"/>
          <w:color w:val="auto"/>
          <w:sz w:val="20"/>
          <w:rtl/>
        </w:rPr>
        <w:t>,</w:t>
      </w:r>
      <w:r w:rsidRPr="006A7A03">
        <w:rPr>
          <w:rFonts w:hint="cs"/>
          <w:color w:val="auto"/>
          <w:sz w:val="20"/>
          <w:rtl/>
        </w:rPr>
        <w:t xml:space="preserve"> </w:t>
      </w:r>
      <w:r>
        <w:rPr>
          <w:rFonts w:hint="cs"/>
          <w:color w:val="auto"/>
          <w:sz w:val="20"/>
          <w:rtl/>
        </w:rPr>
        <w:t xml:space="preserve">אין הוראות </w:t>
      </w:r>
      <w:r w:rsidRPr="006A7A03">
        <w:rPr>
          <w:rFonts w:hint="cs"/>
          <w:color w:val="auto"/>
          <w:sz w:val="20"/>
          <w:rtl/>
        </w:rPr>
        <w:t>שמאפשרות לבית הדין "ליידע" צד שאינו מסכים או להתיר לצד שהסכים לפנות לבית משפט אזרחי.</w:t>
      </w:r>
    </w:p>
  </w:footnote>
  <w:footnote w:id="8">
    <w:p w:rsidR="00DB2000" w:rsidRDefault="00DB2000">
      <w:pPr>
        <w:pStyle w:val="a3"/>
      </w:pPr>
      <w:r>
        <w:rPr>
          <w:rStyle w:val="a5"/>
        </w:rPr>
        <w:footnoteRef/>
      </w:r>
      <w:r>
        <w:rPr>
          <w:rtl/>
        </w:rPr>
        <w:t xml:space="preserve"> </w:t>
      </w:r>
      <w:r w:rsidRPr="00DB2000">
        <w:rPr>
          <w:rFonts w:ascii="David" w:hAnsi="David"/>
          <w:sz w:val="20"/>
          <w:rtl/>
        </w:rPr>
        <w:t>רע</w:t>
      </w:r>
      <w:r w:rsidRPr="00DB2000">
        <w:rPr>
          <w:rFonts w:ascii="David" w:hAnsi="David" w:hint="cs"/>
          <w:sz w:val="20"/>
          <w:rtl/>
        </w:rPr>
        <w:t>"</w:t>
      </w:r>
      <w:r w:rsidRPr="00DB2000">
        <w:rPr>
          <w:rFonts w:ascii="David" w:hAnsi="David"/>
          <w:sz w:val="20"/>
          <w:rtl/>
        </w:rPr>
        <w:t xml:space="preserve">א 4198/10 </w:t>
      </w:r>
      <w:r w:rsidRPr="00DB2000">
        <w:rPr>
          <w:rFonts w:ascii="David" w:hAnsi="David"/>
          <w:b/>
          <w:bCs/>
          <w:sz w:val="20"/>
          <w:rtl/>
        </w:rPr>
        <w:t>חיים איבגי נ' רחל תהילה גבאי</w:t>
      </w:r>
      <w:r w:rsidRPr="00DB2000">
        <w:rPr>
          <w:rFonts w:ascii="David" w:hAnsi="David" w:hint="cs"/>
          <w:sz w:val="20"/>
          <w:rtl/>
        </w:rPr>
        <w:t xml:space="preserve"> (2012)</w:t>
      </w:r>
      <w:r w:rsidR="00F3708E">
        <w:rPr>
          <w:rFonts w:ascii="David" w:hAnsi="David" w:hint="cs"/>
          <w:sz w:val="20"/>
          <w:rtl/>
        </w:rPr>
        <w:t xml:space="preserve"> (להלן </w:t>
      </w:r>
      <w:r w:rsidR="00F3708E">
        <w:rPr>
          <w:rFonts w:ascii="David" w:hAnsi="David"/>
          <w:sz w:val="20"/>
          <w:rtl/>
        </w:rPr>
        <w:t>–</w:t>
      </w:r>
      <w:r w:rsidR="00F3708E">
        <w:rPr>
          <w:rFonts w:ascii="David" w:hAnsi="David" w:hint="cs"/>
          <w:sz w:val="20"/>
          <w:rtl/>
        </w:rPr>
        <w:t xml:space="preserve"> הלכת </w:t>
      </w:r>
      <w:r w:rsidR="00F3708E" w:rsidRPr="00F3708E">
        <w:rPr>
          <w:rFonts w:ascii="David" w:hAnsi="David" w:hint="cs"/>
          <w:b/>
          <w:bCs/>
          <w:sz w:val="20"/>
          <w:rtl/>
        </w:rPr>
        <w:t>איבגי נ' גבאי</w:t>
      </w:r>
      <w:r w:rsidR="00F3708E">
        <w:rPr>
          <w:rFonts w:ascii="David" w:hAnsi="David" w:hint="cs"/>
          <w:sz w:val="20"/>
          <w:rtl/>
        </w:rPr>
        <w:t>)</w:t>
      </w:r>
      <w:r w:rsidRPr="00DB2000">
        <w:rPr>
          <w:rFonts w:ascii="David" w:hAnsi="David" w:hint="cs"/>
          <w:sz w:val="20"/>
          <w:rtl/>
        </w:rPr>
        <w:t>.</w:t>
      </w:r>
    </w:p>
  </w:footnote>
  <w:footnote w:id="9">
    <w:p w:rsidR="00465145" w:rsidRDefault="00465145">
      <w:pPr>
        <w:pStyle w:val="a3"/>
        <w:rPr>
          <w:rtl/>
        </w:rPr>
      </w:pPr>
      <w:r>
        <w:rPr>
          <w:rStyle w:val="a5"/>
        </w:rPr>
        <w:footnoteRef/>
      </w:r>
      <w:r>
        <w:rPr>
          <w:rtl/>
        </w:rPr>
        <w:t xml:space="preserve"> </w:t>
      </w:r>
      <w:r>
        <w:rPr>
          <w:rFonts w:hint="cs"/>
          <w:rtl/>
        </w:rPr>
        <w:t xml:space="preserve">ראו, למשל: </w:t>
      </w:r>
      <w:r w:rsidRPr="00465145">
        <w:rPr>
          <w:rFonts w:ascii="David" w:hAnsi="David"/>
          <w:sz w:val="20"/>
          <w:rtl/>
        </w:rPr>
        <w:t>הפב (מרכז) 1642-04-15</w:t>
      </w:r>
      <w:r w:rsidRPr="00465145">
        <w:rPr>
          <w:rFonts w:ascii="David" w:hAnsi="David" w:hint="cs"/>
          <w:sz w:val="20"/>
          <w:rtl/>
        </w:rPr>
        <w:t xml:space="preserve"> </w:t>
      </w:r>
      <w:r w:rsidRPr="00465145">
        <w:rPr>
          <w:rFonts w:ascii="David" w:hAnsi="David"/>
          <w:b/>
          <w:bCs/>
          <w:sz w:val="20"/>
          <w:rtl/>
        </w:rPr>
        <w:t>חיים סגל נ' ליאור גרוסמן</w:t>
      </w:r>
      <w:r w:rsidRPr="00465145">
        <w:rPr>
          <w:rFonts w:ascii="David" w:hAnsi="David" w:hint="cs"/>
          <w:sz w:val="20"/>
          <w:rtl/>
        </w:rPr>
        <w:t xml:space="preserve"> (2015).</w:t>
      </w:r>
    </w:p>
  </w:footnote>
  <w:footnote w:id="10">
    <w:p w:rsidR="00F14016" w:rsidRDefault="00F14016" w:rsidP="00F14016">
      <w:pPr>
        <w:pStyle w:val="a3"/>
      </w:pPr>
      <w:r>
        <w:rPr>
          <w:rStyle w:val="a5"/>
        </w:rPr>
        <w:footnoteRef/>
      </w:r>
      <w:r>
        <w:rPr>
          <w:rtl/>
        </w:rPr>
        <w:t xml:space="preserve"> </w:t>
      </w:r>
      <w:r w:rsidRPr="00F14016">
        <w:rPr>
          <w:rFonts w:hint="cs"/>
          <w:sz w:val="20"/>
          <w:rtl/>
        </w:rPr>
        <w:t>בביקורת שערך מבקר המדינה על בתי הדין הרבניים, העיר מבקר המדינה כי נוכח קביעת בג</w:t>
      </w:r>
      <w:r w:rsidRPr="00F14016">
        <w:rPr>
          <w:sz w:val="20"/>
          <w:rtl/>
        </w:rPr>
        <w:t>"</w:t>
      </w:r>
      <w:r w:rsidRPr="00F14016">
        <w:rPr>
          <w:rFonts w:hint="cs"/>
          <w:sz w:val="20"/>
          <w:rtl/>
        </w:rPr>
        <w:t>ץ, וכל עוד לא שונה המצב המשפטי, על בתי הדין הרבניים להימנע מלנהל בוררויות שהם אינם מוסמכים לנהלן</w:t>
      </w:r>
      <w:r>
        <w:rPr>
          <w:rFonts w:hint="cs"/>
          <w:sz w:val="20"/>
          <w:rtl/>
        </w:rPr>
        <w:t>. ראו: דו"ח מבקר המדינה 58ב לשנת 2007, עמ' 944-945</w:t>
      </w:r>
      <w:r w:rsidRPr="00F14016">
        <w:rPr>
          <w:rFonts w:hint="cs"/>
          <w:sz w:val="20"/>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149F0"/>
    <w:multiLevelType w:val="hybridMultilevel"/>
    <w:tmpl w:val="4998C45C"/>
    <w:lvl w:ilvl="0" w:tplc="EEF81E50">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14F33"/>
    <w:multiLevelType w:val="hybridMultilevel"/>
    <w:tmpl w:val="12326632"/>
    <w:lvl w:ilvl="0" w:tplc="7A6E2AF2">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27505"/>
    <w:multiLevelType w:val="hybridMultilevel"/>
    <w:tmpl w:val="4E94F5A6"/>
    <w:lvl w:ilvl="0" w:tplc="354C25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FF47FF"/>
    <w:multiLevelType w:val="hybridMultilevel"/>
    <w:tmpl w:val="0C625BAA"/>
    <w:lvl w:ilvl="0" w:tplc="E56AAA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2B7E54"/>
    <w:multiLevelType w:val="hybridMultilevel"/>
    <w:tmpl w:val="D21E85C2"/>
    <w:lvl w:ilvl="0" w:tplc="41DADAB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0B66D7"/>
    <w:multiLevelType w:val="hybridMultilevel"/>
    <w:tmpl w:val="11EE3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A54CED"/>
    <w:multiLevelType w:val="hybridMultilevel"/>
    <w:tmpl w:val="BCCA0010"/>
    <w:lvl w:ilvl="0" w:tplc="1E92469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F0B3EB8"/>
    <w:multiLevelType w:val="hybridMultilevel"/>
    <w:tmpl w:val="F93E493C"/>
    <w:lvl w:ilvl="0" w:tplc="86029D3E">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B835E0"/>
    <w:multiLevelType w:val="hybridMultilevel"/>
    <w:tmpl w:val="1EAC0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CC6D1B"/>
    <w:multiLevelType w:val="multilevel"/>
    <w:tmpl w:val="11BE27D6"/>
    <w:lvl w:ilvl="0">
      <w:start w:val="1"/>
      <w:numFmt w:val="decimal"/>
      <w:lvlText w:val="%1."/>
      <w:lvlJc w:val="right"/>
      <w:pPr>
        <w:tabs>
          <w:tab w:val="num" w:pos="340"/>
        </w:tabs>
        <w:ind w:left="340" w:hanging="170"/>
      </w:pPr>
      <w:rPr>
        <w:rFonts w:ascii="Courier New" w:hAnsi="Courier New" w:cs="David" w:hint="default"/>
        <w:b w:val="0"/>
        <w:bCs w:val="0"/>
        <w:i w:val="0"/>
        <w:iCs w:val="0"/>
        <w:strike w:val="0"/>
        <w:dstrike w:val="0"/>
        <w:color w:val="000000"/>
        <w:sz w:val="24"/>
        <w:szCs w:val="24"/>
        <w:u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hebrew1"/>
      <w:lvlText w:val="(%2)"/>
      <w:lvlJc w:val="right"/>
      <w:pPr>
        <w:tabs>
          <w:tab w:val="num" w:pos="737"/>
        </w:tabs>
        <w:ind w:left="737" w:hanging="113"/>
      </w:pPr>
      <w:rPr>
        <w:rFonts w:cs="David" w:hint="cs"/>
        <w:b w:val="0"/>
        <w:bCs w:val="0"/>
        <w:i w:val="0"/>
        <w:iCs w:val="0"/>
        <w:caps w:val="0"/>
        <w:strike w:val="0"/>
        <w:dstrike w:val="0"/>
        <w:color w:val="000000"/>
        <w:sz w:val="2"/>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center"/>
      <w:pPr>
        <w:tabs>
          <w:tab w:val="num" w:pos="1211"/>
        </w:tabs>
        <w:ind w:left="1191" w:hanging="340"/>
      </w:pPr>
      <w:rPr>
        <w:rFonts w:cs="Times New Roman" w:hint="default"/>
      </w:rPr>
    </w:lvl>
    <w:lvl w:ilvl="3">
      <w:start w:val="1"/>
      <w:numFmt w:val="decimal"/>
      <w:suff w:val="nothing"/>
      <w:lvlText w:val="%4)"/>
      <w:lvlJc w:val="right"/>
      <w:pPr>
        <w:ind w:left="1644" w:hanging="170"/>
      </w:pPr>
      <w:rPr>
        <w:rFonts w:cs="Times New Roman" w:hint="default"/>
      </w:rPr>
    </w:lvl>
    <w:lvl w:ilvl="4">
      <w:start w:val="1"/>
      <w:numFmt w:val="upperRoman"/>
      <w:lvlText w:val="(%5)"/>
      <w:lvlJc w:val="center"/>
      <w:pPr>
        <w:tabs>
          <w:tab w:val="num" w:pos="1800"/>
        </w:tabs>
        <w:ind w:left="1800" w:hanging="360"/>
      </w:pPr>
      <w:rPr>
        <w:rFonts w:cs="Times New Roman" w:hint="default"/>
      </w:rPr>
    </w:lvl>
    <w:lvl w:ilvl="5">
      <w:start w:val="1"/>
      <w:numFmt w:val="lowerLetter"/>
      <w:lvlText w:val="(%6)"/>
      <w:lvlJc w:val="center"/>
      <w:pPr>
        <w:tabs>
          <w:tab w:val="num" w:pos="2160"/>
        </w:tabs>
        <w:ind w:left="2160" w:hanging="360"/>
      </w:pPr>
      <w:rPr>
        <w:rFonts w:cs="Times New Roman" w:hint="default"/>
      </w:rPr>
    </w:lvl>
    <w:lvl w:ilvl="6">
      <w:start w:val="1"/>
      <w:numFmt w:val="decimal"/>
      <w:lvlText w:val="%7."/>
      <w:lvlJc w:val="center"/>
      <w:pPr>
        <w:tabs>
          <w:tab w:val="num" w:pos="530"/>
        </w:tabs>
        <w:ind w:left="397" w:hanging="227"/>
      </w:pPr>
      <w:rPr>
        <w:rFonts w:cs="Times New Roman" w:hint="default"/>
      </w:rPr>
    </w:lvl>
    <w:lvl w:ilvl="7">
      <w:start w:val="1"/>
      <w:numFmt w:val="cardinalText"/>
      <w:lvlText w:val="%8."/>
      <w:lvlJc w:val="center"/>
      <w:pPr>
        <w:tabs>
          <w:tab w:val="num" w:pos="3168"/>
        </w:tabs>
        <w:ind w:left="2880" w:hanging="360"/>
      </w:pPr>
      <w:rPr>
        <w:rFonts w:cs="Times New Roman" w:hint="default"/>
      </w:rPr>
    </w:lvl>
    <w:lvl w:ilvl="8">
      <w:start w:val="1"/>
      <w:numFmt w:val="lowerLetter"/>
      <w:lvlText w:val="%9."/>
      <w:lvlJc w:val="center"/>
      <w:pPr>
        <w:tabs>
          <w:tab w:val="num" w:pos="3528"/>
        </w:tabs>
        <w:ind w:left="3240" w:hanging="360"/>
      </w:pPr>
      <w:rPr>
        <w:rFonts w:cs="Times New Roman" w:hint="default"/>
      </w:rPr>
    </w:lvl>
  </w:abstractNum>
  <w:abstractNum w:abstractNumId="10" w15:restartNumberingAfterBreak="0">
    <w:nsid w:val="43BB292C"/>
    <w:multiLevelType w:val="hybridMultilevel"/>
    <w:tmpl w:val="64DCDD7C"/>
    <w:lvl w:ilvl="0" w:tplc="AE207D9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4E50AAE"/>
    <w:multiLevelType w:val="hybridMultilevel"/>
    <w:tmpl w:val="8B3283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2D268F"/>
    <w:multiLevelType w:val="hybridMultilevel"/>
    <w:tmpl w:val="F5C65F1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3" w15:restartNumberingAfterBreak="0">
    <w:nsid w:val="5C405CEA"/>
    <w:multiLevelType w:val="hybridMultilevel"/>
    <w:tmpl w:val="713A3B02"/>
    <w:lvl w:ilvl="0" w:tplc="4D24C0FE">
      <w:start w:val="1"/>
      <w:numFmt w:val="hebrew1"/>
      <w:lvlText w:val="%1."/>
      <w:lvlJc w:val="left"/>
      <w:pPr>
        <w:ind w:left="216" w:hanging="360"/>
      </w:pPr>
      <w:rPr>
        <w:rFonts w:ascii="Times New Roman" w:eastAsia="Times New Roman" w:hAnsi="Times New Roman" w:cs="David"/>
        <w:b w:val="0"/>
        <w:bCs w:val="0"/>
      </w:rPr>
    </w:lvl>
    <w:lvl w:ilvl="1" w:tplc="04090003">
      <w:start w:val="1"/>
      <w:numFmt w:val="bullet"/>
      <w:lvlText w:val="o"/>
      <w:lvlJc w:val="left"/>
      <w:pPr>
        <w:ind w:left="1354" w:hanging="360"/>
      </w:pPr>
      <w:rPr>
        <w:rFonts w:ascii="Courier New" w:hAnsi="Courier New" w:cs="Courier New" w:hint="default"/>
      </w:rPr>
    </w:lvl>
    <w:lvl w:ilvl="2" w:tplc="04090005">
      <w:start w:val="1"/>
      <w:numFmt w:val="bullet"/>
      <w:lvlText w:val=""/>
      <w:lvlJc w:val="left"/>
      <w:pPr>
        <w:ind w:left="2074" w:hanging="360"/>
      </w:pPr>
      <w:rPr>
        <w:rFonts w:ascii="Wingdings" w:hAnsi="Wingdings" w:hint="default"/>
      </w:rPr>
    </w:lvl>
    <w:lvl w:ilvl="3" w:tplc="04090001">
      <w:start w:val="1"/>
      <w:numFmt w:val="bullet"/>
      <w:lvlText w:val=""/>
      <w:lvlJc w:val="left"/>
      <w:pPr>
        <w:ind w:left="2794" w:hanging="360"/>
      </w:pPr>
      <w:rPr>
        <w:rFonts w:ascii="Symbol" w:hAnsi="Symbol" w:hint="default"/>
      </w:rPr>
    </w:lvl>
    <w:lvl w:ilvl="4" w:tplc="04090003">
      <w:start w:val="1"/>
      <w:numFmt w:val="bullet"/>
      <w:lvlText w:val="o"/>
      <w:lvlJc w:val="left"/>
      <w:pPr>
        <w:ind w:left="3514" w:hanging="360"/>
      </w:pPr>
      <w:rPr>
        <w:rFonts w:ascii="Courier New" w:hAnsi="Courier New" w:cs="Courier New" w:hint="default"/>
      </w:rPr>
    </w:lvl>
    <w:lvl w:ilvl="5" w:tplc="04090005">
      <w:start w:val="1"/>
      <w:numFmt w:val="bullet"/>
      <w:lvlText w:val=""/>
      <w:lvlJc w:val="left"/>
      <w:pPr>
        <w:ind w:left="4234" w:hanging="360"/>
      </w:pPr>
      <w:rPr>
        <w:rFonts w:ascii="Wingdings" w:hAnsi="Wingdings" w:hint="default"/>
      </w:rPr>
    </w:lvl>
    <w:lvl w:ilvl="6" w:tplc="04090001">
      <w:start w:val="1"/>
      <w:numFmt w:val="bullet"/>
      <w:lvlText w:val=""/>
      <w:lvlJc w:val="left"/>
      <w:pPr>
        <w:ind w:left="4954" w:hanging="360"/>
      </w:pPr>
      <w:rPr>
        <w:rFonts w:ascii="Symbol" w:hAnsi="Symbol" w:hint="default"/>
      </w:rPr>
    </w:lvl>
    <w:lvl w:ilvl="7" w:tplc="04090003">
      <w:start w:val="1"/>
      <w:numFmt w:val="bullet"/>
      <w:lvlText w:val="o"/>
      <w:lvlJc w:val="left"/>
      <w:pPr>
        <w:ind w:left="5674" w:hanging="360"/>
      </w:pPr>
      <w:rPr>
        <w:rFonts w:ascii="Courier New" w:hAnsi="Courier New" w:cs="Courier New" w:hint="default"/>
      </w:rPr>
    </w:lvl>
    <w:lvl w:ilvl="8" w:tplc="04090005">
      <w:start w:val="1"/>
      <w:numFmt w:val="bullet"/>
      <w:lvlText w:val=""/>
      <w:lvlJc w:val="left"/>
      <w:pPr>
        <w:ind w:left="6394" w:hanging="360"/>
      </w:pPr>
      <w:rPr>
        <w:rFonts w:ascii="Wingdings" w:hAnsi="Wingdings" w:hint="default"/>
      </w:rPr>
    </w:lvl>
  </w:abstractNum>
  <w:abstractNum w:abstractNumId="14" w15:restartNumberingAfterBreak="0">
    <w:nsid w:val="627F7C20"/>
    <w:multiLevelType w:val="hybridMultilevel"/>
    <w:tmpl w:val="EC228E2C"/>
    <w:lvl w:ilvl="0" w:tplc="C90EAD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854FDB"/>
    <w:multiLevelType w:val="hybridMultilevel"/>
    <w:tmpl w:val="AE94174A"/>
    <w:lvl w:ilvl="0" w:tplc="0409000F">
      <w:start w:val="1"/>
      <w:numFmt w:val="decimal"/>
      <w:lvlText w:val="%1."/>
      <w:lvlJc w:val="left"/>
      <w:pPr>
        <w:ind w:left="770" w:hanging="360"/>
      </w:pPr>
    </w:lvl>
    <w:lvl w:ilvl="1" w:tplc="04090019">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16"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7562730A"/>
    <w:multiLevelType w:val="hybridMultilevel"/>
    <w:tmpl w:val="3A52E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7468DA"/>
    <w:multiLevelType w:val="hybridMultilevel"/>
    <w:tmpl w:val="6ACC83FE"/>
    <w:lvl w:ilvl="0" w:tplc="41DADAB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2E2F01"/>
    <w:multiLevelType w:val="hybridMultilevel"/>
    <w:tmpl w:val="FA16A440"/>
    <w:lvl w:ilvl="0" w:tplc="74DA3126">
      <w:start w:val="2"/>
      <w:numFmt w:val="bullet"/>
      <w:lvlText w:val="-"/>
      <w:lvlJc w:val="left"/>
      <w:pPr>
        <w:ind w:left="720" w:hanging="360"/>
      </w:pPr>
      <w:rPr>
        <w:rFonts w:ascii="Times New Roman" w:eastAsia="Times New Roman" w:hAnsi="Times New Roman"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3"/>
    <w:lvlOverride w:ilvl="0">
      <w:startOverride w:val="1"/>
    </w:lvlOverride>
    <w:lvlOverride w:ilvl="1"/>
    <w:lvlOverride w:ilvl="2"/>
    <w:lvlOverride w:ilvl="3"/>
    <w:lvlOverride w:ilvl="4"/>
    <w:lvlOverride w:ilvl="5"/>
    <w:lvlOverride w:ilvl="6"/>
    <w:lvlOverride w:ilvl="7"/>
    <w:lvlOverride w:ilvl="8"/>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
  </w:num>
  <w:num w:numId="10">
    <w:abstractNumId w:val="12"/>
  </w:num>
  <w:num w:numId="11">
    <w:abstractNumId w:val="9"/>
  </w:num>
  <w:num w:numId="12">
    <w:abstractNumId w:val="17"/>
  </w:num>
  <w:num w:numId="13">
    <w:abstractNumId w:val="18"/>
  </w:num>
  <w:num w:numId="14">
    <w:abstractNumId w:val="11"/>
  </w:num>
  <w:num w:numId="15">
    <w:abstractNumId w:val="8"/>
  </w:num>
  <w:num w:numId="16">
    <w:abstractNumId w:val="19"/>
  </w:num>
  <w:num w:numId="17">
    <w:abstractNumId w:val="15"/>
  </w:num>
  <w:num w:numId="18">
    <w:abstractNumId w:val="2"/>
  </w:num>
  <w:num w:numId="19">
    <w:abstractNumId w:val="14"/>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F32"/>
    <w:rsid w:val="000030E5"/>
    <w:rsid w:val="00003B71"/>
    <w:rsid w:val="00010036"/>
    <w:rsid w:val="000121BD"/>
    <w:rsid w:val="0001340F"/>
    <w:rsid w:val="000142B3"/>
    <w:rsid w:val="00021C4E"/>
    <w:rsid w:val="0002215E"/>
    <w:rsid w:val="0002456D"/>
    <w:rsid w:val="000279D7"/>
    <w:rsid w:val="000350C6"/>
    <w:rsid w:val="00035BFA"/>
    <w:rsid w:val="00037ADC"/>
    <w:rsid w:val="00043D24"/>
    <w:rsid w:val="00045D60"/>
    <w:rsid w:val="00047851"/>
    <w:rsid w:val="00051014"/>
    <w:rsid w:val="0005120E"/>
    <w:rsid w:val="00051DB1"/>
    <w:rsid w:val="00052251"/>
    <w:rsid w:val="00054796"/>
    <w:rsid w:val="0005556D"/>
    <w:rsid w:val="000602B8"/>
    <w:rsid w:val="00061F20"/>
    <w:rsid w:val="00062C4C"/>
    <w:rsid w:val="00066607"/>
    <w:rsid w:val="0006785C"/>
    <w:rsid w:val="00071C4D"/>
    <w:rsid w:val="00072389"/>
    <w:rsid w:val="00073766"/>
    <w:rsid w:val="000746C0"/>
    <w:rsid w:val="00076DD3"/>
    <w:rsid w:val="00083E23"/>
    <w:rsid w:val="00084612"/>
    <w:rsid w:val="000859F4"/>
    <w:rsid w:val="0008694E"/>
    <w:rsid w:val="00087BAC"/>
    <w:rsid w:val="0009771C"/>
    <w:rsid w:val="00097ACF"/>
    <w:rsid w:val="000A067A"/>
    <w:rsid w:val="000B0140"/>
    <w:rsid w:val="000B0FF8"/>
    <w:rsid w:val="000B167D"/>
    <w:rsid w:val="000B1BA5"/>
    <w:rsid w:val="000B38E9"/>
    <w:rsid w:val="000B5BB5"/>
    <w:rsid w:val="000B5E3D"/>
    <w:rsid w:val="000B635E"/>
    <w:rsid w:val="000B74F3"/>
    <w:rsid w:val="000C4957"/>
    <w:rsid w:val="000C4E42"/>
    <w:rsid w:val="000C663F"/>
    <w:rsid w:val="000C6B6B"/>
    <w:rsid w:val="000C7D1A"/>
    <w:rsid w:val="000D1EC0"/>
    <w:rsid w:val="000D315D"/>
    <w:rsid w:val="000D4CAC"/>
    <w:rsid w:val="000D6950"/>
    <w:rsid w:val="000E5F13"/>
    <w:rsid w:val="000E71A0"/>
    <w:rsid w:val="000F5DA7"/>
    <w:rsid w:val="000F7291"/>
    <w:rsid w:val="00105506"/>
    <w:rsid w:val="00105C6B"/>
    <w:rsid w:val="00110B4C"/>
    <w:rsid w:val="00115DA1"/>
    <w:rsid w:val="00116919"/>
    <w:rsid w:val="0011702C"/>
    <w:rsid w:val="0011717E"/>
    <w:rsid w:val="00117E19"/>
    <w:rsid w:val="0012332D"/>
    <w:rsid w:val="0012430D"/>
    <w:rsid w:val="00130C1E"/>
    <w:rsid w:val="001322CD"/>
    <w:rsid w:val="001347E3"/>
    <w:rsid w:val="00141550"/>
    <w:rsid w:val="0014341E"/>
    <w:rsid w:val="00145E3D"/>
    <w:rsid w:val="0015009F"/>
    <w:rsid w:val="001511DE"/>
    <w:rsid w:val="00152D86"/>
    <w:rsid w:val="00152FE4"/>
    <w:rsid w:val="00153BD7"/>
    <w:rsid w:val="00160360"/>
    <w:rsid w:val="00160CF7"/>
    <w:rsid w:val="001620EE"/>
    <w:rsid w:val="001664E2"/>
    <w:rsid w:val="00167B49"/>
    <w:rsid w:val="00170A3A"/>
    <w:rsid w:val="00172384"/>
    <w:rsid w:val="0017348E"/>
    <w:rsid w:val="00175F40"/>
    <w:rsid w:val="00176473"/>
    <w:rsid w:val="0018295A"/>
    <w:rsid w:val="001860A1"/>
    <w:rsid w:val="00187811"/>
    <w:rsid w:val="001922D7"/>
    <w:rsid w:val="001A098E"/>
    <w:rsid w:val="001A4825"/>
    <w:rsid w:val="001A501B"/>
    <w:rsid w:val="001A7FBB"/>
    <w:rsid w:val="001B10F7"/>
    <w:rsid w:val="001B19CC"/>
    <w:rsid w:val="001B2600"/>
    <w:rsid w:val="001B2A24"/>
    <w:rsid w:val="001B3773"/>
    <w:rsid w:val="001B53E5"/>
    <w:rsid w:val="001B638B"/>
    <w:rsid w:val="001B7072"/>
    <w:rsid w:val="001C3F16"/>
    <w:rsid w:val="001D0930"/>
    <w:rsid w:val="001D0D27"/>
    <w:rsid w:val="001D37CE"/>
    <w:rsid w:val="001D7B57"/>
    <w:rsid w:val="001E04A8"/>
    <w:rsid w:val="001E4A97"/>
    <w:rsid w:val="001F04A9"/>
    <w:rsid w:val="001F191B"/>
    <w:rsid w:val="001F2D74"/>
    <w:rsid w:val="001F5FB3"/>
    <w:rsid w:val="00201B92"/>
    <w:rsid w:val="00204281"/>
    <w:rsid w:val="00206D9B"/>
    <w:rsid w:val="00226C35"/>
    <w:rsid w:val="002271C7"/>
    <w:rsid w:val="00227F49"/>
    <w:rsid w:val="0023120D"/>
    <w:rsid w:val="00231FA1"/>
    <w:rsid w:val="0023251B"/>
    <w:rsid w:val="0023533A"/>
    <w:rsid w:val="002364E3"/>
    <w:rsid w:val="00236DF8"/>
    <w:rsid w:val="00237A43"/>
    <w:rsid w:val="002408CC"/>
    <w:rsid w:val="00240F15"/>
    <w:rsid w:val="00244FAE"/>
    <w:rsid w:val="0025793E"/>
    <w:rsid w:val="00263B9A"/>
    <w:rsid w:val="00266545"/>
    <w:rsid w:val="00270CD1"/>
    <w:rsid w:val="00273879"/>
    <w:rsid w:val="00275BC6"/>
    <w:rsid w:val="00275E16"/>
    <w:rsid w:val="002766E2"/>
    <w:rsid w:val="002840CD"/>
    <w:rsid w:val="00286D60"/>
    <w:rsid w:val="00291591"/>
    <w:rsid w:val="00293D4E"/>
    <w:rsid w:val="00294919"/>
    <w:rsid w:val="00294FFB"/>
    <w:rsid w:val="002A024D"/>
    <w:rsid w:val="002A17A2"/>
    <w:rsid w:val="002A2A12"/>
    <w:rsid w:val="002A604D"/>
    <w:rsid w:val="002B00BB"/>
    <w:rsid w:val="002B1596"/>
    <w:rsid w:val="002B2B73"/>
    <w:rsid w:val="002B5E46"/>
    <w:rsid w:val="002C219C"/>
    <w:rsid w:val="002C2634"/>
    <w:rsid w:val="002C5517"/>
    <w:rsid w:val="002D1F6E"/>
    <w:rsid w:val="002D455E"/>
    <w:rsid w:val="002E0A66"/>
    <w:rsid w:val="002E149A"/>
    <w:rsid w:val="002F027A"/>
    <w:rsid w:val="002F2827"/>
    <w:rsid w:val="002F3DCC"/>
    <w:rsid w:val="002F7E3C"/>
    <w:rsid w:val="003025B9"/>
    <w:rsid w:val="00305947"/>
    <w:rsid w:val="003069A7"/>
    <w:rsid w:val="00306C7D"/>
    <w:rsid w:val="00310714"/>
    <w:rsid w:val="0031274F"/>
    <w:rsid w:val="00312CBB"/>
    <w:rsid w:val="00323645"/>
    <w:rsid w:val="0032535A"/>
    <w:rsid w:val="00325E2D"/>
    <w:rsid w:val="003272C1"/>
    <w:rsid w:val="003343BC"/>
    <w:rsid w:val="0033527B"/>
    <w:rsid w:val="00335453"/>
    <w:rsid w:val="00336C8C"/>
    <w:rsid w:val="003407C1"/>
    <w:rsid w:val="0034094B"/>
    <w:rsid w:val="00343462"/>
    <w:rsid w:val="003441FE"/>
    <w:rsid w:val="00344466"/>
    <w:rsid w:val="00344A5B"/>
    <w:rsid w:val="003531A9"/>
    <w:rsid w:val="00361056"/>
    <w:rsid w:val="00361AF4"/>
    <w:rsid w:val="00361B5D"/>
    <w:rsid w:val="0036304D"/>
    <w:rsid w:val="00363C36"/>
    <w:rsid w:val="00364678"/>
    <w:rsid w:val="00374283"/>
    <w:rsid w:val="003770BA"/>
    <w:rsid w:val="003841CA"/>
    <w:rsid w:val="0038773B"/>
    <w:rsid w:val="00391232"/>
    <w:rsid w:val="00391A67"/>
    <w:rsid w:val="00392AB4"/>
    <w:rsid w:val="00392B74"/>
    <w:rsid w:val="003A1284"/>
    <w:rsid w:val="003A21BB"/>
    <w:rsid w:val="003A4EC3"/>
    <w:rsid w:val="003A71BF"/>
    <w:rsid w:val="003A73A7"/>
    <w:rsid w:val="003B1E47"/>
    <w:rsid w:val="003B2241"/>
    <w:rsid w:val="003B2DC2"/>
    <w:rsid w:val="003B523E"/>
    <w:rsid w:val="003B5C15"/>
    <w:rsid w:val="003B5C1E"/>
    <w:rsid w:val="003B60CE"/>
    <w:rsid w:val="003B65D2"/>
    <w:rsid w:val="003C12BF"/>
    <w:rsid w:val="003C3E72"/>
    <w:rsid w:val="003C4E24"/>
    <w:rsid w:val="003C5168"/>
    <w:rsid w:val="003D49A9"/>
    <w:rsid w:val="003E5541"/>
    <w:rsid w:val="003F0B27"/>
    <w:rsid w:val="003F4245"/>
    <w:rsid w:val="00407E83"/>
    <w:rsid w:val="00412015"/>
    <w:rsid w:val="00414A98"/>
    <w:rsid w:val="0041610F"/>
    <w:rsid w:val="00422EBA"/>
    <w:rsid w:val="00423471"/>
    <w:rsid w:val="00424461"/>
    <w:rsid w:val="00427053"/>
    <w:rsid w:val="004271D9"/>
    <w:rsid w:val="00431144"/>
    <w:rsid w:val="004350B2"/>
    <w:rsid w:val="004357D6"/>
    <w:rsid w:val="004359B9"/>
    <w:rsid w:val="00441BDD"/>
    <w:rsid w:val="00443D33"/>
    <w:rsid w:val="0044608F"/>
    <w:rsid w:val="00446E64"/>
    <w:rsid w:val="0045037C"/>
    <w:rsid w:val="00450934"/>
    <w:rsid w:val="00451DC0"/>
    <w:rsid w:val="004559D4"/>
    <w:rsid w:val="00456733"/>
    <w:rsid w:val="00461BEB"/>
    <w:rsid w:val="00461DA6"/>
    <w:rsid w:val="004631DC"/>
    <w:rsid w:val="00465145"/>
    <w:rsid w:val="00470325"/>
    <w:rsid w:val="00473D1F"/>
    <w:rsid w:val="0047484D"/>
    <w:rsid w:val="00474BF5"/>
    <w:rsid w:val="004773CD"/>
    <w:rsid w:val="00477C8E"/>
    <w:rsid w:val="00481647"/>
    <w:rsid w:val="00482965"/>
    <w:rsid w:val="00485B82"/>
    <w:rsid w:val="004917DF"/>
    <w:rsid w:val="004940C5"/>
    <w:rsid w:val="00495011"/>
    <w:rsid w:val="00496AF2"/>
    <w:rsid w:val="004A06FA"/>
    <w:rsid w:val="004A10FF"/>
    <w:rsid w:val="004A43E7"/>
    <w:rsid w:val="004A4EC6"/>
    <w:rsid w:val="004A616D"/>
    <w:rsid w:val="004B285A"/>
    <w:rsid w:val="004B56E1"/>
    <w:rsid w:val="004B7634"/>
    <w:rsid w:val="004C0A52"/>
    <w:rsid w:val="004C1EE0"/>
    <w:rsid w:val="004C2EF4"/>
    <w:rsid w:val="004C33F4"/>
    <w:rsid w:val="004C370F"/>
    <w:rsid w:val="004C6CC9"/>
    <w:rsid w:val="004D000B"/>
    <w:rsid w:val="004D25BD"/>
    <w:rsid w:val="004D33E2"/>
    <w:rsid w:val="004D481A"/>
    <w:rsid w:val="004D4BE2"/>
    <w:rsid w:val="004D529F"/>
    <w:rsid w:val="004D6BAF"/>
    <w:rsid w:val="004E07B6"/>
    <w:rsid w:val="004E0EF5"/>
    <w:rsid w:val="004E1549"/>
    <w:rsid w:val="004E2DA6"/>
    <w:rsid w:val="004E3189"/>
    <w:rsid w:val="004E3608"/>
    <w:rsid w:val="004F4B3F"/>
    <w:rsid w:val="004F4C12"/>
    <w:rsid w:val="005004F4"/>
    <w:rsid w:val="00507410"/>
    <w:rsid w:val="0051063F"/>
    <w:rsid w:val="00511113"/>
    <w:rsid w:val="005123C6"/>
    <w:rsid w:val="005125AD"/>
    <w:rsid w:val="0051533B"/>
    <w:rsid w:val="00521A3F"/>
    <w:rsid w:val="0053019C"/>
    <w:rsid w:val="00530781"/>
    <w:rsid w:val="00535C18"/>
    <w:rsid w:val="00537570"/>
    <w:rsid w:val="00541E23"/>
    <w:rsid w:val="00542440"/>
    <w:rsid w:val="00546729"/>
    <w:rsid w:val="0055112B"/>
    <w:rsid w:val="00554CBE"/>
    <w:rsid w:val="00554E97"/>
    <w:rsid w:val="005626F9"/>
    <w:rsid w:val="0056432F"/>
    <w:rsid w:val="005652A7"/>
    <w:rsid w:val="00573842"/>
    <w:rsid w:val="00576C2F"/>
    <w:rsid w:val="00577605"/>
    <w:rsid w:val="005827B7"/>
    <w:rsid w:val="00586E39"/>
    <w:rsid w:val="00591E12"/>
    <w:rsid w:val="00591F67"/>
    <w:rsid w:val="00596AED"/>
    <w:rsid w:val="005971B7"/>
    <w:rsid w:val="005A5BF8"/>
    <w:rsid w:val="005B44CA"/>
    <w:rsid w:val="005C00BD"/>
    <w:rsid w:val="005C00EB"/>
    <w:rsid w:val="005C5E37"/>
    <w:rsid w:val="005C6C00"/>
    <w:rsid w:val="005D0108"/>
    <w:rsid w:val="005D0238"/>
    <w:rsid w:val="005D1120"/>
    <w:rsid w:val="005D153F"/>
    <w:rsid w:val="005D5B09"/>
    <w:rsid w:val="005E2B7C"/>
    <w:rsid w:val="005E7D5F"/>
    <w:rsid w:val="005F0F3B"/>
    <w:rsid w:val="005F48EF"/>
    <w:rsid w:val="005F5DF1"/>
    <w:rsid w:val="00606BED"/>
    <w:rsid w:val="006107BB"/>
    <w:rsid w:val="006112FC"/>
    <w:rsid w:val="006125F3"/>
    <w:rsid w:val="00613C0F"/>
    <w:rsid w:val="00614AC1"/>
    <w:rsid w:val="0061525C"/>
    <w:rsid w:val="00615E5B"/>
    <w:rsid w:val="00620E8B"/>
    <w:rsid w:val="00625F5C"/>
    <w:rsid w:val="00626E8D"/>
    <w:rsid w:val="00633D07"/>
    <w:rsid w:val="00642190"/>
    <w:rsid w:val="00651962"/>
    <w:rsid w:val="00654E0B"/>
    <w:rsid w:val="00655573"/>
    <w:rsid w:val="00655F9A"/>
    <w:rsid w:val="006612B7"/>
    <w:rsid w:val="00662C27"/>
    <w:rsid w:val="0066666C"/>
    <w:rsid w:val="00667CF3"/>
    <w:rsid w:val="006730AE"/>
    <w:rsid w:val="00674055"/>
    <w:rsid w:val="006740FC"/>
    <w:rsid w:val="006756C2"/>
    <w:rsid w:val="006769AC"/>
    <w:rsid w:val="006818CD"/>
    <w:rsid w:val="00683239"/>
    <w:rsid w:val="006903EE"/>
    <w:rsid w:val="006925F0"/>
    <w:rsid w:val="006938E7"/>
    <w:rsid w:val="00694014"/>
    <w:rsid w:val="006946E4"/>
    <w:rsid w:val="0069786D"/>
    <w:rsid w:val="006A1E24"/>
    <w:rsid w:val="006A372B"/>
    <w:rsid w:val="006A3CF8"/>
    <w:rsid w:val="006A46A7"/>
    <w:rsid w:val="006A4BF8"/>
    <w:rsid w:val="006A5552"/>
    <w:rsid w:val="006A7A03"/>
    <w:rsid w:val="006B2778"/>
    <w:rsid w:val="006B306F"/>
    <w:rsid w:val="006B324A"/>
    <w:rsid w:val="006B5466"/>
    <w:rsid w:val="006B7E98"/>
    <w:rsid w:val="006C0401"/>
    <w:rsid w:val="006C20A9"/>
    <w:rsid w:val="006C38CE"/>
    <w:rsid w:val="006C3FE6"/>
    <w:rsid w:val="006C6C86"/>
    <w:rsid w:val="006C6F42"/>
    <w:rsid w:val="006D138C"/>
    <w:rsid w:val="006D1FA2"/>
    <w:rsid w:val="006E2D24"/>
    <w:rsid w:val="006E3EBB"/>
    <w:rsid w:val="006E7B72"/>
    <w:rsid w:val="006F11CE"/>
    <w:rsid w:val="006F2D7A"/>
    <w:rsid w:val="006F5078"/>
    <w:rsid w:val="007005BC"/>
    <w:rsid w:val="007048E0"/>
    <w:rsid w:val="00705FA6"/>
    <w:rsid w:val="00710666"/>
    <w:rsid w:val="00712AFD"/>
    <w:rsid w:val="00713196"/>
    <w:rsid w:val="00716781"/>
    <w:rsid w:val="00717B75"/>
    <w:rsid w:val="00717D7C"/>
    <w:rsid w:val="00720F32"/>
    <w:rsid w:val="0072168A"/>
    <w:rsid w:val="00722EB8"/>
    <w:rsid w:val="007239F8"/>
    <w:rsid w:val="007269E1"/>
    <w:rsid w:val="00727329"/>
    <w:rsid w:val="00740384"/>
    <w:rsid w:val="00744F96"/>
    <w:rsid w:val="007479B6"/>
    <w:rsid w:val="00756AA7"/>
    <w:rsid w:val="00756C35"/>
    <w:rsid w:val="00767309"/>
    <w:rsid w:val="00767490"/>
    <w:rsid w:val="00767E96"/>
    <w:rsid w:val="007707E9"/>
    <w:rsid w:val="00777ADE"/>
    <w:rsid w:val="00783A61"/>
    <w:rsid w:val="007867A0"/>
    <w:rsid w:val="00791937"/>
    <w:rsid w:val="00791949"/>
    <w:rsid w:val="00792980"/>
    <w:rsid w:val="00793930"/>
    <w:rsid w:val="00793A69"/>
    <w:rsid w:val="007961FD"/>
    <w:rsid w:val="007A1DAB"/>
    <w:rsid w:val="007A4261"/>
    <w:rsid w:val="007A6E7E"/>
    <w:rsid w:val="007B1625"/>
    <w:rsid w:val="007B1D63"/>
    <w:rsid w:val="007C263C"/>
    <w:rsid w:val="007C2810"/>
    <w:rsid w:val="007C7B3C"/>
    <w:rsid w:val="007D0507"/>
    <w:rsid w:val="007D178A"/>
    <w:rsid w:val="007D324F"/>
    <w:rsid w:val="007D4D1B"/>
    <w:rsid w:val="007D578F"/>
    <w:rsid w:val="007E00AA"/>
    <w:rsid w:val="007E0574"/>
    <w:rsid w:val="007E3A49"/>
    <w:rsid w:val="007E581B"/>
    <w:rsid w:val="007F315F"/>
    <w:rsid w:val="007F4315"/>
    <w:rsid w:val="007F484A"/>
    <w:rsid w:val="007F5BA2"/>
    <w:rsid w:val="008104B4"/>
    <w:rsid w:val="00811987"/>
    <w:rsid w:val="00813A35"/>
    <w:rsid w:val="00814A1E"/>
    <w:rsid w:val="0081561F"/>
    <w:rsid w:val="0081677E"/>
    <w:rsid w:val="00817CD8"/>
    <w:rsid w:val="008214C4"/>
    <w:rsid w:val="00822FC2"/>
    <w:rsid w:val="0082460A"/>
    <w:rsid w:val="008279CC"/>
    <w:rsid w:val="008304A7"/>
    <w:rsid w:val="00831736"/>
    <w:rsid w:val="008323E5"/>
    <w:rsid w:val="00833DF7"/>
    <w:rsid w:val="00840A48"/>
    <w:rsid w:val="008440AA"/>
    <w:rsid w:val="008447A4"/>
    <w:rsid w:val="008464FB"/>
    <w:rsid w:val="00846AFC"/>
    <w:rsid w:val="00847C0D"/>
    <w:rsid w:val="00847C9D"/>
    <w:rsid w:val="00850E35"/>
    <w:rsid w:val="00853FD8"/>
    <w:rsid w:val="00860DD6"/>
    <w:rsid w:val="00860F56"/>
    <w:rsid w:val="0086165C"/>
    <w:rsid w:val="0086466E"/>
    <w:rsid w:val="008714F3"/>
    <w:rsid w:val="00872991"/>
    <w:rsid w:val="0087379B"/>
    <w:rsid w:val="0087748E"/>
    <w:rsid w:val="00877A39"/>
    <w:rsid w:val="00880ACF"/>
    <w:rsid w:val="0088546A"/>
    <w:rsid w:val="00887D3C"/>
    <w:rsid w:val="00892AC8"/>
    <w:rsid w:val="00893622"/>
    <w:rsid w:val="0089796F"/>
    <w:rsid w:val="008A0325"/>
    <w:rsid w:val="008A0D9F"/>
    <w:rsid w:val="008A141C"/>
    <w:rsid w:val="008A1DF1"/>
    <w:rsid w:val="008A5644"/>
    <w:rsid w:val="008A632E"/>
    <w:rsid w:val="008A7E4B"/>
    <w:rsid w:val="008B124C"/>
    <w:rsid w:val="008B44BB"/>
    <w:rsid w:val="008C7446"/>
    <w:rsid w:val="008D2E88"/>
    <w:rsid w:val="008E2562"/>
    <w:rsid w:val="008E460F"/>
    <w:rsid w:val="008F0EDD"/>
    <w:rsid w:val="008F5FB9"/>
    <w:rsid w:val="008F6962"/>
    <w:rsid w:val="0090638F"/>
    <w:rsid w:val="00906951"/>
    <w:rsid w:val="0090736F"/>
    <w:rsid w:val="00911D8B"/>
    <w:rsid w:val="009135AD"/>
    <w:rsid w:val="00921648"/>
    <w:rsid w:val="009217C8"/>
    <w:rsid w:val="009218BC"/>
    <w:rsid w:val="0092317C"/>
    <w:rsid w:val="00930B57"/>
    <w:rsid w:val="00933899"/>
    <w:rsid w:val="00934AFD"/>
    <w:rsid w:val="00937A6E"/>
    <w:rsid w:val="00940575"/>
    <w:rsid w:val="009423AA"/>
    <w:rsid w:val="00943110"/>
    <w:rsid w:val="009455F1"/>
    <w:rsid w:val="00947656"/>
    <w:rsid w:val="00947D09"/>
    <w:rsid w:val="00950216"/>
    <w:rsid w:val="00950B8C"/>
    <w:rsid w:val="00952B7B"/>
    <w:rsid w:val="00953998"/>
    <w:rsid w:val="0095427E"/>
    <w:rsid w:val="00954A87"/>
    <w:rsid w:val="0095643D"/>
    <w:rsid w:val="00957F49"/>
    <w:rsid w:val="009620E3"/>
    <w:rsid w:val="00963E76"/>
    <w:rsid w:val="00967251"/>
    <w:rsid w:val="009718C7"/>
    <w:rsid w:val="009765CF"/>
    <w:rsid w:val="0098123A"/>
    <w:rsid w:val="009818D2"/>
    <w:rsid w:val="00983107"/>
    <w:rsid w:val="00983E92"/>
    <w:rsid w:val="00983FB4"/>
    <w:rsid w:val="00986633"/>
    <w:rsid w:val="009866E2"/>
    <w:rsid w:val="0099668C"/>
    <w:rsid w:val="009A262E"/>
    <w:rsid w:val="009A28ED"/>
    <w:rsid w:val="009A4DDB"/>
    <w:rsid w:val="009A6EB5"/>
    <w:rsid w:val="009A71D6"/>
    <w:rsid w:val="009B1594"/>
    <w:rsid w:val="009B42F9"/>
    <w:rsid w:val="009B66F7"/>
    <w:rsid w:val="009B6F13"/>
    <w:rsid w:val="009B775E"/>
    <w:rsid w:val="009B7A61"/>
    <w:rsid w:val="009C0063"/>
    <w:rsid w:val="009C21B0"/>
    <w:rsid w:val="009C335B"/>
    <w:rsid w:val="009C3414"/>
    <w:rsid w:val="009C5DC9"/>
    <w:rsid w:val="009C5E90"/>
    <w:rsid w:val="009C7897"/>
    <w:rsid w:val="009D0FDF"/>
    <w:rsid w:val="009D31BD"/>
    <w:rsid w:val="009D5449"/>
    <w:rsid w:val="009D6CE2"/>
    <w:rsid w:val="009E0ED7"/>
    <w:rsid w:val="009E3A03"/>
    <w:rsid w:val="009E4537"/>
    <w:rsid w:val="009E46A5"/>
    <w:rsid w:val="009E4B8E"/>
    <w:rsid w:val="009E6D0E"/>
    <w:rsid w:val="009F2DB6"/>
    <w:rsid w:val="009F3C17"/>
    <w:rsid w:val="009F6A3E"/>
    <w:rsid w:val="009F700B"/>
    <w:rsid w:val="00A002C4"/>
    <w:rsid w:val="00A03807"/>
    <w:rsid w:val="00A0422B"/>
    <w:rsid w:val="00A04B00"/>
    <w:rsid w:val="00A05BC1"/>
    <w:rsid w:val="00A132F3"/>
    <w:rsid w:val="00A15428"/>
    <w:rsid w:val="00A27ECD"/>
    <w:rsid w:val="00A27F32"/>
    <w:rsid w:val="00A335D7"/>
    <w:rsid w:val="00A3473A"/>
    <w:rsid w:val="00A3579E"/>
    <w:rsid w:val="00A35F16"/>
    <w:rsid w:val="00A407F1"/>
    <w:rsid w:val="00A42531"/>
    <w:rsid w:val="00A4499B"/>
    <w:rsid w:val="00A454B8"/>
    <w:rsid w:val="00A51474"/>
    <w:rsid w:val="00A535B9"/>
    <w:rsid w:val="00A53CD4"/>
    <w:rsid w:val="00A547E2"/>
    <w:rsid w:val="00A563E6"/>
    <w:rsid w:val="00A6122F"/>
    <w:rsid w:val="00A63383"/>
    <w:rsid w:val="00A70215"/>
    <w:rsid w:val="00A71C01"/>
    <w:rsid w:val="00A762C4"/>
    <w:rsid w:val="00A7655B"/>
    <w:rsid w:val="00A773FB"/>
    <w:rsid w:val="00A825E7"/>
    <w:rsid w:val="00A8457C"/>
    <w:rsid w:val="00A902F5"/>
    <w:rsid w:val="00A90F45"/>
    <w:rsid w:val="00A93193"/>
    <w:rsid w:val="00AA0898"/>
    <w:rsid w:val="00AA1F3B"/>
    <w:rsid w:val="00AA3947"/>
    <w:rsid w:val="00AA6626"/>
    <w:rsid w:val="00AA70E6"/>
    <w:rsid w:val="00AA7667"/>
    <w:rsid w:val="00AB27D7"/>
    <w:rsid w:val="00AB67D6"/>
    <w:rsid w:val="00AB6F0A"/>
    <w:rsid w:val="00AC2E00"/>
    <w:rsid w:val="00AC41B1"/>
    <w:rsid w:val="00AC4782"/>
    <w:rsid w:val="00AC6DBE"/>
    <w:rsid w:val="00AC7E6E"/>
    <w:rsid w:val="00AD1251"/>
    <w:rsid w:val="00AD496C"/>
    <w:rsid w:val="00AD4DA1"/>
    <w:rsid w:val="00AD5575"/>
    <w:rsid w:val="00AD565F"/>
    <w:rsid w:val="00AD6926"/>
    <w:rsid w:val="00AE0186"/>
    <w:rsid w:val="00AE0DCF"/>
    <w:rsid w:val="00AE1C0B"/>
    <w:rsid w:val="00AE28C7"/>
    <w:rsid w:val="00AE2EC1"/>
    <w:rsid w:val="00AE3C5D"/>
    <w:rsid w:val="00AE506E"/>
    <w:rsid w:val="00AE50FC"/>
    <w:rsid w:val="00AE7A06"/>
    <w:rsid w:val="00AF0FED"/>
    <w:rsid w:val="00AF2983"/>
    <w:rsid w:val="00AF2BCC"/>
    <w:rsid w:val="00AF302F"/>
    <w:rsid w:val="00AF35F9"/>
    <w:rsid w:val="00AF6326"/>
    <w:rsid w:val="00AF7F23"/>
    <w:rsid w:val="00B02B22"/>
    <w:rsid w:val="00B02C26"/>
    <w:rsid w:val="00B060D2"/>
    <w:rsid w:val="00B0698F"/>
    <w:rsid w:val="00B10639"/>
    <w:rsid w:val="00B12048"/>
    <w:rsid w:val="00B133DF"/>
    <w:rsid w:val="00B158BC"/>
    <w:rsid w:val="00B20230"/>
    <w:rsid w:val="00B20B72"/>
    <w:rsid w:val="00B22239"/>
    <w:rsid w:val="00B2477F"/>
    <w:rsid w:val="00B25567"/>
    <w:rsid w:val="00B27668"/>
    <w:rsid w:val="00B315B2"/>
    <w:rsid w:val="00B3291E"/>
    <w:rsid w:val="00B425AB"/>
    <w:rsid w:val="00B4464B"/>
    <w:rsid w:val="00B453BE"/>
    <w:rsid w:val="00B45875"/>
    <w:rsid w:val="00B4638B"/>
    <w:rsid w:val="00B46634"/>
    <w:rsid w:val="00B510D0"/>
    <w:rsid w:val="00B51A53"/>
    <w:rsid w:val="00B51BAF"/>
    <w:rsid w:val="00B5319E"/>
    <w:rsid w:val="00B5381B"/>
    <w:rsid w:val="00B63AE7"/>
    <w:rsid w:val="00B66FE6"/>
    <w:rsid w:val="00B73213"/>
    <w:rsid w:val="00B73A40"/>
    <w:rsid w:val="00B7587C"/>
    <w:rsid w:val="00B75F7B"/>
    <w:rsid w:val="00B77052"/>
    <w:rsid w:val="00B952C2"/>
    <w:rsid w:val="00BA07EF"/>
    <w:rsid w:val="00BA0A15"/>
    <w:rsid w:val="00BA0CB2"/>
    <w:rsid w:val="00BA7445"/>
    <w:rsid w:val="00BA7889"/>
    <w:rsid w:val="00BB0528"/>
    <w:rsid w:val="00BB1BAA"/>
    <w:rsid w:val="00BB2C3E"/>
    <w:rsid w:val="00BB4BF6"/>
    <w:rsid w:val="00BB5A42"/>
    <w:rsid w:val="00BB688D"/>
    <w:rsid w:val="00BB78C8"/>
    <w:rsid w:val="00BB79A4"/>
    <w:rsid w:val="00BC13AE"/>
    <w:rsid w:val="00BC5945"/>
    <w:rsid w:val="00BC77D2"/>
    <w:rsid w:val="00BD7553"/>
    <w:rsid w:val="00BE2544"/>
    <w:rsid w:val="00BE2B89"/>
    <w:rsid w:val="00BE2F91"/>
    <w:rsid w:val="00BE3556"/>
    <w:rsid w:val="00BE41A5"/>
    <w:rsid w:val="00BE6806"/>
    <w:rsid w:val="00BF0659"/>
    <w:rsid w:val="00BF3B83"/>
    <w:rsid w:val="00BF4270"/>
    <w:rsid w:val="00BF4FCB"/>
    <w:rsid w:val="00C0142B"/>
    <w:rsid w:val="00C016E3"/>
    <w:rsid w:val="00C121F9"/>
    <w:rsid w:val="00C129E9"/>
    <w:rsid w:val="00C15533"/>
    <w:rsid w:val="00C17741"/>
    <w:rsid w:val="00C21223"/>
    <w:rsid w:val="00C21A5A"/>
    <w:rsid w:val="00C22FB2"/>
    <w:rsid w:val="00C2371D"/>
    <w:rsid w:val="00C23920"/>
    <w:rsid w:val="00C2451C"/>
    <w:rsid w:val="00C25BA4"/>
    <w:rsid w:val="00C26153"/>
    <w:rsid w:val="00C27B8C"/>
    <w:rsid w:val="00C30311"/>
    <w:rsid w:val="00C30784"/>
    <w:rsid w:val="00C30EAC"/>
    <w:rsid w:val="00C32279"/>
    <w:rsid w:val="00C407AA"/>
    <w:rsid w:val="00C4166D"/>
    <w:rsid w:val="00C419B7"/>
    <w:rsid w:val="00C423DA"/>
    <w:rsid w:val="00C426C1"/>
    <w:rsid w:val="00C452A9"/>
    <w:rsid w:val="00C4700F"/>
    <w:rsid w:val="00C508F4"/>
    <w:rsid w:val="00C5147A"/>
    <w:rsid w:val="00C516B1"/>
    <w:rsid w:val="00C5441F"/>
    <w:rsid w:val="00C5556F"/>
    <w:rsid w:val="00C56E7C"/>
    <w:rsid w:val="00C63E22"/>
    <w:rsid w:val="00C6433C"/>
    <w:rsid w:val="00C67366"/>
    <w:rsid w:val="00C71A62"/>
    <w:rsid w:val="00C7461A"/>
    <w:rsid w:val="00C74B98"/>
    <w:rsid w:val="00C756DB"/>
    <w:rsid w:val="00C75BD6"/>
    <w:rsid w:val="00C814A6"/>
    <w:rsid w:val="00C82F16"/>
    <w:rsid w:val="00C8623C"/>
    <w:rsid w:val="00C906D2"/>
    <w:rsid w:val="00C92575"/>
    <w:rsid w:val="00C92D16"/>
    <w:rsid w:val="00CA1632"/>
    <w:rsid w:val="00CA438D"/>
    <w:rsid w:val="00CB0429"/>
    <w:rsid w:val="00CB04D5"/>
    <w:rsid w:val="00CB0B5C"/>
    <w:rsid w:val="00CC09CB"/>
    <w:rsid w:val="00CC0F16"/>
    <w:rsid w:val="00CC171C"/>
    <w:rsid w:val="00CC1FF5"/>
    <w:rsid w:val="00CC46D1"/>
    <w:rsid w:val="00CC4A1C"/>
    <w:rsid w:val="00CC5203"/>
    <w:rsid w:val="00CD17AE"/>
    <w:rsid w:val="00CD2AC4"/>
    <w:rsid w:val="00CD5480"/>
    <w:rsid w:val="00CD616D"/>
    <w:rsid w:val="00CD7C14"/>
    <w:rsid w:val="00CE2362"/>
    <w:rsid w:val="00CE3D0E"/>
    <w:rsid w:val="00CE5D2C"/>
    <w:rsid w:val="00CE707F"/>
    <w:rsid w:val="00CF335C"/>
    <w:rsid w:val="00CF48FD"/>
    <w:rsid w:val="00CF5415"/>
    <w:rsid w:val="00CF6B55"/>
    <w:rsid w:val="00D01438"/>
    <w:rsid w:val="00D02D00"/>
    <w:rsid w:val="00D04DB5"/>
    <w:rsid w:val="00D05FFB"/>
    <w:rsid w:val="00D066ED"/>
    <w:rsid w:val="00D13F98"/>
    <w:rsid w:val="00D14B56"/>
    <w:rsid w:val="00D1535E"/>
    <w:rsid w:val="00D15C7B"/>
    <w:rsid w:val="00D201B5"/>
    <w:rsid w:val="00D26793"/>
    <w:rsid w:val="00D30D25"/>
    <w:rsid w:val="00D34F9C"/>
    <w:rsid w:val="00D35256"/>
    <w:rsid w:val="00D440B9"/>
    <w:rsid w:val="00D44239"/>
    <w:rsid w:val="00D448A3"/>
    <w:rsid w:val="00D45C8A"/>
    <w:rsid w:val="00D47362"/>
    <w:rsid w:val="00D50AB2"/>
    <w:rsid w:val="00D5172E"/>
    <w:rsid w:val="00D55176"/>
    <w:rsid w:val="00D558EB"/>
    <w:rsid w:val="00D569FC"/>
    <w:rsid w:val="00D61334"/>
    <w:rsid w:val="00D625DA"/>
    <w:rsid w:val="00D62A21"/>
    <w:rsid w:val="00D63812"/>
    <w:rsid w:val="00D64936"/>
    <w:rsid w:val="00D67607"/>
    <w:rsid w:val="00D67AF6"/>
    <w:rsid w:val="00D7085A"/>
    <w:rsid w:val="00D72AA8"/>
    <w:rsid w:val="00D74262"/>
    <w:rsid w:val="00D7488E"/>
    <w:rsid w:val="00D754CD"/>
    <w:rsid w:val="00D76FEC"/>
    <w:rsid w:val="00D77AF1"/>
    <w:rsid w:val="00D81C93"/>
    <w:rsid w:val="00D8300E"/>
    <w:rsid w:val="00D85176"/>
    <w:rsid w:val="00D869D6"/>
    <w:rsid w:val="00D944BE"/>
    <w:rsid w:val="00D9794B"/>
    <w:rsid w:val="00DA01D2"/>
    <w:rsid w:val="00DA0530"/>
    <w:rsid w:val="00DA06C7"/>
    <w:rsid w:val="00DA28F0"/>
    <w:rsid w:val="00DA59F6"/>
    <w:rsid w:val="00DA5B4E"/>
    <w:rsid w:val="00DA6C44"/>
    <w:rsid w:val="00DB0139"/>
    <w:rsid w:val="00DB2000"/>
    <w:rsid w:val="00DB5D67"/>
    <w:rsid w:val="00DC02DA"/>
    <w:rsid w:val="00DC22AA"/>
    <w:rsid w:val="00DC312F"/>
    <w:rsid w:val="00DC386F"/>
    <w:rsid w:val="00DD096E"/>
    <w:rsid w:val="00DD238F"/>
    <w:rsid w:val="00DD23A5"/>
    <w:rsid w:val="00DD5022"/>
    <w:rsid w:val="00DD64A9"/>
    <w:rsid w:val="00DD758D"/>
    <w:rsid w:val="00DE0FE3"/>
    <w:rsid w:val="00DF1B9E"/>
    <w:rsid w:val="00E0313A"/>
    <w:rsid w:val="00E060A9"/>
    <w:rsid w:val="00E0643F"/>
    <w:rsid w:val="00E148A5"/>
    <w:rsid w:val="00E1504A"/>
    <w:rsid w:val="00E154BC"/>
    <w:rsid w:val="00E17101"/>
    <w:rsid w:val="00E17B1E"/>
    <w:rsid w:val="00E202D3"/>
    <w:rsid w:val="00E20B82"/>
    <w:rsid w:val="00E22ABE"/>
    <w:rsid w:val="00E242B9"/>
    <w:rsid w:val="00E24E91"/>
    <w:rsid w:val="00E2571B"/>
    <w:rsid w:val="00E2707A"/>
    <w:rsid w:val="00E271FD"/>
    <w:rsid w:val="00E30F54"/>
    <w:rsid w:val="00E32674"/>
    <w:rsid w:val="00E356D0"/>
    <w:rsid w:val="00E40477"/>
    <w:rsid w:val="00E407BA"/>
    <w:rsid w:val="00E409AA"/>
    <w:rsid w:val="00E42098"/>
    <w:rsid w:val="00E442E8"/>
    <w:rsid w:val="00E4447A"/>
    <w:rsid w:val="00E47D6E"/>
    <w:rsid w:val="00E50C17"/>
    <w:rsid w:val="00E5212A"/>
    <w:rsid w:val="00E530F7"/>
    <w:rsid w:val="00E61482"/>
    <w:rsid w:val="00E657F7"/>
    <w:rsid w:val="00E67CD1"/>
    <w:rsid w:val="00E70132"/>
    <w:rsid w:val="00E70305"/>
    <w:rsid w:val="00E7095D"/>
    <w:rsid w:val="00E70BCF"/>
    <w:rsid w:val="00E71A39"/>
    <w:rsid w:val="00E72EB4"/>
    <w:rsid w:val="00E774F8"/>
    <w:rsid w:val="00E9703F"/>
    <w:rsid w:val="00E9723E"/>
    <w:rsid w:val="00E975B3"/>
    <w:rsid w:val="00EA3AC9"/>
    <w:rsid w:val="00EA4974"/>
    <w:rsid w:val="00EB71A3"/>
    <w:rsid w:val="00EC02B1"/>
    <w:rsid w:val="00EC0CBD"/>
    <w:rsid w:val="00EC2210"/>
    <w:rsid w:val="00EC6431"/>
    <w:rsid w:val="00EC7209"/>
    <w:rsid w:val="00ED0E9D"/>
    <w:rsid w:val="00ED6066"/>
    <w:rsid w:val="00EE2BDC"/>
    <w:rsid w:val="00EE36B9"/>
    <w:rsid w:val="00EE4926"/>
    <w:rsid w:val="00EE53ED"/>
    <w:rsid w:val="00EE771C"/>
    <w:rsid w:val="00EF1362"/>
    <w:rsid w:val="00EF550E"/>
    <w:rsid w:val="00EF6165"/>
    <w:rsid w:val="00F00E13"/>
    <w:rsid w:val="00F00E23"/>
    <w:rsid w:val="00F01016"/>
    <w:rsid w:val="00F031AA"/>
    <w:rsid w:val="00F03A09"/>
    <w:rsid w:val="00F04C28"/>
    <w:rsid w:val="00F1110D"/>
    <w:rsid w:val="00F14016"/>
    <w:rsid w:val="00F15D96"/>
    <w:rsid w:val="00F22C6C"/>
    <w:rsid w:val="00F245EC"/>
    <w:rsid w:val="00F2643B"/>
    <w:rsid w:val="00F267BE"/>
    <w:rsid w:val="00F26E2D"/>
    <w:rsid w:val="00F32CB6"/>
    <w:rsid w:val="00F333FB"/>
    <w:rsid w:val="00F33E67"/>
    <w:rsid w:val="00F356AA"/>
    <w:rsid w:val="00F36C10"/>
    <w:rsid w:val="00F3708E"/>
    <w:rsid w:val="00F403A8"/>
    <w:rsid w:val="00F41DD9"/>
    <w:rsid w:val="00F45123"/>
    <w:rsid w:val="00F47F3E"/>
    <w:rsid w:val="00F50376"/>
    <w:rsid w:val="00F526A8"/>
    <w:rsid w:val="00F52CA6"/>
    <w:rsid w:val="00F5303A"/>
    <w:rsid w:val="00F541A3"/>
    <w:rsid w:val="00F550DC"/>
    <w:rsid w:val="00F57C20"/>
    <w:rsid w:val="00F60348"/>
    <w:rsid w:val="00F642E0"/>
    <w:rsid w:val="00F66DE0"/>
    <w:rsid w:val="00F678EC"/>
    <w:rsid w:val="00F71833"/>
    <w:rsid w:val="00F71E68"/>
    <w:rsid w:val="00F77CD2"/>
    <w:rsid w:val="00F803A6"/>
    <w:rsid w:val="00F8413F"/>
    <w:rsid w:val="00F86EF5"/>
    <w:rsid w:val="00F87BF9"/>
    <w:rsid w:val="00F92AD6"/>
    <w:rsid w:val="00F9510D"/>
    <w:rsid w:val="00FA3765"/>
    <w:rsid w:val="00FA4627"/>
    <w:rsid w:val="00FA7977"/>
    <w:rsid w:val="00FB7856"/>
    <w:rsid w:val="00FC0318"/>
    <w:rsid w:val="00FC40D4"/>
    <w:rsid w:val="00FC6EA7"/>
    <w:rsid w:val="00FD208B"/>
    <w:rsid w:val="00FD35E3"/>
    <w:rsid w:val="00FD3A8D"/>
    <w:rsid w:val="00FD3C05"/>
    <w:rsid w:val="00FE1FA7"/>
    <w:rsid w:val="00FE766A"/>
    <w:rsid w:val="00FF5B8E"/>
    <w:rsid w:val="00FF76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668E1D-D36C-427C-BAAD-8CF5E5A82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0BC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E70BCF"/>
    <w:rPr>
      <w:rFonts w:ascii="Times New Roman" w:hAnsi="Times New Roman" w:cs="Times New Roman"/>
      <w:sz w:val="26"/>
      <w:szCs w:val="26"/>
    </w:rPr>
  </w:style>
  <w:style w:type="paragraph" w:customStyle="1" w:styleId="P00">
    <w:name w:val="P00"/>
    <w:link w:val="P000"/>
    <w:rsid w:val="00E70BC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link w:val="P00"/>
    <w:rsid w:val="00E70BCF"/>
    <w:rPr>
      <w:rFonts w:ascii="Times New Roman" w:eastAsia="Times New Roman" w:hAnsi="Times New Roman" w:cs="Times New Roman"/>
      <w:noProof/>
      <w:sz w:val="20"/>
      <w:szCs w:val="26"/>
      <w:lang w:eastAsia="he-IL"/>
    </w:rPr>
  </w:style>
  <w:style w:type="paragraph" w:customStyle="1" w:styleId="TableText">
    <w:name w:val="Table Text"/>
    <w:basedOn w:val="a"/>
    <w:rsid w:val="00793A69"/>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793A69"/>
  </w:style>
  <w:style w:type="paragraph" w:customStyle="1" w:styleId="TableBlock">
    <w:name w:val="Table Block"/>
    <w:basedOn w:val="TableText"/>
    <w:rsid w:val="00793A69"/>
    <w:pPr>
      <w:ind w:right="0"/>
      <w:jc w:val="both"/>
    </w:pPr>
  </w:style>
  <w:style w:type="paragraph" w:styleId="a3">
    <w:name w:val="footnote text"/>
    <w:basedOn w:val="a"/>
    <w:link w:val="a4"/>
    <w:autoRedefine/>
    <w:uiPriority w:val="99"/>
    <w:semiHidden/>
    <w:rsid w:val="00F77CD2"/>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4">
    <w:name w:val="טקסט הערת שוליים תו"/>
    <w:basedOn w:val="a0"/>
    <w:link w:val="a3"/>
    <w:uiPriority w:val="99"/>
    <w:semiHidden/>
    <w:rsid w:val="00F77CD2"/>
    <w:rPr>
      <w:rFonts w:ascii="Arial" w:eastAsia="Arial Unicode MS" w:hAnsi="Arial" w:cs="David"/>
      <w:snapToGrid w:val="0"/>
      <w:color w:val="000000"/>
      <w:sz w:val="14"/>
      <w:szCs w:val="20"/>
      <w:lang w:eastAsia="ja-JP"/>
    </w:rPr>
  </w:style>
  <w:style w:type="character" w:styleId="a5">
    <w:name w:val="footnote reference"/>
    <w:aliases w:val="Footnote Reference"/>
    <w:basedOn w:val="a0"/>
    <w:uiPriority w:val="99"/>
    <w:semiHidden/>
    <w:rsid w:val="00793A69"/>
    <w:rPr>
      <w:vertAlign w:val="superscript"/>
    </w:rPr>
  </w:style>
  <w:style w:type="paragraph" w:customStyle="1" w:styleId="TableBlockOutdent">
    <w:name w:val="Table BlockOutdent"/>
    <w:basedOn w:val="TableBlock"/>
    <w:rsid w:val="00793A69"/>
    <w:pPr>
      <w:ind w:left="624" w:hanging="624"/>
    </w:pPr>
  </w:style>
  <w:style w:type="paragraph" w:styleId="a6">
    <w:name w:val="List Paragraph"/>
    <w:basedOn w:val="a"/>
    <w:uiPriority w:val="34"/>
    <w:qFormat/>
    <w:rsid w:val="006C6F42"/>
    <w:pPr>
      <w:ind w:left="720"/>
      <w:contextualSpacing/>
    </w:pPr>
  </w:style>
  <w:style w:type="paragraph" w:customStyle="1" w:styleId="P22">
    <w:name w:val="P22"/>
    <w:basedOn w:val="P00"/>
    <w:rsid w:val="00CC171C"/>
    <w:pPr>
      <w:tabs>
        <w:tab w:val="clear" w:pos="624"/>
        <w:tab w:val="clear" w:pos="1021"/>
      </w:tabs>
      <w:adjustRightInd w:val="0"/>
      <w:spacing w:line="360" w:lineRule="atLeast"/>
      <w:ind w:right="1021"/>
      <w:textAlignment w:val="baseline"/>
    </w:pPr>
    <w:rPr>
      <w:rFonts w:cs="FrankRuehl"/>
    </w:rPr>
  </w:style>
  <w:style w:type="character" w:customStyle="1" w:styleId="big-number">
    <w:name w:val="big-number"/>
    <w:rsid w:val="00CC171C"/>
    <w:rPr>
      <w:rFonts w:ascii="Times New Roman" w:hAnsi="Times New Roman" w:cs="Miriam"/>
      <w:sz w:val="20"/>
      <w:szCs w:val="32"/>
    </w:rPr>
  </w:style>
  <w:style w:type="paragraph" w:customStyle="1" w:styleId="big-header">
    <w:name w:val="big-header"/>
    <w:basedOn w:val="a"/>
    <w:rsid w:val="00CC171C"/>
    <w:pPr>
      <w:keepNext/>
      <w:keepLines/>
      <w:widowControl w:val="0"/>
      <w:tabs>
        <w:tab w:val="left" w:pos="624"/>
        <w:tab w:val="left" w:pos="1021"/>
        <w:tab w:val="left" w:pos="1474"/>
        <w:tab w:val="left" w:pos="1928"/>
        <w:tab w:val="left" w:pos="2381"/>
        <w:tab w:val="left" w:pos="2835"/>
      </w:tabs>
      <w:suppressAutoHyphens/>
      <w:autoSpaceDE w:val="0"/>
      <w:autoSpaceDN w:val="0"/>
      <w:adjustRightInd w:val="0"/>
      <w:spacing w:before="440" w:after="120" w:line="240" w:lineRule="auto"/>
      <w:ind w:left="2835"/>
      <w:jc w:val="center"/>
      <w:textAlignment w:val="baseline"/>
    </w:pPr>
    <w:rPr>
      <w:rFonts w:ascii="Times New Roman" w:eastAsia="Times New Roman" w:hAnsi="Times New Roman" w:cs="FrankRuehl"/>
      <w:noProof/>
      <w:sz w:val="20"/>
      <w:szCs w:val="32"/>
      <w:lang w:eastAsia="he-IL"/>
    </w:rPr>
  </w:style>
  <w:style w:type="paragraph" w:customStyle="1" w:styleId="footnote">
    <w:name w:val="footnote"/>
    <w:basedOn w:val="P00"/>
    <w:rsid w:val="002766E2"/>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basedOn w:val="a0"/>
    <w:rsid w:val="002766E2"/>
    <w:rPr>
      <w:color w:val="0000FF"/>
      <w:u w:val="single"/>
    </w:rPr>
  </w:style>
  <w:style w:type="table" w:styleId="a7">
    <w:name w:val="Table Grid"/>
    <w:basedOn w:val="a1"/>
    <w:uiPriority w:val="39"/>
    <w:rsid w:val="002F2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טקסט1"/>
    <w:basedOn w:val="a"/>
    <w:rsid w:val="00AA1F3B"/>
    <w:pPr>
      <w:spacing w:after="0" w:line="360" w:lineRule="auto"/>
      <w:jc w:val="both"/>
    </w:pPr>
    <w:rPr>
      <w:rFonts w:ascii="Times New Roman" w:eastAsia="Times New Roman" w:hAnsi="Times New Roman" w:cs="David"/>
      <w:kern w:val="28"/>
      <w:sz w:val="24"/>
      <w:szCs w:val="24"/>
      <w:lang w:eastAsia="he-IL"/>
    </w:rPr>
  </w:style>
  <w:style w:type="paragraph" w:customStyle="1" w:styleId="medium2-header">
    <w:name w:val="medium2-header"/>
    <w:basedOn w:val="a"/>
    <w:rsid w:val="0034094B"/>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paragraph" w:customStyle="1" w:styleId="P03">
    <w:name w:val="P03"/>
    <w:basedOn w:val="P00"/>
    <w:rsid w:val="0034094B"/>
    <w:pPr>
      <w:ind w:right="1474" w:hanging="1474"/>
    </w:pPr>
  </w:style>
  <w:style w:type="paragraph" w:customStyle="1" w:styleId="P33">
    <w:name w:val="P33"/>
    <w:basedOn w:val="P00"/>
    <w:rsid w:val="0034094B"/>
    <w:pPr>
      <w:tabs>
        <w:tab w:val="clear" w:pos="624"/>
        <w:tab w:val="clear" w:pos="1021"/>
        <w:tab w:val="clear" w:pos="1474"/>
      </w:tabs>
      <w:ind w:right="1474"/>
    </w:pPr>
  </w:style>
  <w:style w:type="paragraph" w:styleId="a8">
    <w:name w:val="header"/>
    <w:basedOn w:val="a"/>
    <w:link w:val="a9"/>
    <w:rsid w:val="00705FA6"/>
    <w:pPr>
      <w:tabs>
        <w:tab w:val="center" w:pos="4153"/>
        <w:tab w:val="right" w:pos="8306"/>
      </w:tabs>
      <w:overflowPunct w:val="0"/>
      <w:autoSpaceDE w:val="0"/>
      <w:autoSpaceDN w:val="0"/>
      <w:adjustRightInd w:val="0"/>
      <w:spacing w:after="0" w:line="240" w:lineRule="auto"/>
    </w:pPr>
    <w:rPr>
      <w:rFonts w:ascii="Times New Roman" w:eastAsia="Times New Roman" w:hAnsi="Times New Roman" w:cs="David"/>
      <w:sz w:val="20"/>
      <w:szCs w:val="24"/>
    </w:rPr>
  </w:style>
  <w:style w:type="character" w:customStyle="1" w:styleId="a9">
    <w:name w:val="כותרת עליונה תו"/>
    <w:basedOn w:val="a0"/>
    <w:link w:val="a8"/>
    <w:rsid w:val="00705FA6"/>
    <w:rPr>
      <w:rFonts w:ascii="Times New Roman" w:eastAsia="Times New Roman" w:hAnsi="Times New Roman" w:cs="David"/>
      <w:sz w:val="20"/>
      <w:szCs w:val="24"/>
    </w:rPr>
  </w:style>
  <w:style w:type="character" w:customStyle="1" w:styleId="Ruller4">
    <w:name w:val="Ruller4 תו"/>
    <w:link w:val="Ruller40"/>
    <w:locked/>
    <w:rsid w:val="00465145"/>
    <w:rPr>
      <w:rFonts w:ascii="Arial TUR" w:hAnsi="Arial TUR" w:cs="FrankRuehl"/>
      <w:spacing w:val="10"/>
      <w:szCs w:val="28"/>
    </w:rPr>
  </w:style>
  <w:style w:type="paragraph" w:customStyle="1" w:styleId="Ruller40">
    <w:name w:val="Ruller4"/>
    <w:basedOn w:val="a"/>
    <w:link w:val="Ruller4"/>
    <w:rsid w:val="00465145"/>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paragraph" w:customStyle="1" w:styleId="RESHET">
    <w:name w:val="RESHET"/>
    <w:basedOn w:val="a"/>
    <w:rsid w:val="00A93193"/>
    <w:pPr>
      <w:pBdr>
        <w:top w:val="single" w:sz="4" w:space="4" w:color="FFFFFF"/>
        <w:left w:val="single" w:sz="4" w:space="11" w:color="FFFFFF"/>
        <w:bottom w:val="single" w:sz="4" w:space="6" w:color="FFFFFF"/>
        <w:right w:val="single" w:sz="4" w:space="11" w:color="FFFFFF"/>
      </w:pBdr>
      <w:shd w:val="pct25" w:color="00FF00" w:fill="auto"/>
      <w:spacing w:after="120" w:line="230" w:lineRule="exact"/>
      <w:ind w:left="227" w:right="227"/>
      <w:jc w:val="both"/>
    </w:pPr>
    <w:rPr>
      <w:rFonts w:ascii="Times New Roman" w:eastAsia="Times New Roman" w:hAnsi="Times New Roman" w:cs="FrankRuehl"/>
      <w:b/>
      <w:bCs/>
      <w:sz w:val="24"/>
      <w:lang w:eastAsia="he-IL"/>
    </w:rPr>
  </w:style>
  <w:style w:type="paragraph" w:styleId="NormalWeb">
    <w:name w:val="Normal (Web)"/>
    <w:basedOn w:val="a"/>
    <w:uiPriority w:val="99"/>
    <w:semiHidden/>
    <w:unhideWhenUsed/>
    <w:rsid w:val="0054672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a0"/>
    <w:uiPriority w:val="99"/>
    <w:semiHidden/>
    <w:unhideWhenUsed/>
    <w:rsid w:val="00BA07EF"/>
    <w:rPr>
      <w:color w:val="954F72" w:themeColor="followedHyperlink"/>
      <w:u w:val="single"/>
    </w:rPr>
  </w:style>
  <w:style w:type="character" w:customStyle="1" w:styleId="apple-converted-space">
    <w:name w:val="apple-converted-space"/>
    <w:basedOn w:val="a0"/>
    <w:rsid w:val="00C5147A"/>
  </w:style>
  <w:style w:type="paragraph" w:customStyle="1" w:styleId="ruller41">
    <w:name w:val="ruller4"/>
    <w:basedOn w:val="a"/>
    <w:rsid w:val="00CB04D5"/>
    <w:pPr>
      <w:overflowPunct w:val="0"/>
      <w:autoSpaceDE w:val="0"/>
      <w:autoSpaceDN w:val="0"/>
      <w:spacing w:after="0" w:line="360" w:lineRule="auto"/>
      <w:jc w:val="both"/>
    </w:pPr>
    <w:rPr>
      <w:rFonts w:ascii="Arial TUR" w:eastAsia="Times New Roman" w:hAnsi="Arial TUR" w:cs="Arial TUR"/>
      <w:spacing w:val="10"/>
      <w:lang w:eastAsia="he-IL"/>
    </w:rPr>
  </w:style>
  <w:style w:type="paragraph" w:styleId="aa">
    <w:name w:val="footer"/>
    <w:basedOn w:val="a"/>
    <w:link w:val="ab"/>
    <w:uiPriority w:val="99"/>
    <w:unhideWhenUsed/>
    <w:rsid w:val="0056432F"/>
    <w:pPr>
      <w:tabs>
        <w:tab w:val="center" w:pos="4153"/>
        <w:tab w:val="right" w:pos="8306"/>
      </w:tabs>
      <w:spacing w:after="0" w:line="240" w:lineRule="auto"/>
    </w:pPr>
  </w:style>
  <w:style w:type="character" w:customStyle="1" w:styleId="ab">
    <w:name w:val="כותרת תחתונה תו"/>
    <w:basedOn w:val="a0"/>
    <w:link w:val="aa"/>
    <w:uiPriority w:val="99"/>
    <w:rsid w:val="0056432F"/>
  </w:style>
  <w:style w:type="paragraph" w:styleId="ac">
    <w:name w:val="Balloon Text"/>
    <w:basedOn w:val="a"/>
    <w:link w:val="ad"/>
    <w:uiPriority w:val="99"/>
    <w:semiHidden/>
    <w:unhideWhenUsed/>
    <w:rsid w:val="00530781"/>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5307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813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58FC62-B04C-47B2-A09C-198D77472006}">
  <ds:schemaRefs>
    <ds:schemaRef ds:uri="http://schemas.openxmlformats.org/officeDocument/2006/bibliography"/>
  </ds:schemaRefs>
</ds:datastoreItem>
</file>

<file path=customXml/itemProps2.xml><?xml version="1.0" encoding="utf-8"?>
<ds:datastoreItem xmlns:ds="http://schemas.openxmlformats.org/officeDocument/2006/customXml" ds:itemID="{29163DEA-5B25-4956-9919-2A0656CA7F30}"/>
</file>

<file path=customXml/itemProps3.xml><?xml version="1.0" encoding="utf-8"?>
<ds:datastoreItem xmlns:ds="http://schemas.openxmlformats.org/officeDocument/2006/customXml" ds:itemID="{6DE225CB-6997-41A5-B8F3-3C2469848F7B}"/>
</file>

<file path=customXml/itemProps4.xml><?xml version="1.0" encoding="utf-8"?>
<ds:datastoreItem xmlns:ds="http://schemas.openxmlformats.org/officeDocument/2006/customXml" ds:itemID="{E555D2DD-AF9C-41BD-968C-3EDA68A41E27}"/>
</file>

<file path=docProps/app.xml><?xml version="1.0" encoding="utf-8"?>
<Properties xmlns="http://schemas.openxmlformats.org/officeDocument/2006/extended-properties" xmlns:vt="http://schemas.openxmlformats.org/officeDocument/2006/docPropsVTypes">
  <Template>Normal</Template>
  <TotalTime>1</TotalTime>
  <Pages>11</Pages>
  <Words>4215</Words>
  <Characters>21075</Characters>
  <Application>Microsoft Office Word</Application>
  <DocSecurity>4</DocSecurity>
  <Lines>175</Lines>
  <Paragraphs>50</Paragraphs>
  <ScaleCrop>false</ScaleCrop>
  <HeadingPairs>
    <vt:vector size="2" baseType="variant">
      <vt:variant>
        <vt:lpstr>שם</vt:lpstr>
      </vt:variant>
      <vt:variant>
        <vt:i4>1</vt:i4>
      </vt:variant>
    </vt:vector>
  </HeadingPairs>
  <TitlesOfParts>
    <vt:vector size="1" baseType="lpstr">
      <vt:lpstr/>
    </vt:vector>
  </TitlesOfParts>
  <Company>HP</Company>
  <LinksUpToDate>false</LinksUpToDate>
  <CharactersWithSpaces>25240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אלעזר שטרן - הלשכה המשפטית</dc:creator>
  <cp:lastModifiedBy>חופית עלפי</cp:lastModifiedBy>
  <cp:revision>2</cp:revision>
  <dcterms:created xsi:type="dcterms:W3CDTF">2017-11-13T09:28:00Z</dcterms:created>
  <dcterms:modified xsi:type="dcterms:W3CDTF">2017-11-13T09:28:00Z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2022171</vt:r8>
  </property>
</Properties>
</file>