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566983</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ניסן סלומינסקי</w:t>
      </w:r>
      <w:r>
        <w:br/>
      </w:r>
      <w:r>
        <w:rPr>
          <w:rFonts w:hint="cs"/>
          <w:b/>
          <w:bCs/>
          <w:rtl/>
        </w:rPr>
        <w:t xml:space="preserve"> </w:t>
      </w:r>
      <w:r>
        <w:tab/>
      </w:r>
      <w:r>
        <w:tab/>
      </w:r>
      <w:r>
        <w:tab/>
      </w:r>
      <w:r>
        <w:tab/>
      </w:r>
      <w:r>
        <w:rPr>
          <w:rFonts w:hint="cs"/>
          <w:b/>
          <w:bCs/>
          <w:rtl/>
        </w:rPr>
        <w:t>יואב בן צור</w:t>
      </w:r>
      <w:r>
        <w:br/>
      </w:r>
      <w:r>
        <w:rPr>
          <w:rFonts w:hint="cs"/>
          <w:b/>
          <w:bCs/>
          <w:rtl/>
        </w:rPr>
        <w:t xml:space="preserve"> </w:t>
      </w:r>
      <w:r>
        <w:tab/>
      </w:r>
      <w:r>
        <w:tab/>
      </w:r>
      <w:r>
        <w:tab/>
      </w:r>
      <w:r>
        <w:tab/>
      </w:r>
      <w:r>
        <w:rPr>
          <w:rFonts w:hint="cs"/>
          <w:b/>
          <w:bCs/>
          <w:rtl/>
        </w:rPr>
        <w:t>ינון מגל</w:t>
      </w:r>
      <w:bookmarkEnd w:id="3"/>
    </w:p>
    <w:p w14:paraId="7F6961AA" w14:textId="39F9D96B" w:rsidR="00E13C27" w:rsidRPr="00CF1AA2" w:rsidRDefault="007D585A" w:rsidP="0036422C">
      <w:pPr>
        <w:pStyle w:val="David"/>
        <w:spacing w:before="0" w:line="360" w:lineRule="auto"/>
        <w:ind w:left="3544"/>
        <w:rPr>
          <w:b/>
          <w:bCs/>
          <w:sz w:val="16"/>
          <w:szCs w:val="16"/>
          <w:rtl/>
        </w:rPr>
      </w:pPr>
      <w:bookmarkStart w:id="4" w:name="LGS_Join_List"/>
      <w:r>
        <w:rPr>
          <w:rtl/>
        </w:rPr>
        <w:t>______________________________________________</w:t>
      </w:r>
      <w:r>
        <w:br/>
      </w:r>
      <w:r>
        <w:rPr>
          <w:rtl/>
        </w:rPr>
        <w:t>מצטרף:      חבר הכנסת</w:t>
      </w:r>
      <w:bookmarkEnd w:id="4"/>
      <w:r w:rsidR="002200A1" w:rsidRPr="00CF1AA2">
        <w:rPr>
          <w:rFonts w:hint="cs"/>
          <w:rtl/>
        </w:rPr>
        <w:tab/>
      </w:r>
      <w:bookmarkStart w:id="5" w:name="LGS_PM_NamesJoin"/>
      <w:r>
        <w:rPr>
          <w:rFonts w:hint="cs"/>
          <w:rtl/>
        </w:rPr>
        <w:t>אורן אסף חזן</w:t>
      </w:r>
      <w:bookmarkEnd w:id="5"/>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3E683446" w:rsidR="00E13C27" w:rsidRPr="00E06736" w:rsidRDefault="00904591" w:rsidP="00904591">
      <w:pPr>
        <w:pStyle w:val="David"/>
        <w:spacing w:before="0" w:line="240" w:lineRule="auto"/>
        <w:ind w:left="3544"/>
        <w:rPr>
          <w:rtl/>
        </w:rPr>
      </w:pPr>
      <w:r>
        <w:t xml:space="preserve">                                            </w:t>
      </w:r>
      <w:r w:rsidR="008F1308">
        <w:t xml:space="preserve"> </w:t>
      </w:r>
      <w:bookmarkStart w:id="6" w:name="Private_Number"/>
      <w:r>
        <w:rPr>
          <w:rFonts w:hint="cs"/>
          <w:rtl/>
        </w:rPr>
        <w:t>פ/2010/20</w:t>
      </w:r>
      <w:bookmarkEnd w:id="6"/>
      <w:r w:rsidR="00D57CA8">
        <w:rPr>
          <w:rtl/>
        </w:rPr>
        <w:tab/>
      </w:r>
      <w:r w:rsidR="00D57CA8">
        <w:rPr>
          <w:rtl/>
        </w:rPr>
        <w:tab/>
      </w:r>
      <w:r w:rsidR="00D57CA8">
        <w:rPr>
          <w:rtl/>
        </w:rPr>
        <w:tab/>
      </w:r>
      <w:r w:rsidR="00D57CA8">
        <w:rPr>
          <w:rtl/>
        </w:rPr>
        <w:tab/>
      </w:r>
      <w:r w:rsidR="00D57CA8">
        <w:rPr>
          <w:rtl/>
        </w:rPr>
        <w:tab/>
      </w:r>
      <w:r w:rsidR="00D57CA8">
        <w:rPr>
          <w:rtl/>
        </w:rPr>
        <w:tab/>
      </w:r>
      <w:r w:rsidR="00D57CA8">
        <w:rPr>
          <w:rtl/>
        </w:rPr>
        <w:tab/>
      </w:r>
      <w:r w:rsidR="00D57CA8">
        <w:rPr>
          <w:rtl/>
        </w:rPr>
        <w:tab/>
      </w:r>
      <w:r w:rsidR="00D57CA8">
        <w:rPr>
          <w:rtl/>
        </w:rPr>
        <w:tab/>
      </w:r>
      <w:r w:rsidR="00D57CA8">
        <w:rPr>
          <w:rtl/>
        </w:rPr>
        <w:tab/>
      </w:r>
      <w:r w:rsidR="00D57CA8">
        <w:rPr>
          <w:rtl/>
        </w:rPr>
        <w:tab/>
      </w:r>
      <w:r w:rsidR="00D57CA8">
        <w:rPr>
          <w:rtl/>
        </w:rPr>
        <w:tab/>
      </w:r>
      <w:r w:rsidR="00D57CA8">
        <w:rPr>
          <w:rtl/>
        </w:rPr>
        <w:tab/>
      </w:r>
    </w:p>
    <w:p w14:paraId="67816220" w14:textId="4BEE7898" w:rsidR="003A3C93" w:rsidRDefault="003A3C93" w:rsidP="009F4BE8">
      <w:pPr>
        <w:pStyle w:val="HeadHatzaotHok"/>
        <w:tabs>
          <w:tab w:val="left" w:pos="4071"/>
          <w:tab w:val="center" w:pos="4819"/>
        </w:tabs>
        <w:spacing w:before="0"/>
        <w:rPr>
          <w:sz w:val="26"/>
          <w:rtl/>
        </w:rPr>
      </w:pPr>
      <w:bookmarkStart w:id="7" w:name="Title"/>
      <w:r w:rsidRPr="009940E0">
        <w:rPr>
          <w:sz w:val="26"/>
          <w:rtl/>
        </w:rPr>
        <w:t xml:space="preserve">הצעת חוק </w:t>
      </w:r>
      <w:bookmarkStart w:id="8" w:name="_GoBack"/>
      <w:r w:rsidRPr="009940E0">
        <w:rPr>
          <w:sz w:val="26"/>
          <w:rtl/>
        </w:rPr>
        <w:t xml:space="preserve">הביטוח הלאומי (תיקון </w:t>
      </w:r>
      <w:r>
        <w:rPr>
          <w:rFonts w:hint="cs"/>
          <w:sz w:val="26"/>
          <w:rtl/>
        </w:rPr>
        <w:t>–</w:t>
      </w:r>
      <w:r w:rsidRPr="009940E0">
        <w:rPr>
          <w:sz w:val="26"/>
          <w:rtl/>
        </w:rPr>
        <w:t xml:space="preserve"> גמלה לעובדים בעסק בהליכי הבראה), </w:t>
      </w:r>
      <w:proofErr w:type="spellStart"/>
      <w:r w:rsidRPr="009940E0">
        <w:rPr>
          <w:sz w:val="26"/>
          <w:rtl/>
        </w:rPr>
        <w:t>התשע"ה</w:t>
      </w:r>
      <w:proofErr w:type="spellEnd"/>
      <w:r>
        <w:rPr>
          <w:rFonts w:hint="cs"/>
          <w:sz w:val="26"/>
          <w:rtl/>
        </w:rPr>
        <w:t>–</w:t>
      </w:r>
      <w:r w:rsidRPr="009940E0">
        <w:rPr>
          <w:sz w:val="26"/>
          <w:rtl/>
        </w:rPr>
        <w:t>201</w:t>
      </w:r>
      <w:bookmarkEnd w:id="7"/>
      <w:r w:rsidR="009F4BE8">
        <w:rPr>
          <w:rFonts w:hint="cs"/>
          <w:sz w:val="26"/>
          <w:rtl/>
        </w:rPr>
        <w:t>5</w:t>
      </w:r>
      <w:bookmarkEnd w:id="8"/>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4025"/>
      </w:tblGrid>
      <w:tr w:rsidR="003A3C93" w14:paraId="39BF848A" w14:textId="77777777" w:rsidTr="00AF34B5">
        <w:trPr>
          <w:cantSplit/>
        </w:trPr>
        <w:tc>
          <w:tcPr>
            <w:tcW w:w="1869" w:type="dxa"/>
          </w:tcPr>
          <w:p w14:paraId="699E5E55" w14:textId="77777777" w:rsidR="003A3C93" w:rsidRDefault="003A3C93" w:rsidP="00A208B2">
            <w:pPr>
              <w:pStyle w:val="TableSideHeading"/>
              <w:keepLines w:val="0"/>
            </w:pPr>
            <w:r>
              <w:rPr>
                <w:rFonts w:hint="cs"/>
                <w:rtl/>
              </w:rPr>
              <w:t>הוספת סעיף 182א</w:t>
            </w:r>
          </w:p>
        </w:tc>
        <w:tc>
          <w:tcPr>
            <w:tcW w:w="624" w:type="dxa"/>
          </w:tcPr>
          <w:p w14:paraId="7B95D49E" w14:textId="77777777" w:rsidR="003A3C93" w:rsidRDefault="003A3C93" w:rsidP="00A208B2">
            <w:pPr>
              <w:pStyle w:val="TableText"/>
              <w:keepLines w:val="0"/>
            </w:pPr>
            <w:r>
              <w:rPr>
                <w:rFonts w:hint="cs"/>
                <w:rtl/>
              </w:rPr>
              <w:t>1.</w:t>
            </w:r>
          </w:p>
        </w:tc>
        <w:tc>
          <w:tcPr>
            <w:tcW w:w="7145" w:type="dxa"/>
            <w:gridSpan w:val="6"/>
          </w:tcPr>
          <w:p w14:paraId="3E0AA743" w14:textId="77777777" w:rsidR="003A3C93" w:rsidRPr="00C34DE2" w:rsidRDefault="003A3C93" w:rsidP="003A3C93">
            <w:pPr>
              <w:pStyle w:val="TableBlock"/>
            </w:pPr>
            <w:r>
              <w:rPr>
                <w:rFonts w:hint="cs"/>
                <w:rtl/>
              </w:rPr>
              <w:t xml:space="preserve">בחוק הביטוח הלאומי [נוסח משולב], </w:t>
            </w:r>
            <w:proofErr w:type="spellStart"/>
            <w:r>
              <w:rPr>
                <w:rFonts w:hint="cs"/>
                <w:rtl/>
              </w:rPr>
              <w:t>התשנ"ה</w:t>
            </w:r>
            <w:proofErr w:type="spellEnd"/>
            <w:r>
              <w:rPr>
                <w:rtl/>
              </w:rPr>
              <w:t>–</w:t>
            </w:r>
            <w:r>
              <w:rPr>
                <w:rFonts w:hint="cs"/>
                <w:rtl/>
              </w:rPr>
              <w:t>1995</w:t>
            </w:r>
            <w:r>
              <w:rPr>
                <w:rStyle w:val="a6"/>
                <w:rtl/>
              </w:rPr>
              <w:footnoteReference w:id="2"/>
            </w:r>
            <w:r>
              <w:rPr>
                <w:rFonts w:hint="cs"/>
                <w:rtl/>
              </w:rPr>
              <w:t>, אחרי סעיף 182, יבוא:</w:t>
            </w:r>
          </w:p>
        </w:tc>
      </w:tr>
      <w:tr w:rsidR="003A3C93" w14:paraId="77B1CA4F" w14:textId="77777777" w:rsidTr="00AF34B5">
        <w:trPr>
          <w:cantSplit/>
        </w:trPr>
        <w:tc>
          <w:tcPr>
            <w:tcW w:w="1869" w:type="dxa"/>
          </w:tcPr>
          <w:p w14:paraId="034C7BC0" w14:textId="77777777" w:rsidR="003A3C93" w:rsidRDefault="003A3C93" w:rsidP="00A208B2">
            <w:pPr>
              <w:pStyle w:val="TableSideHeading"/>
              <w:keepLines w:val="0"/>
            </w:pPr>
          </w:p>
        </w:tc>
        <w:tc>
          <w:tcPr>
            <w:tcW w:w="624" w:type="dxa"/>
          </w:tcPr>
          <w:p w14:paraId="28343185" w14:textId="77777777" w:rsidR="003A3C93" w:rsidRDefault="003A3C93" w:rsidP="00A208B2">
            <w:pPr>
              <w:pStyle w:val="TableText"/>
              <w:keepLines w:val="0"/>
            </w:pPr>
          </w:p>
        </w:tc>
        <w:tc>
          <w:tcPr>
            <w:tcW w:w="1872" w:type="dxa"/>
            <w:gridSpan w:val="3"/>
          </w:tcPr>
          <w:p w14:paraId="755C7AB5" w14:textId="77777777" w:rsidR="003A3C93" w:rsidRDefault="003A3C93" w:rsidP="00A208B2">
            <w:pPr>
              <w:pStyle w:val="TableInnerSideHeading"/>
            </w:pPr>
            <w:r>
              <w:rPr>
                <w:rFonts w:hint="cs"/>
                <w:rtl/>
              </w:rPr>
              <w:t>"תנאים לזכאות לגמלה לעובד בעסק בהליכי הבראה</w:t>
            </w:r>
          </w:p>
        </w:tc>
        <w:tc>
          <w:tcPr>
            <w:tcW w:w="624" w:type="dxa"/>
          </w:tcPr>
          <w:p w14:paraId="77DC55DB" w14:textId="77777777" w:rsidR="003A3C93" w:rsidRDefault="003A3C93" w:rsidP="00A208B2">
            <w:pPr>
              <w:pStyle w:val="TableText"/>
            </w:pPr>
            <w:r>
              <w:rPr>
                <w:rFonts w:hint="cs"/>
                <w:rtl/>
              </w:rPr>
              <w:t>182א.</w:t>
            </w:r>
          </w:p>
        </w:tc>
        <w:tc>
          <w:tcPr>
            <w:tcW w:w="4649" w:type="dxa"/>
            <w:gridSpan w:val="2"/>
          </w:tcPr>
          <w:p w14:paraId="5AD6A62C" w14:textId="68F4A63B" w:rsidR="003A3C93" w:rsidRPr="00130E8F" w:rsidRDefault="00AF34B5" w:rsidP="00AF34B5">
            <w:pPr>
              <w:pStyle w:val="TableBlock"/>
            </w:pPr>
            <w:r>
              <w:rPr>
                <w:rFonts w:hint="cs"/>
                <w:rtl/>
              </w:rPr>
              <w:t>(א)</w:t>
            </w:r>
            <w:r>
              <w:rPr>
                <w:rtl/>
              </w:rPr>
              <w:tab/>
            </w:r>
            <w:r w:rsidR="003A3C93" w:rsidRPr="00130E8F">
              <w:rPr>
                <w:rFonts w:hint="cs"/>
                <w:rtl/>
              </w:rPr>
              <w:t>מבוטח יהיה זכאי לגמלה לפי פרק זה</w:t>
            </w:r>
            <w:r w:rsidR="003A3C93">
              <w:rPr>
                <w:rFonts w:hint="cs"/>
                <w:rtl/>
              </w:rPr>
              <w:t>,</w:t>
            </w:r>
            <w:r w:rsidR="003A3C93" w:rsidRPr="00130E8F">
              <w:rPr>
                <w:rFonts w:hint="cs"/>
                <w:rtl/>
              </w:rPr>
              <w:t xml:space="preserve"> אף אם לא </w:t>
            </w:r>
            <w:r>
              <w:rPr>
                <w:rFonts w:hint="cs"/>
                <w:rtl/>
              </w:rPr>
              <w:t xml:space="preserve">נתקיימו </w:t>
            </w:r>
            <w:r w:rsidR="003A3C93" w:rsidRPr="00130E8F">
              <w:rPr>
                <w:rFonts w:hint="cs"/>
                <w:rtl/>
              </w:rPr>
              <w:t>תנאי סעיף 182</w:t>
            </w:r>
            <w:r w:rsidR="003A3C93">
              <w:rPr>
                <w:rFonts w:hint="cs"/>
                <w:rtl/>
              </w:rPr>
              <w:t>,</w:t>
            </w:r>
            <w:r w:rsidR="003A3C93" w:rsidRPr="00130E8F">
              <w:rPr>
                <w:rFonts w:hint="cs"/>
                <w:rtl/>
              </w:rPr>
              <w:t xml:space="preserve"> </w:t>
            </w:r>
            <w:r w:rsidR="00AF5020">
              <w:rPr>
                <w:rFonts w:hint="cs"/>
                <w:rtl/>
              </w:rPr>
              <w:t xml:space="preserve">אם </w:t>
            </w:r>
            <w:r w:rsidR="003A3C93" w:rsidRPr="00130E8F">
              <w:rPr>
                <w:rFonts w:hint="cs"/>
                <w:rtl/>
              </w:rPr>
              <w:t>ניתן לגבי מע</w:t>
            </w:r>
            <w:r w:rsidR="003A3C93">
              <w:rPr>
                <w:rFonts w:hint="cs"/>
                <w:rtl/>
              </w:rPr>
              <w:t>סיקו</w:t>
            </w:r>
            <w:r w:rsidR="003A3C93" w:rsidRPr="00130E8F">
              <w:rPr>
                <w:rFonts w:hint="cs"/>
                <w:rtl/>
              </w:rPr>
              <w:t xml:space="preserve"> של העובד המבוטח צו להקפאת הליכים לפי </w:t>
            </w:r>
            <w:r w:rsidR="003A3C93">
              <w:rPr>
                <w:rFonts w:hint="cs"/>
                <w:rtl/>
              </w:rPr>
              <w:t>סעיף 350ב ל</w:t>
            </w:r>
            <w:r w:rsidR="003A3C93" w:rsidRPr="00130E8F">
              <w:rPr>
                <w:rFonts w:hint="cs"/>
                <w:rtl/>
              </w:rPr>
              <w:t>חוק החברות</w:t>
            </w:r>
            <w:r w:rsidR="003A3C93">
              <w:rPr>
                <w:rFonts w:hint="cs"/>
                <w:rtl/>
              </w:rPr>
              <w:t xml:space="preserve">, </w:t>
            </w:r>
            <w:proofErr w:type="spellStart"/>
            <w:r w:rsidR="003A3C93">
              <w:rPr>
                <w:rFonts w:hint="cs"/>
                <w:rtl/>
              </w:rPr>
              <w:t>התשנ"ט</w:t>
            </w:r>
            <w:proofErr w:type="spellEnd"/>
            <w:r w:rsidR="003A3C93">
              <w:rPr>
                <w:rFonts w:hint="cs"/>
                <w:rtl/>
              </w:rPr>
              <w:t>–1999</w:t>
            </w:r>
            <w:r w:rsidR="00AF5020">
              <w:rPr>
                <w:rStyle w:val="a6"/>
                <w:rtl/>
              </w:rPr>
              <w:footnoteReference w:id="3"/>
            </w:r>
            <w:r w:rsidR="003A3C93">
              <w:rPr>
                <w:rFonts w:hint="cs"/>
                <w:rtl/>
              </w:rPr>
              <w:t>, והתקיימו כל אלה</w:t>
            </w:r>
            <w:r w:rsidR="00AF5020">
              <w:rPr>
                <w:rFonts w:hint="cs"/>
                <w:rtl/>
              </w:rPr>
              <w:t>:</w:t>
            </w:r>
            <w:r w:rsidR="003A3C93">
              <w:t xml:space="preserve"> </w:t>
            </w:r>
          </w:p>
        </w:tc>
      </w:tr>
      <w:tr w:rsidR="00AF34B5" w14:paraId="38B094C0" w14:textId="77777777" w:rsidTr="00AF34B5">
        <w:trPr>
          <w:cantSplit/>
          <w:trHeight w:val="60"/>
        </w:trPr>
        <w:tc>
          <w:tcPr>
            <w:tcW w:w="1869" w:type="dxa"/>
          </w:tcPr>
          <w:p w14:paraId="23F17B8E" w14:textId="35ACB49E" w:rsidR="00AF34B5" w:rsidRDefault="00AF34B5">
            <w:pPr>
              <w:pStyle w:val="TableSideHeading"/>
            </w:pPr>
          </w:p>
        </w:tc>
        <w:tc>
          <w:tcPr>
            <w:tcW w:w="624" w:type="dxa"/>
          </w:tcPr>
          <w:p w14:paraId="021DC5CA" w14:textId="77777777" w:rsidR="00AF34B5" w:rsidRDefault="00AF34B5">
            <w:pPr>
              <w:pStyle w:val="TableText"/>
            </w:pPr>
          </w:p>
        </w:tc>
        <w:tc>
          <w:tcPr>
            <w:tcW w:w="624" w:type="dxa"/>
          </w:tcPr>
          <w:p w14:paraId="4B3989A2" w14:textId="77777777" w:rsidR="00AF34B5" w:rsidRDefault="00AF34B5">
            <w:pPr>
              <w:pStyle w:val="TableText"/>
            </w:pPr>
          </w:p>
        </w:tc>
        <w:tc>
          <w:tcPr>
            <w:tcW w:w="624" w:type="dxa"/>
          </w:tcPr>
          <w:p w14:paraId="7961EEFB" w14:textId="77777777" w:rsidR="00AF34B5" w:rsidRDefault="00AF34B5">
            <w:pPr>
              <w:pStyle w:val="TableText"/>
            </w:pPr>
          </w:p>
        </w:tc>
        <w:tc>
          <w:tcPr>
            <w:tcW w:w="624" w:type="dxa"/>
          </w:tcPr>
          <w:p w14:paraId="3D1A0FF1" w14:textId="77777777" w:rsidR="00AF34B5" w:rsidRDefault="00AF34B5">
            <w:pPr>
              <w:pStyle w:val="TableText"/>
            </w:pPr>
          </w:p>
        </w:tc>
        <w:tc>
          <w:tcPr>
            <w:tcW w:w="624" w:type="dxa"/>
          </w:tcPr>
          <w:p w14:paraId="2BE254AA" w14:textId="77777777" w:rsidR="00AF34B5" w:rsidRDefault="00AF34B5">
            <w:pPr>
              <w:pStyle w:val="TableText"/>
            </w:pPr>
          </w:p>
        </w:tc>
        <w:tc>
          <w:tcPr>
            <w:tcW w:w="624" w:type="dxa"/>
          </w:tcPr>
          <w:p w14:paraId="24D6B582" w14:textId="77777777" w:rsidR="00AF34B5" w:rsidRDefault="00AF34B5">
            <w:pPr>
              <w:pStyle w:val="TableText"/>
            </w:pPr>
          </w:p>
        </w:tc>
        <w:tc>
          <w:tcPr>
            <w:tcW w:w="4025" w:type="dxa"/>
          </w:tcPr>
          <w:p w14:paraId="5BFDF519" w14:textId="046D21B6" w:rsidR="00AF34B5" w:rsidRDefault="00AF34B5" w:rsidP="001D75A2">
            <w:pPr>
              <w:pStyle w:val="TableBlock"/>
            </w:pPr>
            <w:r>
              <w:rPr>
                <w:rFonts w:hint="cs"/>
                <w:rtl/>
              </w:rPr>
              <w:t>(1)</w:t>
            </w:r>
            <w:r>
              <w:rPr>
                <w:rtl/>
              </w:rPr>
              <w:tab/>
            </w:r>
            <w:r w:rsidRPr="003A3C93">
              <w:rPr>
                <w:rFonts w:hint="cs"/>
                <w:rtl/>
              </w:rPr>
              <w:t>סוגי</w:t>
            </w:r>
            <w:r>
              <w:rPr>
                <w:rFonts w:hint="cs"/>
                <w:rtl/>
              </w:rPr>
              <w:t xml:space="preserve"> </w:t>
            </w:r>
            <w:r w:rsidRPr="00130E8F">
              <w:rPr>
                <w:rFonts w:hint="cs"/>
                <w:rtl/>
              </w:rPr>
              <w:t xml:space="preserve">החובות המפורטים בסעיף 354 לפקודת החברות </w:t>
            </w:r>
            <w:r>
              <w:rPr>
                <w:rFonts w:hint="cs"/>
                <w:rtl/>
              </w:rPr>
              <w:t xml:space="preserve">[נוסח חדש], </w:t>
            </w:r>
            <w:r w:rsidR="001D75A2">
              <w:rPr>
                <w:rFonts w:hint="cs"/>
                <w:rtl/>
              </w:rPr>
              <w:t xml:space="preserve">         </w:t>
            </w:r>
            <w:proofErr w:type="spellStart"/>
            <w:r>
              <w:rPr>
                <w:rFonts w:hint="cs"/>
                <w:rtl/>
              </w:rPr>
              <w:t>התשמ"ג</w:t>
            </w:r>
            <w:proofErr w:type="spellEnd"/>
            <w:r w:rsidR="001D75A2">
              <w:rPr>
                <w:rFonts w:hint="eastAsia"/>
                <w:rtl/>
              </w:rPr>
              <w:t>–</w:t>
            </w:r>
            <w:r w:rsidR="001D75A2">
              <w:rPr>
                <w:rFonts w:hint="cs"/>
                <w:rtl/>
              </w:rPr>
              <w:t>1983</w:t>
            </w:r>
            <w:r w:rsidR="001D75A2">
              <w:rPr>
                <w:rStyle w:val="a6"/>
                <w:rtl/>
              </w:rPr>
              <w:footnoteReference w:id="4"/>
            </w:r>
            <w:r w:rsidR="001D75A2">
              <w:rPr>
                <w:rFonts w:hint="cs"/>
                <w:rtl/>
              </w:rPr>
              <w:t xml:space="preserve"> </w:t>
            </w:r>
            <w:r w:rsidRPr="00130E8F">
              <w:rPr>
                <w:rFonts w:hint="cs"/>
                <w:rtl/>
              </w:rPr>
              <w:t xml:space="preserve">זוכים </w:t>
            </w:r>
            <w:r>
              <w:rPr>
                <w:rFonts w:hint="cs"/>
                <w:rtl/>
              </w:rPr>
              <w:t xml:space="preserve">בהליכי ההבראה </w:t>
            </w:r>
            <w:r w:rsidRPr="00130E8F">
              <w:rPr>
                <w:rFonts w:hint="cs"/>
                <w:rtl/>
              </w:rPr>
              <w:t>לק</w:t>
            </w:r>
            <w:r>
              <w:rPr>
                <w:rFonts w:hint="cs"/>
                <w:rtl/>
              </w:rPr>
              <w:t xml:space="preserve">דימה </w:t>
            </w:r>
            <w:r w:rsidRPr="00130E8F">
              <w:rPr>
                <w:rFonts w:hint="cs"/>
                <w:rtl/>
              </w:rPr>
              <w:t>לכל שאר החובות לפי סדר העדיפות המופיע בפקודה</w:t>
            </w:r>
            <w:r>
              <w:rPr>
                <w:rFonts w:hint="cs"/>
                <w:rtl/>
              </w:rPr>
              <w:t xml:space="preserve"> האמורה;</w:t>
            </w:r>
          </w:p>
        </w:tc>
      </w:tr>
      <w:tr w:rsidR="00AF34B5" w14:paraId="065AF655" w14:textId="77777777" w:rsidTr="00AF34B5">
        <w:trPr>
          <w:cantSplit/>
          <w:trHeight w:val="60"/>
        </w:trPr>
        <w:tc>
          <w:tcPr>
            <w:tcW w:w="1869" w:type="dxa"/>
          </w:tcPr>
          <w:p w14:paraId="35647D94" w14:textId="71F06D5C" w:rsidR="00AF34B5" w:rsidRDefault="00AF34B5">
            <w:pPr>
              <w:pStyle w:val="TableSideHeading"/>
              <w:rPr>
                <w:rtl/>
              </w:rPr>
            </w:pPr>
          </w:p>
        </w:tc>
        <w:tc>
          <w:tcPr>
            <w:tcW w:w="624" w:type="dxa"/>
          </w:tcPr>
          <w:p w14:paraId="6B325DCC" w14:textId="77777777" w:rsidR="00AF34B5" w:rsidRDefault="00AF34B5" w:rsidP="00AF34B5">
            <w:pPr>
              <w:pStyle w:val="TableText"/>
            </w:pPr>
          </w:p>
        </w:tc>
        <w:tc>
          <w:tcPr>
            <w:tcW w:w="624" w:type="dxa"/>
          </w:tcPr>
          <w:p w14:paraId="06453C72" w14:textId="77777777" w:rsidR="00AF34B5" w:rsidRDefault="00AF34B5">
            <w:pPr>
              <w:pStyle w:val="TableText"/>
            </w:pPr>
          </w:p>
        </w:tc>
        <w:tc>
          <w:tcPr>
            <w:tcW w:w="624" w:type="dxa"/>
          </w:tcPr>
          <w:p w14:paraId="292C9318" w14:textId="77777777" w:rsidR="00AF34B5" w:rsidRDefault="00AF34B5">
            <w:pPr>
              <w:pStyle w:val="TableText"/>
            </w:pPr>
          </w:p>
        </w:tc>
        <w:tc>
          <w:tcPr>
            <w:tcW w:w="624" w:type="dxa"/>
          </w:tcPr>
          <w:p w14:paraId="2E13C39B" w14:textId="77777777" w:rsidR="00AF34B5" w:rsidRDefault="00AF34B5">
            <w:pPr>
              <w:pStyle w:val="TableText"/>
            </w:pPr>
          </w:p>
        </w:tc>
        <w:tc>
          <w:tcPr>
            <w:tcW w:w="624" w:type="dxa"/>
          </w:tcPr>
          <w:p w14:paraId="4743DA83" w14:textId="77777777" w:rsidR="00AF34B5" w:rsidRDefault="00AF34B5">
            <w:pPr>
              <w:pStyle w:val="TableText"/>
            </w:pPr>
          </w:p>
        </w:tc>
        <w:tc>
          <w:tcPr>
            <w:tcW w:w="624" w:type="dxa"/>
          </w:tcPr>
          <w:p w14:paraId="1122BF31" w14:textId="77777777" w:rsidR="00AF34B5" w:rsidRDefault="00AF34B5">
            <w:pPr>
              <w:pStyle w:val="TableText"/>
            </w:pPr>
          </w:p>
        </w:tc>
        <w:tc>
          <w:tcPr>
            <w:tcW w:w="4025" w:type="dxa"/>
          </w:tcPr>
          <w:p w14:paraId="7D0D67FB" w14:textId="0DE2CD31" w:rsidR="00AF34B5" w:rsidRDefault="00AF34B5">
            <w:pPr>
              <w:pStyle w:val="TableBlock"/>
              <w:rPr>
                <w:rtl/>
              </w:rPr>
            </w:pPr>
            <w:r w:rsidRPr="003A3C93">
              <w:rPr>
                <w:rFonts w:hint="cs"/>
                <w:rtl/>
              </w:rPr>
              <w:t>(2)</w:t>
            </w:r>
            <w:r w:rsidRPr="003A3C93">
              <w:rPr>
                <w:rtl/>
              </w:rPr>
              <w:tab/>
            </w:r>
            <w:r w:rsidRPr="003A3C93">
              <w:rPr>
                <w:rFonts w:hint="cs"/>
                <w:rtl/>
              </w:rPr>
              <w:t>בית המשפט אישר את הסדר ההבראה, לאחר שקבע כי אם לא יאושר ההסדר לא יהיה מנוס מפירוק החברה</w:t>
            </w:r>
            <w:r>
              <w:rPr>
                <w:rFonts w:hint="cs"/>
                <w:rtl/>
              </w:rPr>
              <w:t>;</w:t>
            </w:r>
          </w:p>
        </w:tc>
      </w:tr>
      <w:tr w:rsidR="00AF34B5" w14:paraId="5486317F" w14:textId="77777777" w:rsidTr="00AF34B5">
        <w:trPr>
          <w:cantSplit/>
          <w:trHeight w:val="60"/>
        </w:trPr>
        <w:tc>
          <w:tcPr>
            <w:tcW w:w="1869" w:type="dxa"/>
          </w:tcPr>
          <w:p w14:paraId="55FC6532" w14:textId="5BC3FF04" w:rsidR="00AF34B5" w:rsidRDefault="00AF34B5">
            <w:pPr>
              <w:pStyle w:val="TableSideHeading"/>
              <w:rPr>
                <w:rtl/>
              </w:rPr>
            </w:pPr>
          </w:p>
        </w:tc>
        <w:tc>
          <w:tcPr>
            <w:tcW w:w="624" w:type="dxa"/>
          </w:tcPr>
          <w:p w14:paraId="4EC31F68" w14:textId="77777777" w:rsidR="00AF34B5" w:rsidRDefault="00AF34B5" w:rsidP="00AF34B5">
            <w:pPr>
              <w:pStyle w:val="TableText"/>
            </w:pPr>
          </w:p>
        </w:tc>
        <w:tc>
          <w:tcPr>
            <w:tcW w:w="624" w:type="dxa"/>
          </w:tcPr>
          <w:p w14:paraId="2E98B65E" w14:textId="77777777" w:rsidR="00AF34B5" w:rsidRDefault="00AF34B5">
            <w:pPr>
              <w:pStyle w:val="TableText"/>
            </w:pPr>
          </w:p>
        </w:tc>
        <w:tc>
          <w:tcPr>
            <w:tcW w:w="624" w:type="dxa"/>
          </w:tcPr>
          <w:p w14:paraId="339908F8" w14:textId="77777777" w:rsidR="00AF34B5" w:rsidRDefault="00AF34B5">
            <w:pPr>
              <w:pStyle w:val="TableText"/>
            </w:pPr>
          </w:p>
        </w:tc>
        <w:tc>
          <w:tcPr>
            <w:tcW w:w="624" w:type="dxa"/>
          </w:tcPr>
          <w:p w14:paraId="10F9DD40" w14:textId="77777777" w:rsidR="00AF34B5" w:rsidRDefault="00AF34B5">
            <w:pPr>
              <w:pStyle w:val="TableText"/>
            </w:pPr>
          </w:p>
        </w:tc>
        <w:tc>
          <w:tcPr>
            <w:tcW w:w="624" w:type="dxa"/>
          </w:tcPr>
          <w:p w14:paraId="5CA99AD8" w14:textId="77777777" w:rsidR="00AF34B5" w:rsidRDefault="00AF34B5">
            <w:pPr>
              <w:pStyle w:val="TableText"/>
            </w:pPr>
          </w:p>
        </w:tc>
        <w:tc>
          <w:tcPr>
            <w:tcW w:w="624" w:type="dxa"/>
          </w:tcPr>
          <w:p w14:paraId="71A62BF4" w14:textId="77777777" w:rsidR="00AF34B5" w:rsidRDefault="00AF34B5">
            <w:pPr>
              <w:pStyle w:val="TableText"/>
            </w:pPr>
          </w:p>
        </w:tc>
        <w:tc>
          <w:tcPr>
            <w:tcW w:w="4025" w:type="dxa"/>
          </w:tcPr>
          <w:p w14:paraId="0EF12787" w14:textId="4AC0A698" w:rsidR="00AF34B5" w:rsidRDefault="00AF34B5">
            <w:pPr>
              <w:pStyle w:val="TableBlock"/>
              <w:rPr>
                <w:rtl/>
              </w:rPr>
            </w:pPr>
            <w:r>
              <w:rPr>
                <w:rFonts w:hint="cs"/>
                <w:rtl/>
              </w:rPr>
              <w:t>(3)</w:t>
            </w:r>
            <w:r>
              <w:rPr>
                <w:rtl/>
              </w:rPr>
              <w:tab/>
            </w:r>
            <w:r>
              <w:rPr>
                <w:rFonts w:hint="cs"/>
                <w:rtl/>
              </w:rPr>
              <w:t>העובד חדל להיות מועסק בחברה;</w:t>
            </w:r>
          </w:p>
        </w:tc>
      </w:tr>
      <w:tr w:rsidR="00AF34B5" w14:paraId="51471127" w14:textId="77777777" w:rsidTr="00AF34B5">
        <w:trPr>
          <w:cantSplit/>
          <w:trHeight w:val="60"/>
        </w:trPr>
        <w:tc>
          <w:tcPr>
            <w:tcW w:w="1869" w:type="dxa"/>
          </w:tcPr>
          <w:p w14:paraId="1A98B81A" w14:textId="22379E4D" w:rsidR="00AF34B5" w:rsidRDefault="00AF34B5">
            <w:pPr>
              <w:pStyle w:val="TableSideHeading"/>
              <w:rPr>
                <w:rtl/>
              </w:rPr>
            </w:pPr>
          </w:p>
        </w:tc>
        <w:tc>
          <w:tcPr>
            <w:tcW w:w="624" w:type="dxa"/>
          </w:tcPr>
          <w:p w14:paraId="6FDB8034" w14:textId="77777777" w:rsidR="00AF34B5" w:rsidRDefault="00AF34B5" w:rsidP="00AF34B5">
            <w:pPr>
              <w:pStyle w:val="TableText"/>
            </w:pPr>
          </w:p>
        </w:tc>
        <w:tc>
          <w:tcPr>
            <w:tcW w:w="624" w:type="dxa"/>
          </w:tcPr>
          <w:p w14:paraId="52D24506" w14:textId="77777777" w:rsidR="00AF34B5" w:rsidRDefault="00AF34B5">
            <w:pPr>
              <w:pStyle w:val="TableText"/>
            </w:pPr>
          </w:p>
        </w:tc>
        <w:tc>
          <w:tcPr>
            <w:tcW w:w="624" w:type="dxa"/>
          </w:tcPr>
          <w:p w14:paraId="67AED3DD" w14:textId="77777777" w:rsidR="00AF34B5" w:rsidRDefault="00AF34B5">
            <w:pPr>
              <w:pStyle w:val="TableText"/>
            </w:pPr>
          </w:p>
        </w:tc>
        <w:tc>
          <w:tcPr>
            <w:tcW w:w="624" w:type="dxa"/>
          </w:tcPr>
          <w:p w14:paraId="3902B993" w14:textId="77777777" w:rsidR="00AF34B5" w:rsidRDefault="00AF34B5">
            <w:pPr>
              <w:pStyle w:val="TableText"/>
            </w:pPr>
          </w:p>
        </w:tc>
        <w:tc>
          <w:tcPr>
            <w:tcW w:w="624" w:type="dxa"/>
          </w:tcPr>
          <w:p w14:paraId="389612A5" w14:textId="77777777" w:rsidR="00AF34B5" w:rsidRDefault="00AF34B5">
            <w:pPr>
              <w:pStyle w:val="TableText"/>
            </w:pPr>
          </w:p>
        </w:tc>
        <w:tc>
          <w:tcPr>
            <w:tcW w:w="624" w:type="dxa"/>
          </w:tcPr>
          <w:p w14:paraId="70562066" w14:textId="77777777" w:rsidR="00AF34B5" w:rsidRDefault="00AF34B5">
            <w:pPr>
              <w:pStyle w:val="TableText"/>
            </w:pPr>
          </w:p>
        </w:tc>
        <w:tc>
          <w:tcPr>
            <w:tcW w:w="4025" w:type="dxa"/>
          </w:tcPr>
          <w:p w14:paraId="3325EECE" w14:textId="677C8879" w:rsidR="00AF34B5" w:rsidRDefault="00AF34B5">
            <w:pPr>
              <w:pStyle w:val="TableBlock"/>
              <w:rPr>
                <w:rtl/>
              </w:rPr>
            </w:pPr>
            <w:r w:rsidRPr="003A3C93">
              <w:rPr>
                <w:rFonts w:hint="cs"/>
                <w:rtl/>
              </w:rPr>
              <w:t>(4)</w:t>
            </w:r>
            <w:r w:rsidRPr="003A3C93">
              <w:rPr>
                <w:rtl/>
              </w:rPr>
              <w:tab/>
            </w:r>
            <w:r w:rsidRPr="003A3C93">
              <w:rPr>
                <w:rFonts w:hint="cs"/>
                <w:rtl/>
              </w:rPr>
              <w:t xml:space="preserve">התמורה שתשולם לעובדיו של </w:t>
            </w:r>
            <w:r>
              <w:rPr>
                <w:rFonts w:hint="cs"/>
                <w:rtl/>
              </w:rPr>
              <w:t>מעסיקו</w:t>
            </w:r>
            <w:r w:rsidRPr="003A3C93">
              <w:rPr>
                <w:rFonts w:hint="cs"/>
                <w:rtl/>
              </w:rPr>
              <w:t xml:space="preserve"> לא תהיה פחותה מזו שהייתה מתקבלת בהליך פירוק</w:t>
            </w:r>
            <w:r w:rsidR="001D75A2">
              <w:rPr>
                <w:rFonts w:hint="cs"/>
                <w:rtl/>
              </w:rPr>
              <w:t>.</w:t>
            </w:r>
          </w:p>
        </w:tc>
      </w:tr>
      <w:tr w:rsidR="00AF34B5" w14:paraId="7D66DF1B" w14:textId="77777777" w:rsidTr="00AF34B5">
        <w:trPr>
          <w:cantSplit/>
        </w:trPr>
        <w:tc>
          <w:tcPr>
            <w:tcW w:w="1869" w:type="dxa"/>
          </w:tcPr>
          <w:p w14:paraId="7AAB4137" w14:textId="77777777" w:rsidR="00AF34B5" w:rsidRDefault="00AF34B5" w:rsidP="00A208B2">
            <w:pPr>
              <w:pStyle w:val="TableSideHeading"/>
            </w:pPr>
          </w:p>
        </w:tc>
        <w:tc>
          <w:tcPr>
            <w:tcW w:w="624" w:type="dxa"/>
          </w:tcPr>
          <w:p w14:paraId="16F1D963" w14:textId="77777777" w:rsidR="00AF34B5" w:rsidRDefault="00AF34B5" w:rsidP="00A208B2">
            <w:pPr>
              <w:pStyle w:val="TableText"/>
            </w:pPr>
          </w:p>
        </w:tc>
        <w:tc>
          <w:tcPr>
            <w:tcW w:w="624" w:type="dxa"/>
          </w:tcPr>
          <w:p w14:paraId="572D6EEC" w14:textId="77777777" w:rsidR="00AF34B5" w:rsidRDefault="00AF34B5" w:rsidP="00A208B2">
            <w:pPr>
              <w:pStyle w:val="TableText"/>
            </w:pPr>
          </w:p>
        </w:tc>
        <w:tc>
          <w:tcPr>
            <w:tcW w:w="624" w:type="dxa"/>
          </w:tcPr>
          <w:p w14:paraId="05054A46" w14:textId="77777777" w:rsidR="00AF34B5" w:rsidRDefault="00AF34B5" w:rsidP="00A208B2">
            <w:pPr>
              <w:pStyle w:val="TableText"/>
            </w:pPr>
          </w:p>
        </w:tc>
        <w:tc>
          <w:tcPr>
            <w:tcW w:w="624" w:type="dxa"/>
          </w:tcPr>
          <w:p w14:paraId="36FF208B" w14:textId="77777777" w:rsidR="00AF34B5" w:rsidRDefault="00AF34B5" w:rsidP="00A208B2">
            <w:pPr>
              <w:pStyle w:val="TableText"/>
            </w:pPr>
          </w:p>
        </w:tc>
        <w:tc>
          <w:tcPr>
            <w:tcW w:w="624" w:type="dxa"/>
          </w:tcPr>
          <w:p w14:paraId="7490486A" w14:textId="77777777" w:rsidR="00AF34B5" w:rsidRDefault="00AF34B5" w:rsidP="00A208B2">
            <w:pPr>
              <w:pStyle w:val="TableText"/>
            </w:pPr>
          </w:p>
        </w:tc>
        <w:tc>
          <w:tcPr>
            <w:tcW w:w="4649" w:type="dxa"/>
            <w:gridSpan w:val="2"/>
          </w:tcPr>
          <w:p w14:paraId="5E36F521" w14:textId="4E91786A" w:rsidR="00AF34B5" w:rsidRPr="00130E8F" w:rsidRDefault="00AF34B5" w:rsidP="00AB044A">
            <w:pPr>
              <w:pStyle w:val="TableBlock"/>
            </w:pPr>
            <w:r>
              <w:rPr>
                <w:rFonts w:hint="cs"/>
                <w:rtl/>
              </w:rPr>
              <w:t>(ב)</w:t>
            </w:r>
            <w:r>
              <w:rPr>
                <w:rtl/>
              </w:rPr>
              <w:tab/>
            </w:r>
            <w:r>
              <w:rPr>
                <w:rFonts w:hint="cs"/>
                <w:rtl/>
              </w:rPr>
              <w:t>שולמה גמלה לפי סעיף קטן (א), יחול</w:t>
            </w:r>
            <w:r w:rsidR="005E78FF">
              <w:rPr>
                <w:rFonts w:hint="cs"/>
                <w:rtl/>
              </w:rPr>
              <w:t>ו לעניין הליכי ההבראה הוראות אלה</w:t>
            </w:r>
            <w:r>
              <w:rPr>
                <w:rFonts w:hint="cs"/>
                <w:rtl/>
              </w:rPr>
              <w:t>:</w:t>
            </w:r>
          </w:p>
        </w:tc>
      </w:tr>
      <w:tr w:rsidR="00AF34B5" w14:paraId="475AF521" w14:textId="77777777" w:rsidTr="00AB044A">
        <w:trPr>
          <w:cantSplit/>
          <w:trHeight w:val="60"/>
        </w:trPr>
        <w:tc>
          <w:tcPr>
            <w:tcW w:w="1869" w:type="dxa"/>
          </w:tcPr>
          <w:p w14:paraId="178A4229" w14:textId="77777777" w:rsidR="00AF34B5" w:rsidRDefault="00AF34B5">
            <w:pPr>
              <w:pStyle w:val="TableSideHeading"/>
            </w:pPr>
          </w:p>
        </w:tc>
        <w:tc>
          <w:tcPr>
            <w:tcW w:w="624" w:type="dxa"/>
          </w:tcPr>
          <w:p w14:paraId="2E18EACC" w14:textId="77777777" w:rsidR="00AF34B5" w:rsidRDefault="00AF34B5">
            <w:pPr>
              <w:pStyle w:val="TableText"/>
            </w:pPr>
          </w:p>
        </w:tc>
        <w:tc>
          <w:tcPr>
            <w:tcW w:w="624" w:type="dxa"/>
          </w:tcPr>
          <w:p w14:paraId="0CF46E07" w14:textId="77777777" w:rsidR="00AF34B5" w:rsidRDefault="00AF34B5">
            <w:pPr>
              <w:pStyle w:val="TableText"/>
            </w:pPr>
          </w:p>
        </w:tc>
        <w:tc>
          <w:tcPr>
            <w:tcW w:w="624" w:type="dxa"/>
          </w:tcPr>
          <w:p w14:paraId="182DB4D3" w14:textId="77777777" w:rsidR="00AF34B5" w:rsidRDefault="00AF34B5">
            <w:pPr>
              <w:pStyle w:val="TableText"/>
            </w:pPr>
          </w:p>
        </w:tc>
        <w:tc>
          <w:tcPr>
            <w:tcW w:w="624" w:type="dxa"/>
          </w:tcPr>
          <w:p w14:paraId="2C7EB18F" w14:textId="77777777" w:rsidR="00AF34B5" w:rsidRDefault="00AF34B5">
            <w:pPr>
              <w:pStyle w:val="TableText"/>
            </w:pPr>
          </w:p>
        </w:tc>
        <w:tc>
          <w:tcPr>
            <w:tcW w:w="624" w:type="dxa"/>
          </w:tcPr>
          <w:p w14:paraId="136E898D" w14:textId="77777777" w:rsidR="00AF34B5" w:rsidRDefault="00AF34B5">
            <w:pPr>
              <w:pStyle w:val="TableText"/>
            </w:pPr>
          </w:p>
        </w:tc>
        <w:tc>
          <w:tcPr>
            <w:tcW w:w="624" w:type="dxa"/>
          </w:tcPr>
          <w:p w14:paraId="129FAE75" w14:textId="77777777" w:rsidR="00AF34B5" w:rsidRDefault="00AF34B5">
            <w:pPr>
              <w:pStyle w:val="TableText"/>
            </w:pPr>
          </w:p>
        </w:tc>
        <w:tc>
          <w:tcPr>
            <w:tcW w:w="4025" w:type="dxa"/>
          </w:tcPr>
          <w:p w14:paraId="12F475E1" w14:textId="2D219D44" w:rsidR="00AF34B5" w:rsidRDefault="00AF34B5" w:rsidP="00AB044A">
            <w:pPr>
              <w:pStyle w:val="TableBlock"/>
            </w:pPr>
            <w:r>
              <w:rPr>
                <w:rFonts w:hint="cs"/>
                <w:rtl/>
              </w:rPr>
              <w:t>(1)</w:t>
            </w:r>
            <w:r>
              <w:rPr>
                <w:rtl/>
              </w:rPr>
              <w:tab/>
            </w:r>
            <w:r>
              <w:rPr>
                <w:rFonts w:hint="cs"/>
                <w:rtl/>
              </w:rPr>
              <w:t>החוב של החברה למוסד יבוא במקום חובה של החברה לעובדים, ובאותה קדימות כאילו היה חוב שכר עבודה;</w:t>
            </w:r>
          </w:p>
        </w:tc>
      </w:tr>
      <w:tr w:rsidR="00AF34B5" w14:paraId="4AE002EA" w14:textId="77777777" w:rsidTr="00AB044A">
        <w:trPr>
          <w:cantSplit/>
          <w:trHeight w:val="60"/>
        </w:trPr>
        <w:tc>
          <w:tcPr>
            <w:tcW w:w="1869" w:type="dxa"/>
          </w:tcPr>
          <w:p w14:paraId="51E2E86B" w14:textId="77777777" w:rsidR="00AF34B5" w:rsidRDefault="00AF34B5">
            <w:pPr>
              <w:pStyle w:val="TableSideHeading"/>
              <w:rPr>
                <w:rtl/>
              </w:rPr>
            </w:pPr>
          </w:p>
        </w:tc>
        <w:tc>
          <w:tcPr>
            <w:tcW w:w="624" w:type="dxa"/>
          </w:tcPr>
          <w:p w14:paraId="08FB2C11" w14:textId="77777777" w:rsidR="00AF34B5" w:rsidRDefault="00AF34B5" w:rsidP="00AB044A">
            <w:pPr>
              <w:pStyle w:val="TableText"/>
            </w:pPr>
          </w:p>
        </w:tc>
        <w:tc>
          <w:tcPr>
            <w:tcW w:w="624" w:type="dxa"/>
          </w:tcPr>
          <w:p w14:paraId="26D62E77" w14:textId="77777777" w:rsidR="00AF34B5" w:rsidRDefault="00AF34B5">
            <w:pPr>
              <w:pStyle w:val="TableText"/>
            </w:pPr>
          </w:p>
        </w:tc>
        <w:tc>
          <w:tcPr>
            <w:tcW w:w="624" w:type="dxa"/>
          </w:tcPr>
          <w:p w14:paraId="01C15E1B" w14:textId="77777777" w:rsidR="00AF34B5" w:rsidRDefault="00AF34B5">
            <w:pPr>
              <w:pStyle w:val="TableText"/>
            </w:pPr>
          </w:p>
        </w:tc>
        <w:tc>
          <w:tcPr>
            <w:tcW w:w="624" w:type="dxa"/>
          </w:tcPr>
          <w:p w14:paraId="7243E13C" w14:textId="77777777" w:rsidR="00AF34B5" w:rsidRDefault="00AF34B5">
            <w:pPr>
              <w:pStyle w:val="TableText"/>
            </w:pPr>
          </w:p>
        </w:tc>
        <w:tc>
          <w:tcPr>
            <w:tcW w:w="624" w:type="dxa"/>
          </w:tcPr>
          <w:p w14:paraId="3124BA2E" w14:textId="77777777" w:rsidR="00AF34B5" w:rsidRDefault="00AF34B5">
            <w:pPr>
              <w:pStyle w:val="TableText"/>
            </w:pPr>
          </w:p>
        </w:tc>
        <w:tc>
          <w:tcPr>
            <w:tcW w:w="624" w:type="dxa"/>
          </w:tcPr>
          <w:p w14:paraId="69073905" w14:textId="77777777" w:rsidR="00AF34B5" w:rsidRDefault="00AF34B5">
            <w:pPr>
              <w:pStyle w:val="TableText"/>
            </w:pPr>
          </w:p>
        </w:tc>
        <w:tc>
          <w:tcPr>
            <w:tcW w:w="4025" w:type="dxa"/>
          </w:tcPr>
          <w:p w14:paraId="55236B80" w14:textId="192201D7" w:rsidR="00AF34B5" w:rsidRDefault="00AF34B5" w:rsidP="00AF34B5">
            <w:pPr>
              <w:pStyle w:val="TableBlock"/>
              <w:rPr>
                <w:rtl/>
              </w:rPr>
            </w:pPr>
            <w:r>
              <w:rPr>
                <w:rFonts w:hint="cs"/>
                <w:rtl/>
              </w:rPr>
              <w:t>(2)</w:t>
            </w:r>
            <w:r>
              <w:rPr>
                <w:rtl/>
              </w:rPr>
              <w:tab/>
            </w:r>
            <w:r>
              <w:rPr>
                <w:rFonts w:hint="cs"/>
                <w:rtl/>
              </w:rPr>
              <w:t>למוסד יהיה מעמד כנושה בהליכי ההבראה, בהתאם לגובה הגמלה ששילם לעובדי החברה.</w:t>
            </w:r>
          </w:p>
        </w:tc>
      </w:tr>
      <w:tr w:rsidR="005E78FF" w14:paraId="77FA177B" w14:textId="77777777" w:rsidTr="00AB044A">
        <w:trPr>
          <w:cantSplit/>
          <w:trHeight w:val="60"/>
        </w:trPr>
        <w:tc>
          <w:tcPr>
            <w:tcW w:w="1869" w:type="dxa"/>
          </w:tcPr>
          <w:p w14:paraId="773A58B4" w14:textId="77777777" w:rsidR="005E78FF" w:rsidRDefault="005E78FF">
            <w:pPr>
              <w:pStyle w:val="TableSideHeading"/>
              <w:rPr>
                <w:rtl/>
              </w:rPr>
            </w:pPr>
          </w:p>
        </w:tc>
        <w:tc>
          <w:tcPr>
            <w:tcW w:w="624" w:type="dxa"/>
          </w:tcPr>
          <w:p w14:paraId="1469DC8B" w14:textId="77777777" w:rsidR="005E78FF" w:rsidRDefault="005E78FF" w:rsidP="00AB044A">
            <w:pPr>
              <w:pStyle w:val="TableText"/>
            </w:pPr>
          </w:p>
        </w:tc>
        <w:tc>
          <w:tcPr>
            <w:tcW w:w="624" w:type="dxa"/>
          </w:tcPr>
          <w:p w14:paraId="3C3E6A3B" w14:textId="77777777" w:rsidR="005E78FF" w:rsidRDefault="005E78FF">
            <w:pPr>
              <w:pStyle w:val="TableText"/>
            </w:pPr>
          </w:p>
        </w:tc>
        <w:tc>
          <w:tcPr>
            <w:tcW w:w="624" w:type="dxa"/>
          </w:tcPr>
          <w:p w14:paraId="417E39F1" w14:textId="77777777" w:rsidR="005E78FF" w:rsidRDefault="005E78FF">
            <w:pPr>
              <w:pStyle w:val="TableText"/>
            </w:pPr>
          </w:p>
        </w:tc>
        <w:tc>
          <w:tcPr>
            <w:tcW w:w="624" w:type="dxa"/>
          </w:tcPr>
          <w:p w14:paraId="2281AA98" w14:textId="77777777" w:rsidR="005E78FF" w:rsidRDefault="005E78FF">
            <w:pPr>
              <w:pStyle w:val="TableText"/>
            </w:pPr>
          </w:p>
        </w:tc>
        <w:tc>
          <w:tcPr>
            <w:tcW w:w="624" w:type="dxa"/>
          </w:tcPr>
          <w:p w14:paraId="637A4D1A" w14:textId="77777777" w:rsidR="005E78FF" w:rsidRDefault="005E78FF">
            <w:pPr>
              <w:pStyle w:val="TableText"/>
            </w:pPr>
          </w:p>
        </w:tc>
        <w:tc>
          <w:tcPr>
            <w:tcW w:w="624" w:type="dxa"/>
          </w:tcPr>
          <w:p w14:paraId="65ECCE03" w14:textId="77777777" w:rsidR="005E78FF" w:rsidRDefault="005E78FF">
            <w:pPr>
              <w:pStyle w:val="TableText"/>
            </w:pPr>
          </w:p>
        </w:tc>
        <w:tc>
          <w:tcPr>
            <w:tcW w:w="4025" w:type="dxa"/>
          </w:tcPr>
          <w:p w14:paraId="48A834B0" w14:textId="5C42BF5B" w:rsidR="005E78FF" w:rsidRDefault="005E78FF" w:rsidP="004E5259">
            <w:pPr>
              <w:pStyle w:val="TableBlock"/>
              <w:rPr>
                <w:rtl/>
              </w:rPr>
            </w:pPr>
            <w:r>
              <w:rPr>
                <w:rFonts w:hint="cs"/>
                <w:rtl/>
              </w:rPr>
              <w:t>(3)</w:t>
            </w:r>
            <w:r>
              <w:rPr>
                <w:rtl/>
              </w:rPr>
              <w:tab/>
            </w:r>
            <w:r>
              <w:rPr>
                <w:rFonts w:hint="cs"/>
                <w:rtl/>
              </w:rPr>
              <w:t>הוראות סעיף 192 יחולו בשינויים המחויבים, ובכל מקום במקום "מפרק" יבוא "נאמן" ובמקום "צו כינוס" יבוא "צו הקפאת הליכים"</w:t>
            </w:r>
            <w:r w:rsidR="004E5259">
              <w:rPr>
                <w:rFonts w:hint="cs"/>
                <w:rtl/>
              </w:rPr>
              <w:t>."</w:t>
            </w:r>
          </w:p>
        </w:tc>
      </w:tr>
    </w:tbl>
    <w:p w14:paraId="59B4DEE9" w14:textId="77777777" w:rsidR="003A3C93" w:rsidRDefault="003A3C93" w:rsidP="003A3C93">
      <w:pPr>
        <w:pStyle w:val="HeadDivreiHesber"/>
        <w:spacing w:before="0" w:after="0"/>
        <w:rPr>
          <w:rtl/>
        </w:rPr>
      </w:pPr>
    </w:p>
    <w:p w14:paraId="1F138658" w14:textId="77777777" w:rsidR="003A3C93" w:rsidRDefault="003A3C93" w:rsidP="003A3C93">
      <w:pPr>
        <w:pStyle w:val="HeadDivreiHesber"/>
        <w:spacing w:before="0" w:after="0"/>
        <w:rPr>
          <w:rtl/>
        </w:rPr>
      </w:pPr>
      <w:r>
        <w:rPr>
          <w:rFonts w:hint="cs"/>
          <w:rtl/>
        </w:rPr>
        <w:t>דברי הסבר</w:t>
      </w:r>
    </w:p>
    <w:p w14:paraId="4B15A72C" w14:textId="10EF3642" w:rsidR="003A3C93" w:rsidRPr="00887B88" w:rsidRDefault="003A3C93" w:rsidP="004E5259">
      <w:pPr>
        <w:pStyle w:val="Hesber"/>
        <w:rPr>
          <w:rtl/>
        </w:rPr>
      </w:pPr>
      <w:r w:rsidRPr="00887B88">
        <w:rPr>
          <w:rFonts w:hint="eastAsia"/>
          <w:rtl/>
        </w:rPr>
        <w:t>שכרם</w:t>
      </w:r>
      <w:r w:rsidRPr="00887B88">
        <w:rPr>
          <w:rtl/>
        </w:rPr>
        <w:t xml:space="preserve"> של עובדים בעסק בהליכי הבראה אינו מוגן כיום על פי חוק. הצעת החוק מבקשת ליצור הקבלה בין עסק בהליכי פירוק לעסק בהליכי הבראה ולקבוע שכשם שעובדים זכאים לגמלה שתפקידה לבטח את שכר עבודתם במקרה של פירוק החברה, כך עובדים בעסק המצוי בהליכי הבראה יזכו לגמלה דומה. </w:t>
      </w:r>
    </w:p>
    <w:p w14:paraId="18BB2E96" w14:textId="28659E67" w:rsidR="003A3C93" w:rsidRDefault="003A3C93" w:rsidP="004E5259">
      <w:pPr>
        <w:pStyle w:val="Hesber"/>
        <w:rPr>
          <w:rtl/>
        </w:rPr>
      </w:pPr>
      <w:r w:rsidRPr="00887B88">
        <w:rPr>
          <w:rFonts w:hint="eastAsia"/>
          <w:rtl/>
        </w:rPr>
        <w:t>כדי</w:t>
      </w:r>
      <w:r w:rsidRPr="00887B88">
        <w:rPr>
          <w:rtl/>
        </w:rPr>
        <w:t xml:space="preserve"> להימנע ממקרי תרמית שמטרתם לנצל את קופת הביטוח הלאומי ואת מנגנון תשלום הגמלה קובעת הצעת החוק מנגנון התאמה שמתנה את הזכאות לגמלה בקיומם של תנאים </w:t>
      </w:r>
      <w:r w:rsidR="00D57CA8">
        <w:rPr>
          <w:rFonts w:hint="cs"/>
          <w:rtl/>
        </w:rPr>
        <w:t>ובהם</w:t>
      </w:r>
      <w:r w:rsidRPr="00887B88">
        <w:rPr>
          <w:rtl/>
        </w:rPr>
        <w:t xml:space="preserve"> הקפדה על </w:t>
      </w:r>
      <w:r w:rsidRPr="00887B88">
        <w:rPr>
          <w:rFonts w:hint="eastAsia"/>
          <w:rtl/>
        </w:rPr>
        <w:t>סדר</w:t>
      </w:r>
      <w:r w:rsidRPr="00887B88">
        <w:rPr>
          <w:rtl/>
        </w:rPr>
        <w:t xml:space="preserve"> </w:t>
      </w:r>
      <w:r w:rsidRPr="00887B88">
        <w:rPr>
          <w:rFonts w:hint="eastAsia"/>
          <w:rtl/>
        </w:rPr>
        <w:t>קדימות</w:t>
      </w:r>
      <w:r w:rsidRPr="00887B88">
        <w:rPr>
          <w:rtl/>
        </w:rPr>
        <w:t xml:space="preserve"> </w:t>
      </w:r>
      <w:r w:rsidRPr="00887B88">
        <w:rPr>
          <w:rFonts w:hint="eastAsia"/>
          <w:rtl/>
        </w:rPr>
        <w:t>בתשלום</w:t>
      </w:r>
      <w:r w:rsidRPr="00887B88">
        <w:rPr>
          <w:rtl/>
        </w:rPr>
        <w:t xml:space="preserve"> </w:t>
      </w:r>
      <w:r w:rsidRPr="00887B88">
        <w:rPr>
          <w:rFonts w:hint="eastAsia"/>
          <w:rtl/>
        </w:rPr>
        <w:t>החובות</w:t>
      </w:r>
      <w:r w:rsidRPr="00887B88">
        <w:rPr>
          <w:rtl/>
        </w:rPr>
        <w:t xml:space="preserve"> </w:t>
      </w:r>
      <w:r w:rsidRPr="00887B88">
        <w:rPr>
          <w:rFonts w:hint="eastAsia"/>
          <w:rtl/>
        </w:rPr>
        <w:t>של</w:t>
      </w:r>
      <w:r w:rsidRPr="00887B88">
        <w:rPr>
          <w:rtl/>
        </w:rPr>
        <w:t xml:space="preserve"> </w:t>
      </w:r>
      <w:r w:rsidRPr="00887B88">
        <w:rPr>
          <w:rFonts w:hint="eastAsia"/>
          <w:rtl/>
        </w:rPr>
        <w:t>החברה</w:t>
      </w:r>
      <w:r w:rsidRPr="00887B88">
        <w:rPr>
          <w:rtl/>
        </w:rPr>
        <w:t xml:space="preserve"> </w:t>
      </w:r>
      <w:r w:rsidRPr="00887B88">
        <w:rPr>
          <w:rFonts w:hint="eastAsia"/>
          <w:rtl/>
        </w:rPr>
        <w:t>זהה</w:t>
      </w:r>
      <w:r w:rsidRPr="00887B88">
        <w:rPr>
          <w:rtl/>
        </w:rPr>
        <w:t xml:space="preserve"> </w:t>
      </w:r>
      <w:r w:rsidRPr="00887B88">
        <w:rPr>
          <w:rFonts w:hint="eastAsia"/>
          <w:rtl/>
        </w:rPr>
        <w:t>לזה</w:t>
      </w:r>
      <w:r w:rsidRPr="00887B88">
        <w:rPr>
          <w:rtl/>
        </w:rPr>
        <w:t xml:space="preserve"> </w:t>
      </w:r>
      <w:r w:rsidRPr="00887B88">
        <w:rPr>
          <w:rFonts w:hint="eastAsia"/>
          <w:rtl/>
        </w:rPr>
        <w:t>של</w:t>
      </w:r>
      <w:r w:rsidRPr="00887B88">
        <w:rPr>
          <w:rtl/>
        </w:rPr>
        <w:t xml:space="preserve"> </w:t>
      </w:r>
      <w:r w:rsidRPr="00887B88">
        <w:rPr>
          <w:rFonts w:hint="eastAsia"/>
          <w:rtl/>
        </w:rPr>
        <w:t>חברה</w:t>
      </w:r>
      <w:r w:rsidRPr="00887B88">
        <w:rPr>
          <w:rtl/>
        </w:rPr>
        <w:t xml:space="preserve"> </w:t>
      </w:r>
      <w:r w:rsidRPr="00887B88">
        <w:rPr>
          <w:rFonts w:hint="eastAsia"/>
          <w:rtl/>
        </w:rPr>
        <w:t>בפירוק</w:t>
      </w:r>
      <w:r w:rsidRPr="00887B88">
        <w:rPr>
          <w:rtl/>
        </w:rPr>
        <w:t xml:space="preserve">, </w:t>
      </w:r>
      <w:r w:rsidRPr="00887B88">
        <w:rPr>
          <w:rFonts w:hint="eastAsia"/>
          <w:rtl/>
        </w:rPr>
        <w:t>כך</w:t>
      </w:r>
      <w:r w:rsidRPr="00887B88">
        <w:rPr>
          <w:rtl/>
        </w:rPr>
        <w:t xml:space="preserve"> </w:t>
      </w:r>
      <w:r w:rsidRPr="00887B88">
        <w:rPr>
          <w:rFonts w:hint="eastAsia"/>
          <w:rtl/>
        </w:rPr>
        <w:t>שתשלום</w:t>
      </w:r>
      <w:r w:rsidRPr="00887B88">
        <w:rPr>
          <w:rtl/>
        </w:rPr>
        <w:t xml:space="preserve"> </w:t>
      </w:r>
      <w:r w:rsidRPr="00887B88">
        <w:rPr>
          <w:rFonts w:hint="eastAsia"/>
          <w:rtl/>
        </w:rPr>
        <w:t>שכרם</w:t>
      </w:r>
      <w:r w:rsidRPr="00887B88">
        <w:rPr>
          <w:rtl/>
        </w:rPr>
        <w:t xml:space="preserve"> </w:t>
      </w:r>
      <w:r w:rsidRPr="00887B88">
        <w:rPr>
          <w:rFonts w:hint="eastAsia"/>
          <w:rtl/>
        </w:rPr>
        <w:t>של</w:t>
      </w:r>
      <w:r w:rsidRPr="00887B88">
        <w:rPr>
          <w:rtl/>
        </w:rPr>
        <w:t xml:space="preserve"> </w:t>
      </w:r>
      <w:r w:rsidRPr="00887B88">
        <w:rPr>
          <w:rFonts w:hint="eastAsia"/>
          <w:rtl/>
        </w:rPr>
        <w:t>העובדים</w:t>
      </w:r>
      <w:r w:rsidRPr="00887B88">
        <w:rPr>
          <w:rtl/>
        </w:rPr>
        <w:t xml:space="preserve"> </w:t>
      </w:r>
      <w:r w:rsidRPr="00887B88">
        <w:rPr>
          <w:rFonts w:hint="eastAsia"/>
          <w:rtl/>
        </w:rPr>
        <w:t>לא</w:t>
      </w:r>
      <w:r w:rsidRPr="00887B88">
        <w:rPr>
          <w:rtl/>
        </w:rPr>
        <w:t xml:space="preserve"> </w:t>
      </w:r>
      <w:r w:rsidRPr="00887B88">
        <w:rPr>
          <w:rFonts w:hint="eastAsia"/>
          <w:rtl/>
        </w:rPr>
        <w:t>יידחק</w:t>
      </w:r>
      <w:r w:rsidRPr="00887B88">
        <w:rPr>
          <w:rtl/>
        </w:rPr>
        <w:t xml:space="preserve"> </w:t>
      </w:r>
      <w:r w:rsidRPr="00887B88">
        <w:rPr>
          <w:rFonts w:hint="eastAsia"/>
          <w:rtl/>
        </w:rPr>
        <w:t>למקום</w:t>
      </w:r>
      <w:r w:rsidRPr="00887B88">
        <w:rPr>
          <w:rtl/>
        </w:rPr>
        <w:t xml:space="preserve"> </w:t>
      </w:r>
      <w:r w:rsidRPr="00887B88">
        <w:rPr>
          <w:rFonts w:hint="eastAsia"/>
          <w:rtl/>
        </w:rPr>
        <w:t>האחרון</w:t>
      </w:r>
      <w:r w:rsidRPr="00887B88">
        <w:rPr>
          <w:rtl/>
        </w:rPr>
        <w:t xml:space="preserve"> </w:t>
      </w:r>
      <w:r w:rsidRPr="00887B88">
        <w:rPr>
          <w:rFonts w:hint="eastAsia"/>
          <w:rtl/>
        </w:rPr>
        <w:t>ברשימה</w:t>
      </w:r>
      <w:r w:rsidRPr="00887B88">
        <w:rPr>
          <w:rtl/>
        </w:rPr>
        <w:t xml:space="preserve">, </w:t>
      </w:r>
      <w:r w:rsidRPr="00887B88">
        <w:rPr>
          <w:rFonts w:hint="eastAsia"/>
          <w:rtl/>
        </w:rPr>
        <w:t>על</w:t>
      </w:r>
      <w:r w:rsidRPr="00887B88">
        <w:rPr>
          <w:rtl/>
        </w:rPr>
        <w:t xml:space="preserve"> </w:t>
      </w:r>
      <w:r w:rsidRPr="00887B88">
        <w:rPr>
          <w:rFonts w:hint="eastAsia"/>
          <w:rtl/>
        </w:rPr>
        <w:t>קביעת</w:t>
      </w:r>
      <w:r w:rsidRPr="00887B88">
        <w:rPr>
          <w:rtl/>
        </w:rPr>
        <w:t xml:space="preserve"> </w:t>
      </w:r>
      <w:r w:rsidRPr="00887B88">
        <w:rPr>
          <w:rFonts w:hint="eastAsia"/>
          <w:rtl/>
        </w:rPr>
        <w:t>בית</w:t>
      </w:r>
      <w:r w:rsidRPr="00887B88">
        <w:rPr>
          <w:rtl/>
        </w:rPr>
        <w:t xml:space="preserve"> </w:t>
      </w:r>
      <w:r w:rsidRPr="00887B88">
        <w:rPr>
          <w:rFonts w:hint="eastAsia"/>
          <w:rtl/>
        </w:rPr>
        <w:t>משפט</w:t>
      </w:r>
      <w:r w:rsidRPr="00887B88">
        <w:rPr>
          <w:rtl/>
        </w:rPr>
        <w:t xml:space="preserve"> </w:t>
      </w:r>
      <w:r w:rsidRPr="00887B88">
        <w:rPr>
          <w:rFonts w:hint="eastAsia"/>
          <w:rtl/>
        </w:rPr>
        <w:t>שאם</w:t>
      </w:r>
      <w:r w:rsidRPr="00887B88">
        <w:rPr>
          <w:rtl/>
        </w:rPr>
        <w:t xml:space="preserve"> </w:t>
      </w:r>
      <w:r w:rsidRPr="00887B88">
        <w:rPr>
          <w:rFonts w:hint="eastAsia"/>
          <w:rtl/>
        </w:rPr>
        <w:t>לא</w:t>
      </w:r>
      <w:r w:rsidRPr="00887B88">
        <w:rPr>
          <w:rtl/>
        </w:rPr>
        <w:t xml:space="preserve"> </w:t>
      </w:r>
      <w:r w:rsidRPr="00887B88">
        <w:rPr>
          <w:rFonts w:hint="eastAsia"/>
          <w:rtl/>
        </w:rPr>
        <w:t>יאושר</w:t>
      </w:r>
      <w:r w:rsidRPr="00887B88">
        <w:rPr>
          <w:rtl/>
        </w:rPr>
        <w:t xml:space="preserve"> </w:t>
      </w:r>
      <w:r w:rsidRPr="00887B88">
        <w:rPr>
          <w:rFonts w:hint="eastAsia"/>
          <w:rtl/>
        </w:rPr>
        <w:t>ההסדר</w:t>
      </w:r>
      <w:r w:rsidRPr="00887B88">
        <w:rPr>
          <w:rtl/>
        </w:rPr>
        <w:t xml:space="preserve"> </w:t>
      </w:r>
      <w:r w:rsidRPr="00887B88">
        <w:rPr>
          <w:rFonts w:hint="eastAsia"/>
          <w:rtl/>
        </w:rPr>
        <w:t>לא</w:t>
      </w:r>
      <w:r w:rsidRPr="00887B88">
        <w:rPr>
          <w:rtl/>
        </w:rPr>
        <w:t xml:space="preserve"> </w:t>
      </w:r>
      <w:r w:rsidRPr="00887B88">
        <w:rPr>
          <w:rFonts w:hint="eastAsia"/>
          <w:rtl/>
        </w:rPr>
        <w:t>יהיה</w:t>
      </w:r>
      <w:r w:rsidRPr="00887B88">
        <w:rPr>
          <w:rtl/>
        </w:rPr>
        <w:t xml:space="preserve"> </w:t>
      </w:r>
      <w:r w:rsidRPr="00887B88">
        <w:rPr>
          <w:rFonts w:hint="eastAsia"/>
          <w:rtl/>
        </w:rPr>
        <w:t>מנוס</w:t>
      </w:r>
      <w:r w:rsidRPr="00887B88">
        <w:rPr>
          <w:rtl/>
        </w:rPr>
        <w:t xml:space="preserve"> </w:t>
      </w:r>
      <w:r w:rsidRPr="00887B88">
        <w:rPr>
          <w:rFonts w:hint="eastAsia"/>
          <w:rtl/>
        </w:rPr>
        <w:t>מפירוק</w:t>
      </w:r>
      <w:r>
        <w:rPr>
          <w:rFonts w:hint="cs"/>
          <w:rtl/>
        </w:rPr>
        <w:t xml:space="preserve"> החברה ועל כך שהתמורה שתשולם לעובדי החברה</w:t>
      </w:r>
      <w:r w:rsidRPr="00130E8F">
        <w:rPr>
          <w:rFonts w:hint="cs"/>
          <w:rtl/>
        </w:rPr>
        <w:t xml:space="preserve"> לא תהיה פחותה מזו שהייתה מתקבלת בהליך פירוק</w:t>
      </w:r>
      <w:r>
        <w:rPr>
          <w:rFonts w:hint="cs"/>
          <w:rtl/>
        </w:rPr>
        <w:t>.</w:t>
      </w:r>
    </w:p>
    <w:p w14:paraId="5D7AA24B" w14:textId="77777777" w:rsidR="00D57CA8" w:rsidRDefault="00D57CA8" w:rsidP="008D1E08">
      <w:pPr>
        <w:pStyle w:val="Hesber"/>
        <w:rPr>
          <w:rtl/>
        </w:rPr>
      </w:pPr>
    </w:p>
    <w:p w14:paraId="535204CF" w14:textId="77777777" w:rsidR="00D57CA8" w:rsidRDefault="00D57CA8" w:rsidP="008D1E08">
      <w:pPr>
        <w:pStyle w:val="Hesber"/>
        <w:rPr>
          <w:rtl/>
        </w:rPr>
      </w:pPr>
    </w:p>
    <w:p w14:paraId="375C0F8A" w14:textId="77777777" w:rsidR="004E5259" w:rsidRPr="00557D2C" w:rsidRDefault="004E5259" w:rsidP="008D1E08">
      <w:pPr>
        <w:pStyle w:val="Hesber"/>
        <w:rPr>
          <w:rtl/>
        </w:rPr>
      </w:pPr>
      <w:r w:rsidRPr="00557D2C">
        <w:rPr>
          <w:rtl/>
        </w:rPr>
        <w:t>---------------------------------</w:t>
      </w:r>
    </w:p>
    <w:p w14:paraId="61CCF593" w14:textId="77777777" w:rsidR="004E5259" w:rsidRPr="00557D2C" w:rsidRDefault="004E5259" w:rsidP="008D1E08">
      <w:pPr>
        <w:pStyle w:val="Hesber"/>
        <w:rPr>
          <w:rtl/>
        </w:rPr>
      </w:pPr>
      <w:r w:rsidRPr="00557D2C">
        <w:rPr>
          <w:rtl/>
        </w:rPr>
        <w:t>הוגשה ליו"ר הכנסת והסגנים</w:t>
      </w:r>
    </w:p>
    <w:p w14:paraId="0EF5FD72" w14:textId="77777777" w:rsidR="004E5259" w:rsidRPr="00557D2C" w:rsidRDefault="004E5259" w:rsidP="008D1E08">
      <w:pPr>
        <w:pStyle w:val="Hesber"/>
        <w:rPr>
          <w:rtl/>
        </w:rPr>
      </w:pPr>
      <w:r w:rsidRPr="00557D2C">
        <w:rPr>
          <w:rtl/>
        </w:rPr>
        <w:t>והונחה על שולחן הכנסת ביום</w:t>
      </w:r>
    </w:p>
    <w:p w14:paraId="7F6961CB" w14:textId="61EA5855" w:rsidR="00E13C27" w:rsidRDefault="004E5259" w:rsidP="004E5259">
      <w:pPr>
        <w:pStyle w:val="Hesber"/>
        <w:rPr>
          <w:rtl/>
        </w:rPr>
      </w:pPr>
      <w:r>
        <w:rPr>
          <w:rFonts w:hint="cs"/>
          <w:rtl/>
        </w:rPr>
        <w:t>י"ג</w:t>
      </w:r>
      <w:r w:rsidRPr="00557D2C">
        <w:rPr>
          <w:rFonts w:hint="cs"/>
          <w:rtl/>
        </w:rPr>
        <w:t xml:space="preserve"> </w:t>
      </w:r>
      <w:r>
        <w:rPr>
          <w:rFonts w:hint="cs"/>
          <w:rtl/>
        </w:rPr>
        <w:t xml:space="preserve">באב </w:t>
      </w:r>
      <w:proofErr w:type="spellStart"/>
      <w:r w:rsidRPr="00557D2C">
        <w:rPr>
          <w:rFonts w:hint="cs"/>
          <w:rtl/>
        </w:rPr>
        <w:t>התשע"ה</w:t>
      </w:r>
      <w:proofErr w:type="spellEnd"/>
      <w:r w:rsidRPr="00557D2C">
        <w:rPr>
          <w:rFonts w:hint="cs"/>
          <w:rtl/>
        </w:rPr>
        <w:t xml:space="preserve"> </w:t>
      </w:r>
      <w:r w:rsidRPr="00557D2C">
        <w:rPr>
          <w:rtl/>
        </w:rPr>
        <w:t>–</w:t>
      </w:r>
      <w:r>
        <w:rPr>
          <w:rFonts w:hint="cs"/>
          <w:rtl/>
        </w:rPr>
        <w:t xml:space="preserve"> 29.7.15</w:t>
      </w: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140704">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5FF6DDAC" w14:textId="55507FF9" w:rsidR="003A3C93" w:rsidRDefault="003A3C93" w:rsidP="003A3C93">
      <w:pPr>
        <w:pStyle w:val="a4"/>
        <w:rPr>
          <w:rtl/>
        </w:rPr>
      </w:pPr>
      <w:r>
        <w:rPr>
          <w:rStyle w:val="a6"/>
        </w:rPr>
        <w:footnoteRef/>
      </w:r>
      <w:r>
        <w:rPr>
          <w:rtl/>
        </w:rPr>
        <w:t xml:space="preserve"> </w:t>
      </w:r>
      <w:r w:rsidR="009F5E8E">
        <w:rPr>
          <w:rFonts w:hint="cs"/>
          <w:rtl/>
        </w:rPr>
        <w:t xml:space="preserve">ס"ח </w:t>
      </w:r>
      <w:proofErr w:type="spellStart"/>
      <w:r w:rsidR="009F5E8E">
        <w:rPr>
          <w:rFonts w:hint="cs"/>
          <w:rtl/>
        </w:rPr>
        <w:t>התשנ"ה</w:t>
      </w:r>
      <w:proofErr w:type="spellEnd"/>
      <w:r w:rsidR="009F5E8E">
        <w:rPr>
          <w:rFonts w:hint="cs"/>
          <w:rtl/>
        </w:rPr>
        <w:t>, עמ' 210.</w:t>
      </w:r>
    </w:p>
  </w:footnote>
  <w:footnote w:id="3">
    <w:p w14:paraId="4791FF5F" w14:textId="4290D053" w:rsidR="00AF5020" w:rsidRDefault="00AF5020">
      <w:pPr>
        <w:pStyle w:val="a4"/>
        <w:rPr>
          <w:rtl/>
        </w:rPr>
      </w:pPr>
      <w:r>
        <w:rPr>
          <w:rStyle w:val="a6"/>
        </w:rPr>
        <w:footnoteRef/>
      </w:r>
      <w:r>
        <w:rPr>
          <w:rtl/>
        </w:rPr>
        <w:t xml:space="preserve"> </w:t>
      </w:r>
      <w:r>
        <w:rPr>
          <w:rFonts w:hint="cs"/>
          <w:rtl/>
        </w:rPr>
        <w:t xml:space="preserve">ס"ח </w:t>
      </w:r>
      <w:proofErr w:type="spellStart"/>
      <w:r>
        <w:rPr>
          <w:rFonts w:hint="cs"/>
          <w:rtl/>
        </w:rPr>
        <w:t>התשנ"ט</w:t>
      </w:r>
      <w:proofErr w:type="spellEnd"/>
      <w:r>
        <w:rPr>
          <w:rFonts w:hint="cs"/>
          <w:rtl/>
        </w:rPr>
        <w:t>, עמ' 189.</w:t>
      </w:r>
    </w:p>
  </w:footnote>
  <w:footnote w:id="4">
    <w:p w14:paraId="69B303EE" w14:textId="61AA90A9" w:rsidR="001D75A2" w:rsidRDefault="001D75A2">
      <w:pPr>
        <w:pStyle w:val="a4"/>
      </w:pPr>
      <w:r>
        <w:rPr>
          <w:rStyle w:val="a6"/>
        </w:rPr>
        <w:footnoteRef/>
      </w:r>
      <w:r>
        <w:rPr>
          <w:rtl/>
        </w:rPr>
        <w:t xml:space="preserve"> </w:t>
      </w:r>
      <w:r>
        <w:rPr>
          <w:rFonts w:hint="cs"/>
          <w:rtl/>
        </w:rPr>
        <w:t>דיני מדינת ישראל, נוסח חדש 37, עמ' 761.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3352D"/>
    <w:rsid w:val="00063A3E"/>
    <w:rsid w:val="00072CAC"/>
    <w:rsid w:val="0007681A"/>
    <w:rsid w:val="000A542E"/>
    <w:rsid w:val="00102B6B"/>
    <w:rsid w:val="001052D4"/>
    <w:rsid w:val="0010644B"/>
    <w:rsid w:val="001207F8"/>
    <w:rsid w:val="00121924"/>
    <w:rsid w:val="001279A8"/>
    <w:rsid w:val="00140704"/>
    <w:rsid w:val="0014195F"/>
    <w:rsid w:val="00152609"/>
    <w:rsid w:val="00153E1B"/>
    <w:rsid w:val="001A0623"/>
    <w:rsid w:val="001C23B0"/>
    <w:rsid w:val="001D75A2"/>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A3C93"/>
    <w:rsid w:val="003D6E38"/>
    <w:rsid w:val="003D74A0"/>
    <w:rsid w:val="004033D8"/>
    <w:rsid w:val="004073F0"/>
    <w:rsid w:val="00412A7D"/>
    <w:rsid w:val="00416B4D"/>
    <w:rsid w:val="00417CFC"/>
    <w:rsid w:val="004A06DC"/>
    <w:rsid w:val="004B24ED"/>
    <w:rsid w:val="004B6625"/>
    <w:rsid w:val="004D2D82"/>
    <w:rsid w:val="004D3876"/>
    <w:rsid w:val="004E4552"/>
    <w:rsid w:val="004E5259"/>
    <w:rsid w:val="004E6CDF"/>
    <w:rsid w:val="00553C9D"/>
    <w:rsid w:val="00562A66"/>
    <w:rsid w:val="005B064E"/>
    <w:rsid w:val="005D51AE"/>
    <w:rsid w:val="005E78FF"/>
    <w:rsid w:val="006239F2"/>
    <w:rsid w:val="0062674B"/>
    <w:rsid w:val="006363B2"/>
    <w:rsid w:val="00644940"/>
    <w:rsid w:val="006818A9"/>
    <w:rsid w:val="006A2D81"/>
    <w:rsid w:val="006C1D0D"/>
    <w:rsid w:val="006D0282"/>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19F6"/>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9F4BE8"/>
    <w:rsid w:val="009F5E8E"/>
    <w:rsid w:val="00A14672"/>
    <w:rsid w:val="00A26BD6"/>
    <w:rsid w:val="00A443CF"/>
    <w:rsid w:val="00A6611D"/>
    <w:rsid w:val="00A82CB7"/>
    <w:rsid w:val="00A942C1"/>
    <w:rsid w:val="00AA2F03"/>
    <w:rsid w:val="00AB044A"/>
    <w:rsid w:val="00AC36F7"/>
    <w:rsid w:val="00AC63A4"/>
    <w:rsid w:val="00AD239E"/>
    <w:rsid w:val="00AD7D60"/>
    <w:rsid w:val="00AF34B5"/>
    <w:rsid w:val="00AF5020"/>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57CA8"/>
    <w:rsid w:val="00D63620"/>
    <w:rsid w:val="00D8410D"/>
    <w:rsid w:val="00D867D7"/>
    <w:rsid w:val="00DB7060"/>
    <w:rsid w:val="00DE3153"/>
    <w:rsid w:val="00E06736"/>
    <w:rsid w:val="00E13C27"/>
    <w:rsid w:val="00E33BBD"/>
    <w:rsid w:val="00E374F2"/>
    <w:rsid w:val="00E45103"/>
    <w:rsid w:val="00E505D0"/>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101B9956-F215-4FB5-95EB-077701D8E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3C93"/>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3A3C93"/>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3A3C93"/>
    <w:rPr>
      <w:sz w:val="36"/>
      <w:szCs w:val="52"/>
    </w:rPr>
  </w:style>
  <w:style w:type="paragraph" w:customStyle="1" w:styleId="Cover3-Haknesset">
    <w:name w:val="Cover 3-Haknesset"/>
    <w:basedOn w:val="Cover1-Reshumot"/>
    <w:rsid w:val="003A3C93"/>
    <w:rPr>
      <w:b/>
      <w:bCs/>
      <w:spacing w:val="60"/>
    </w:rPr>
  </w:style>
  <w:style w:type="paragraph" w:customStyle="1" w:styleId="Cover4-Date">
    <w:name w:val="Cover 4-Date"/>
    <w:basedOn w:val="a"/>
    <w:rsid w:val="003A3C93"/>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3A3C93"/>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3A3C9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3A3C93"/>
    <w:pPr>
      <w:spacing w:before="120" w:after="120"/>
    </w:pPr>
    <w:rPr>
      <w:color w:val="FF0000"/>
      <w:w w:val="80"/>
    </w:rPr>
  </w:style>
  <w:style w:type="paragraph" w:styleId="a3">
    <w:name w:val="endnote text"/>
    <w:basedOn w:val="a"/>
    <w:semiHidden/>
    <w:rsid w:val="003A3C93"/>
    <w:pPr>
      <w:ind w:left="227" w:hanging="227"/>
    </w:pPr>
    <w:rPr>
      <w:sz w:val="14"/>
      <w:szCs w:val="22"/>
    </w:rPr>
  </w:style>
  <w:style w:type="paragraph" w:customStyle="1" w:styleId="TableText">
    <w:name w:val="Table Text"/>
    <w:basedOn w:val="a"/>
    <w:rsid w:val="003A3C93"/>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3A3C93"/>
  </w:style>
  <w:style w:type="paragraph" w:customStyle="1" w:styleId="TableBlock">
    <w:name w:val="Table Block"/>
    <w:basedOn w:val="TableText"/>
    <w:rsid w:val="003A3C93"/>
    <w:pPr>
      <w:ind w:right="0"/>
      <w:jc w:val="both"/>
    </w:pPr>
  </w:style>
  <w:style w:type="paragraph" w:customStyle="1" w:styleId="TableHead">
    <w:name w:val="Table Head"/>
    <w:basedOn w:val="TableText"/>
    <w:rsid w:val="003A3C93"/>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3A3C93"/>
  </w:style>
  <w:style w:type="paragraph" w:customStyle="1" w:styleId="Hesber">
    <w:name w:val="Hesber"/>
    <w:basedOn w:val="a"/>
    <w:rsid w:val="003A3C93"/>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3A3C93"/>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semiHidden/>
    <w:rsid w:val="003A3C93"/>
    <w:rPr>
      <w:vertAlign w:val="superscript"/>
    </w:rPr>
  </w:style>
  <w:style w:type="paragraph" w:customStyle="1" w:styleId="HesberHeading">
    <w:name w:val="Hesber Heading"/>
    <w:basedOn w:val="Hesber"/>
    <w:rsid w:val="003A3C93"/>
    <w:pPr>
      <w:tabs>
        <w:tab w:val="left" w:pos="624"/>
        <w:tab w:val="left" w:pos="1247"/>
      </w:tabs>
      <w:ind w:firstLine="0"/>
    </w:pPr>
    <w:rPr>
      <w:b/>
      <w:bCs/>
    </w:rPr>
  </w:style>
  <w:style w:type="paragraph" w:customStyle="1" w:styleId="HesberWriters">
    <w:name w:val="Hesber Writers"/>
    <w:basedOn w:val="Hesber"/>
    <w:rsid w:val="003A3C93"/>
    <w:pPr>
      <w:spacing w:before="120" w:after="6000"/>
      <w:ind w:left="1418" w:firstLine="0"/>
      <w:jc w:val="right"/>
    </w:pPr>
    <w:rPr>
      <w:b/>
      <w:bCs/>
    </w:rPr>
  </w:style>
  <w:style w:type="paragraph" w:customStyle="1" w:styleId="Hesber1st">
    <w:name w:val="Hesber 1st"/>
    <w:basedOn w:val="Hesber"/>
    <w:rsid w:val="003A3C93"/>
    <w:pPr>
      <w:tabs>
        <w:tab w:val="left" w:pos="680"/>
        <w:tab w:val="left" w:pos="1020"/>
      </w:tabs>
      <w:ind w:firstLine="0"/>
    </w:pPr>
  </w:style>
  <w:style w:type="character" w:styleId="a7">
    <w:name w:val="endnote reference"/>
    <w:basedOn w:val="a0"/>
    <w:semiHidden/>
    <w:rsid w:val="003A3C93"/>
    <w:rPr>
      <w:vertAlign w:val="superscript"/>
    </w:rPr>
  </w:style>
  <w:style w:type="paragraph" w:customStyle="1" w:styleId="TableBlockOutdent">
    <w:name w:val="Table BlockOutdent"/>
    <w:basedOn w:val="TableBlock"/>
    <w:rsid w:val="003A3C93"/>
    <w:pPr>
      <w:ind w:left="624" w:hanging="624"/>
    </w:pPr>
  </w:style>
  <w:style w:type="paragraph" w:styleId="a8">
    <w:name w:val="header"/>
    <w:basedOn w:val="a"/>
    <w:rsid w:val="003A3C93"/>
    <w:pPr>
      <w:tabs>
        <w:tab w:val="center" w:pos="4153"/>
        <w:tab w:val="right" w:pos="8306"/>
      </w:tabs>
    </w:pPr>
  </w:style>
  <w:style w:type="paragraph" w:styleId="a9">
    <w:name w:val="footer"/>
    <w:basedOn w:val="a"/>
    <w:rsid w:val="003A3C93"/>
    <w:pPr>
      <w:tabs>
        <w:tab w:val="center" w:pos="4153"/>
        <w:tab w:val="right" w:pos="8306"/>
      </w:tabs>
    </w:pPr>
  </w:style>
  <w:style w:type="paragraph" w:customStyle="1" w:styleId="HeadDivreiHesber">
    <w:name w:val="Head DivreiHesber"/>
    <w:basedOn w:val="a"/>
    <w:rsid w:val="003A3C93"/>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3A3C93"/>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3A3C93"/>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3A3C93"/>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13197A80-153B-4D75-8537-1C4C0E449D72}"/>
</file>

<file path=customXml/itemProps4.xml><?xml version="1.0" encoding="utf-8"?>
<ds:datastoreItem xmlns:ds="http://schemas.openxmlformats.org/officeDocument/2006/customXml" ds:itemID="{617C2AB6-C7E3-4F0D-9E48-751D28D01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386</Words>
  <Characters>1934</Characters>
  <Application>Microsoft Office Word</Application>
  <DocSecurity>4</DocSecurity>
  <Lines>16</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2015-07-28T09:00:00Z</cp:lastPrinted>
  <dcterms:created xsi:type="dcterms:W3CDTF">2017-11-13T13:04:00Z</dcterms:created>
  <dcterms:modified xsi:type="dcterms:W3CDTF">2017-11-13T13:04:00Z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2022172</vt:r8>
  </property>
</Properties>
</file>