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2B1" w:rsidRPr="00B115E7" w:rsidRDefault="00EA62B1" w:rsidP="00EE4028">
      <w:pPr>
        <w:pStyle w:val="HeadHatzaotHok"/>
        <w:keepNext w:val="0"/>
        <w:keepLines w:val="0"/>
        <w:rPr>
          <w:rtl/>
        </w:rPr>
      </w:pPr>
      <w:bookmarkStart w:id="0" w:name="_GoBack"/>
      <w:bookmarkEnd w:id="0"/>
      <w:r w:rsidRPr="00B115E7">
        <w:rPr>
          <w:rFonts w:hint="cs"/>
          <w:rtl/>
        </w:rPr>
        <w:t>תקנות עובדים זרים (פיקדון לעובדים זרים)</w:t>
      </w:r>
      <w:r w:rsidR="00EE4028" w:rsidRPr="00B115E7">
        <w:rPr>
          <w:rFonts w:hint="cs"/>
          <w:rtl/>
        </w:rPr>
        <w:t>(תיקון)</w:t>
      </w:r>
      <w:r w:rsidRPr="00B115E7">
        <w:rPr>
          <w:rFonts w:hint="cs"/>
          <w:rtl/>
        </w:rPr>
        <w:t xml:space="preserve">, </w:t>
      </w:r>
      <w:proofErr w:type="spellStart"/>
      <w:r w:rsidRPr="00B115E7">
        <w:rPr>
          <w:rFonts w:hint="cs"/>
          <w:rtl/>
        </w:rPr>
        <w:t>התשע"</w:t>
      </w:r>
      <w:r w:rsidR="00EE4028" w:rsidRPr="00B115E7">
        <w:rPr>
          <w:rFonts w:hint="cs"/>
          <w:rtl/>
        </w:rPr>
        <w:t>ז</w:t>
      </w:r>
      <w:proofErr w:type="spellEnd"/>
      <w:r w:rsidRPr="00B115E7">
        <w:rPr>
          <w:rFonts w:hint="eastAsia"/>
          <w:rtl/>
        </w:rPr>
        <w:t>–</w:t>
      </w:r>
      <w:r w:rsidRPr="00B115E7">
        <w:rPr>
          <w:rFonts w:hint="cs"/>
          <w:rtl/>
        </w:rPr>
        <w:t>201</w:t>
      </w:r>
      <w:r w:rsidR="00EE4028" w:rsidRPr="00B115E7">
        <w:rPr>
          <w:rFonts w:hint="cs"/>
          <w:rtl/>
        </w:rPr>
        <w:t>7</w:t>
      </w:r>
      <w:r w:rsidR="00743344" w:rsidRPr="00B115E7">
        <w:rPr>
          <w:rFonts w:hint="cs"/>
          <w:rtl/>
        </w:rPr>
        <w:t>*</w:t>
      </w:r>
    </w:p>
    <w:tbl>
      <w:tblPr>
        <w:tblpPr w:leftFromText="180" w:rightFromText="180" w:vertAnchor="text" w:horzAnchor="margin" w:tblpXSpec="right" w:tblpY="461"/>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54E42" w:rsidRPr="00B115E7" w:rsidTr="00EA00E1">
        <w:trPr>
          <w:cantSplit/>
        </w:trPr>
        <w:tc>
          <w:tcPr>
            <w:tcW w:w="9638" w:type="dxa"/>
            <w:gridSpan w:val="3"/>
          </w:tcPr>
          <w:p w:rsidR="00154E42" w:rsidRPr="00B115E7" w:rsidRDefault="00154E42" w:rsidP="00154E42">
            <w:pPr>
              <w:pStyle w:val="TableBlock"/>
            </w:pPr>
            <w:r w:rsidRPr="00B115E7">
              <w:rPr>
                <w:rFonts w:hint="cs"/>
                <w:rtl/>
              </w:rPr>
              <w:t xml:space="preserve">בתוקף סמכות שר העבודה לפי סעיף 1יא(א) לחוק עובדים זרים, </w:t>
            </w:r>
            <w:proofErr w:type="spellStart"/>
            <w:r w:rsidRPr="00B115E7">
              <w:rPr>
                <w:rFonts w:hint="cs"/>
                <w:rtl/>
              </w:rPr>
              <w:t>התשנ"א</w:t>
            </w:r>
            <w:proofErr w:type="spellEnd"/>
            <w:r w:rsidRPr="00B115E7">
              <w:rPr>
                <w:rFonts w:hint="cs"/>
                <w:rtl/>
              </w:rPr>
              <w:t xml:space="preserve"> </w:t>
            </w:r>
            <w:r w:rsidRPr="00B115E7">
              <w:rPr>
                <w:rtl/>
              </w:rPr>
              <w:t>–</w:t>
            </w:r>
            <w:r w:rsidRPr="00B115E7">
              <w:rPr>
                <w:rFonts w:hint="cs"/>
                <w:rtl/>
              </w:rPr>
              <w:t xml:space="preserve"> 1991</w:t>
            </w:r>
            <w:r w:rsidRPr="00B115E7">
              <w:rPr>
                <w:rtl/>
              </w:rPr>
              <w:footnoteReference w:id="1"/>
            </w:r>
            <w:r w:rsidRPr="00B115E7">
              <w:rPr>
                <w:rFonts w:hint="cs"/>
                <w:rtl/>
              </w:rPr>
              <w:t xml:space="preserve"> (להלן </w:t>
            </w:r>
            <w:r w:rsidRPr="00B115E7">
              <w:rPr>
                <w:rtl/>
              </w:rPr>
              <w:t>–</w:t>
            </w:r>
            <w:r w:rsidRPr="00B115E7">
              <w:rPr>
                <w:rFonts w:hint="cs"/>
                <w:rtl/>
              </w:rPr>
              <w:t xml:space="preserve"> החוק), בהסכמת שר האוצר ולאחר התייעצות עם שר הפנים,</w:t>
            </w:r>
            <w:r w:rsidRPr="00B115E7">
              <w:rPr>
                <w:rtl/>
              </w:rPr>
              <w:t xml:space="preserve"> </w:t>
            </w:r>
            <w:r w:rsidRPr="00B115E7">
              <w:rPr>
                <w:rFonts w:hint="cs"/>
                <w:rtl/>
              </w:rPr>
              <w:t>ובתוקף סמכות שר הפנים לפי סעיפים 1יא(ב1), (ד) ו- (ז) לחוק, בהסכמת שר האוצר לעניין סעיפים 1יא(ב1) ו-(ז) לחוק, ובאישור ועדת העבודה, הרווחה והבריאות של הכנסת, אנו מתקינים תקנות אלה:</w:t>
            </w:r>
          </w:p>
        </w:tc>
      </w:tr>
      <w:tr w:rsidR="00EA62B1" w:rsidRPr="00B115E7" w:rsidTr="00154E42">
        <w:trPr>
          <w:cantSplit/>
        </w:trPr>
        <w:tc>
          <w:tcPr>
            <w:tcW w:w="1871" w:type="dxa"/>
          </w:tcPr>
          <w:p w:rsidR="00EA62B1" w:rsidRPr="00B115E7" w:rsidRDefault="000F0ED7" w:rsidP="00EA62B1">
            <w:pPr>
              <w:pStyle w:val="TableSideHeading"/>
              <w:keepLines w:val="0"/>
            </w:pPr>
            <w:r w:rsidRPr="00B115E7">
              <w:rPr>
                <w:rFonts w:hint="cs"/>
                <w:rtl/>
              </w:rPr>
              <w:t>תיקון תקנה 1</w:t>
            </w:r>
          </w:p>
        </w:tc>
        <w:tc>
          <w:tcPr>
            <w:tcW w:w="624" w:type="dxa"/>
          </w:tcPr>
          <w:p w:rsidR="00EA62B1" w:rsidRPr="00B115E7" w:rsidRDefault="00030D1F" w:rsidP="00030D1F">
            <w:pPr>
              <w:pStyle w:val="TableText"/>
              <w:ind w:right="0"/>
              <w:jc w:val="both"/>
              <w:rPr>
                <w:rtl/>
              </w:rPr>
            </w:pPr>
            <w:r w:rsidRPr="00B115E7">
              <w:rPr>
                <w:rFonts w:hint="cs"/>
                <w:rtl/>
              </w:rPr>
              <w:t>1.</w:t>
            </w:r>
          </w:p>
        </w:tc>
        <w:tc>
          <w:tcPr>
            <w:tcW w:w="7143" w:type="dxa"/>
          </w:tcPr>
          <w:p w:rsidR="00154E42" w:rsidRPr="00B115E7" w:rsidRDefault="008F1C16" w:rsidP="00154E42">
            <w:pPr>
              <w:pStyle w:val="TableBlock"/>
              <w:rPr>
                <w:rtl/>
              </w:rPr>
            </w:pPr>
            <w:r w:rsidRPr="00B115E7">
              <w:rPr>
                <w:rFonts w:hint="cs"/>
                <w:rtl/>
              </w:rPr>
              <w:t xml:space="preserve">בתקנות </w:t>
            </w:r>
            <w:r w:rsidR="000F0ED7" w:rsidRPr="00B115E7">
              <w:rPr>
                <w:rFonts w:hint="cs"/>
                <w:rtl/>
              </w:rPr>
              <w:t xml:space="preserve">עובדים זרים (פיקדון לעובדים זרים), התשע"ו-2016 (להלן </w:t>
            </w:r>
            <w:r w:rsidR="000F0ED7" w:rsidRPr="00B115E7">
              <w:rPr>
                <w:rtl/>
              </w:rPr>
              <w:t>–</w:t>
            </w:r>
            <w:r w:rsidR="000F0ED7" w:rsidRPr="00B115E7">
              <w:rPr>
                <w:rFonts w:hint="cs"/>
                <w:rtl/>
              </w:rPr>
              <w:t xml:space="preserve"> התקנות העיקריות) בתקנה 1</w:t>
            </w:r>
            <w:r w:rsidRPr="00B115E7">
              <w:rPr>
                <w:rFonts w:hint="cs"/>
                <w:rtl/>
              </w:rPr>
              <w:t xml:space="preserve"> </w:t>
            </w:r>
            <w:r w:rsidR="00EF6E3A" w:rsidRPr="00B115E7">
              <w:rPr>
                <w:rtl/>
              </w:rPr>
              <w:t>–</w:t>
            </w:r>
            <w:r w:rsidR="00EF6E3A" w:rsidRPr="00B115E7">
              <w:rPr>
                <w:rFonts w:hint="cs"/>
                <w:rtl/>
              </w:rPr>
              <w:t xml:space="preserve"> </w:t>
            </w:r>
            <w:r w:rsidR="00154E42" w:rsidRPr="00B115E7">
              <w:rPr>
                <w:rtl/>
              </w:rPr>
              <w:t xml:space="preserve"> </w:t>
            </w:r>
          </w:p>
          <w:p w:rsidR="00EF6E3A" w:rsidRPr="00B115E7" w:rsidRDefault="00154E42" w:rsidP="00154E42">
            <w:pPr>
              <w:pStyle w:val="TableBlock"/>
              <w:rPr>
                <w:rtl/>
              </w:rPr>
            </w:pPr>
            <w:r w:rsidRPr="00B115E7">
              <w:rPr>
                <w:rFonts w:hint="cs"/>
                <w:rtl/>
              </w:rPr>
              <w:t>(1</w:t>
            </w:r>
            <w:r w:rsidR="00EF6E3A" w:rsidRPr="00B115E7">
              <w:rPr>
                <w:rFonts w:hint="cs"/>
                <w:rtl/>
              </w:rPr>
              <w:t>)</w:t>
            </w:r>
            <w:r w:rsidR="00EF6E3A" w:rsidRPr="00B115E7">
              <w:rPr>
                <w:rtl/>
              </w:rPr>
              <w:tab/>
            </w:r>
            <w:r w:rsidR="00886CDC" w:rsidRPr="00B115E7">
              <w:rPr>
                <w:rFonts w:hint="cs"/>
                <w:rtl/>
              </w:rPr>
              <w:t xml:space="preserve">אחרי ההגדרה </w:t>
            </w:r>
            <w:r w:rsidR="00EF6E3A" w:rsidRPr="00B115E7">
              <w:rPr>
                <w:rFonts w:hint="cs"/>
                <w:rtl/>
              </w:rPr>
              <w:t>"חשבון בנק" יבוא:</w:t>
            </w:r>
          </w:p>
          <w:p w:rsidR="00EF6E3A" w:rsidRPr="00B115E7" w:rsidRDefault="00EF6E3A" w:rsidP="00EF6E3A">
            <w:pPr>
              <w:pStyle w:val="TableBlock"/>
              <w:keepLines w:val="0"/>
              <w:ind w:left="990"/>
              <w:rPr>
                <w:rtl/>
              </w:rPr>
            </w:pPr>
            <w:r w:rsidRPr="00B115E7">
              <w:rPr>
                <w:rFonts w:hint="cs"/>
                <w:rtl/>
              </w:rPr>
              <w:t xml:space="preserve">"מעסיק" </w:t>
            </w:r>
            <w:r w:rsidRPr="00B115E7">
              <w:rPr>
                <w:rtl/>
              </w:rPr>
              <w:t>–</w:t>
            </w:r>
            <w:r w:rsidRPr="00B115E7">
              <w:rPr>
                <w:rFonts w:hint="cs"/>
                <w:rtl/>
              </w:rPr>
              <w:t xml:space="preserve"> חברת סיעוד,  מעסיק בענף הבניין,  בעבודה בטכנולוגיה </w:t>
            </w:r>
            <w:proofErr w:type="spellStart"/>
            <w:r w:rsidRPr="00B115E7">
              <w:rPr>
                <w:rFonts w:hint="cs"/>
                <w:rtl/>
              </w:rPr>
              <w:t>יחודית</w:t>
            </w:r>
            <w:proofErr w:type="spellEnd"/>
            <w:r w:rsidRPr="00B115E7">
              <w:rPr>
                <w:rFonts w:hint="cs"/>
                <w:rtl/>
              </w:rPr>
              <w:t xml:space="preserve"> או בענף החקלאות, לפי העניין;";</w:t>
            </w:r>
          </w:p>
          <w:p w:rsidR="008F1C16" w:rsidRPr="00B115E7" w:rsidRDefault="008F1C16" w:rsidP="000F0ED7">
            <w:pPr>
              <w:pStyle w:val="TableBlock"/>
              <w:keepLines w:val="0"/>
              <w:rPr>
                <w:rtl/>
              </w:rPr>
            </w:pPr>
          </w:p>
          <w:p w:rsidR="00CD05CE" w:rsidRPr="00B115E7" w:rsidRDefault="00EF6E3A" w:rsidP="002065C3">
            <w:pPr>
              <w:pStyle w:val="TableBlock"/>
              <w:keepLines w:val="0"/>
            </w:pPr>
            <w:r w:rsidRPr="00B115E7">
              <w:rPr>
                <w:rFonts w:hint="cs"/>
                <w:rtl/>
              </w:rPr>
              <w:t>(2) אחרי הגדרה "מעסיק בענף הבניין או בעבודה בטכנולוגיה ייחודית" יבוא:</w:t>
            </w:r>
          </w:p>
        </w:tc>
      </w:tr>
      <w:tr w:rsidR="00B74AA3" w:rsidRPr="00B115E7" w:rsidTr="00154E42">
        <w:trPr>
          <w:cantSplit/>
        </w:trPr>
        <w:tc>
          <w:tcPr>
            <w:tcW w:w="1871" w:type="dxa"/>
          </w:tcPr>
          <w:p w:rsidR="00B74AA3" w:rsidRPr="00B115E7" w:rsidRDefault="00B74AA3" w:rsidP="002065C3">
            <w:pPr>
              <w:pStyle w:val="TableSideHeading"/>
              <w:keepLines w:val="0"/>
              <w:ind w:left="569"/>
              <w:rPr>
                <w:rtl/>
              </w:rPr>
            </w:pPr>
          </w:p>
        </w:tc>
        <w:tc>
          <w:tcPr>
            <w:tcW w:w="624" w:type="dxa"/>
          </w:tcPr>
          <w:p w:rsidR="00B74AA3" w:rsidRPr="00B115E7" w:rsidRDefault="00B74AA3" w:rsidP="0015602F">
            <w:pPr>
              <w:pStyle w:val="TableText"/>
            </w:pPr>
          </w:p>
        </w:tc>
        <w:tc>
          <w:tcPr>
            <w:tcW w:w="7143" w:type="dxa"/>
          </w:tcPr>
          <w:p w:rsidR="00B74AA3" w:rsidRPr="00B115E7" w:rsidRDefault="005C2791" w:rsidP="00154E42">
            <w:pPr>
              <w:pStyle w:val="TableBlock"/>
              <w:rPr>
                <w:rtl/>
              </w:rPr>
            </w:pPr>
            <w:r w:rsidRPr="00B115E7">
              <w:rPr>
                <w:rFonts w:hint="cs"/>
                <w:rtl/>
              </w:rPr>
              <w:t>"</w:t>
            </w:r>
            <w:r w:rsidR="0060267B" w:rsidRPr="00B115E7">
              <w:t>"</w:t>
            </w:r>
            <w:r w:rsidR="00B74AA3" w:rsidRPr="00B115E7">
              <w:rPr>
                <w:rFonts w:hint="cs"/>
                <w:rtl/>
              </w:rPr>
              <w:t xml:space="preserve">מעסיק בענף החקלאות" </w:t>
            </w:r>
            <w:r w:rsidR="00B74AA3" w:rsidRPr="00B115E7">
              <w:rPr>
                <w:rtl/>
              </w:rPr>
              <w:t>–</w:t>
            </w:r>
            <w:r w:rsidR="00B74AA3" w:rsidRPr="00B115E7">
              <w:rPr>
                <w:rFonts w:hint="cs"/>
                <w:rtl/>
              </w:rPr>
              <w:t xml:space="preserve"> מעסיק בעל היתר להעסקת עובדים זרים בענף החקלאות לפי סעיף 1יג לחוק;</w:t>
            </w:r>
            <w:r w:rsidRPr="00B115E7">
              <w:rPr>
                <w:rFonts w:hint="cs"/>
                <w:rtl/>
              </w:rPr>
              <w:t>";</w:t>
            </w:r>
          </w:p>
        </w:tc>
      </w:tr>
      <w:tr w:rsidR="00986C33" w:rsidRPr="00B115E7" w:rsidTr="00154E42">
        <w:trPr>
          <w:cantSplit/>
        </w:trPr>
        <w:tc>
          <w:tcPr>
            <w:tcW w:w="1871" w:type="dxa"/>
          </w:tcPr>
          <w:p w:rsidR="00986C33" w:rsidRPr="00B115E7" w:rsidRDefault="005C2791" w:rsidP="004D2405">
            <w:pPr>
              <w:pStyle w:val="TableSideHeading"/>
              <w:ind w:right="0"/>
              <w:rPr>
                <w:rtl/>
              </w:rPr>
            </w:pPr>
            <w:r w:rsidRPr="00B115E7">
              <w:rPr>
                <w:rFonts w:hint="cs"/>
                <w:rtl/>
              </w:rPr>
              <w:t>הוספת תקנה 2א</w:t>
            </w:r>
          </w:p>
        </w:tc>
        <w:tc>
          <w:tcPr>
            <w:tcW w:w="624" w:type="dxa"/>
          </w:tcPr>
          <w:p w:rsidR="00986C33" w:rsidRPr="00B115E7" w:rsidRDefault="00986C33" w:rsidP="00154E42">
            <w:pPr>
              <w:pStyle w:val="TableText"/>
            </w:pPr>
            <w:r w:rsidRPr="00B115E7">
              <w:rPr>
                <w:rFonts w:hint="cs"/>
                <w:rtl/>
              </w:rPr>
              <w:t>2.</w:t>
            </w:r>
          </w:p>
        </w:tc>
        <w:tc>
          <w:tcPr>
            <w:tcW w:w="7143" w:type="dxa"/>
          </w:tcPr>
          <w:p w:rsidR="00986C33" w:rsidRPr="00B115E7" w:rsidRDefault="005C2791" w:rsidP="00154E42">
            <w:pPr>
              <w:pStyle w:val="TableBlock"/>
              <w:rPr>
                <w:rtl/>
              </w:rPr>
            </w:pPr>
            <w:r w:rsidRPr="00B115E7">
              <w:rPr>
                <w:rFonts w:hint="cs"/>
                <w:rtl/>
              </w:rPr>
              <w:t xml:space="preserve">אחרי תקנה 2 </w:t>
            </w:r>
            <w:r w:rsidR="00E012CC" w:rsidRPr="00B115E7">
              <w:rPr>
                <w:rFonts w:hint="cs"/>
                <w:rtl/>
              </w:rPr>
              <w:t xml:space="preserve">לתקנות העיקריות </w:t>
            </w:r>
            <w:r w:rsidRPr="00B115E7">
              <w:rPr>
                <w:rFonts w:hint="cs"/>
                <w:rtl/>
              </w:rPr>
              <w:t>יבוא:</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154E42" w:rsidRPr="00B115E7">
        <w:trPr>
          <w:cantSplit/>
          <w:trHeight w:val="60"/>
        </w:trPr>
        <w:tc>
          <w:tcPr>
            <w:tcW w:w="1871" w:type="dxa"/>
          </w:tcPr>
          <w:p w:rsidR="00154E42" w:rsidRPr="00B115E7" w:rsidRDefault="00154E42">
            <w:pPr>
              <w:pStyle w:val="TableSideHeading"/>
              <w:keepLines w:val="0"/>
            </w:pPr>
          </w:p>
        </w:tc>
        <w:tc>
          <w:tcPr>
            <w:tcW w:w="624" w:type="dxa"/>
          </w:tcPr>
          <w:p w:rsidR="00154E42" w:rsidRPr="00B115E7" w:rsidRDefault="00154E42">
            <w:pPr>
              <w:pStyle w:val="TableText"/>
              <w:keepLines w:val="0"/>
            </w:pPr>
          </w:p>
        </w:tc>
        <w:tc>
          <w:tcPr>
            <w:tcW w:w="1872" w:type="dxa"/>
          </w:tcPr>
          <w:p w:rsidR="00154E42" w:rsidRPr="00B115E7" w:rsidRDefault="00154E42">
            <w:pPr>
              <w:pStyle w:val="TableInnerSideHeading"/>
            </w:pPr>
            <w:r w:rsidRPr="00B115E7">
              <w:rPr>
                <w:rFonts w:hint="cs"/>
                <w:rtl/>
              </w:rPr>
              <w:t>"פיקדון בעד עובד זר המועסק בענף החקלאות</w:t>
            </w:r>
          </w:p>
        </w:tc>
        <w:tc>
          <w:tcPr>
            <w:tcW w:w="624" w:type="dxa"/>
          </w:tcPr>
          <w:p w:rsidR="00154E42" w:rsidRPr="00B115E7" w:rsidRDefault="00154E42">
            <w:pPr>
              <w:pStyle w:val="TableText"/>
            </w:pPr>
            <w:r w:rsidRPr="00B115E7">
              <w:rPr>
                <w:rFonts w:hint="cs"/>
                <w:rtl/>
              </w:rPr>
              <w:t>2א.</w:t>
            </w:r>
          </w:p>
        </w:tc>
        <w:tc>
          <w:tcPr>
            <w:tcW w:w="4650" w:type="dxa"/>
          </w:tcPr>
          <w:p w:rsidR="00154E42" w:rsidRPr="00B115E7" w:rsidRDefault="00154E42">
            <w:pPr>
              <w:pStyle w:val="TableBlock"/>
            </w:pPr>
            <w:r w:rsidRPr="00B115E7">
              <w:rPr>
                <w:rFonts w:hint="cs"/>
                <w:rtl/>
              </w:rPr>
              <w:t>(א</w:t>
            </w:r>
            <w:r w:rsidRPr="00B115E7">
              <w:rPr>
                <w:rtl/>
              </w:rPr>
              <w:t xml:space="preserve">) </w:t>
            </w:r>
            <w:r w:rsidRPr="00B115E7">
              <w:rPr>
                <w:rFonts w:hint="cs"/>
                <w:rtl/>
              </w:rPr>
              <w:t xml:space="preserve"> מעסיק בענף החקלאות ישלם בכל חודש פיקדון בעד כל עובד זר בעל רישיון לעבודה בענף החקלאות שהוא מעסיק, פיקדון חודשי בסכום של 516 שקלים חדשים.</w:t>
            </w:r>
          </w:p>
        </w:tc>
      </w:tr>
      <w:tr w:rsidR="00154E42" w:rsidRPr="00B115E7">
        <w:trPr>
          <w:cantSplit/>
          <w:trHeight w:val="60"/>
        </w:trPr>
        <w:tc>
          <w:tcPr>
            <w:tcW w:w="1871" w:type="dxa"/>
          </w:tcPr>
          <w:p w:rsidR="00154E42" w:rsidRPr="00B115E7" w:rsidRDefault="00154E42">
            <w:pPr>
              <w:pStyle w:val="TableSideHeading"/>
              <w:keepLines w:val="0"/>
            </w:pPr>
          </w:p>
        </w:tc>
        <w:tc>
          <w:tcPr>
            <w:tcW w:w="624" w:type="dxa"/>
          </w:tcPr>
          <w:p w:rsidR="00154E42" w:rsidRPr="00B115E7" w:rsidRDefault="00154E42">
            <w:pPr>
              <w:pStyle w:val="TableText"/>
              <w:keepLines w:val="0"/>
            </w:pPr>
          </w:p>
        </w:tc>
        <w:tc>
          <w:tcPr>
            <w:tcW w:w="1872" w:type="dxa"/>
          </w:tcPr>
          <w:p w:rsidR="00154E42" w:rsidRPr="00B115E7" w:rsidRDefault="00154E42">
            <w:pPr>
              <w:pStyle w:val="TableInnerSideHeading"/>
              <w:rPr>
                <w:rtl/>
              </w:rPr>
            </w:pPr>
          </w:p>
        </w:tc>
        <w:tc>
          <w:tcPr>
            <w:tcW w:w="624" w:type="dxa"/>
          </w:tcPr>
          <w:p w:rsidR="00154E42" w:rsidRPr="00B115E7" w:rsidRDefault="00154E42">
            <w:pPr>
              <w:pStyle w:val="TableText"/>
              <w:rPr>
                <w:rtl/>
              </w:rPr>
            </w:pPr>
          </w:p>
        </w:tc>
        <w:tc>
          <w:tcPr>
            <w:tcW w:w="4650" w:type="dxa"/>
          </w:tcPr>
          <w:p w:rsidR="00154E42" w:rsidRPr="00B115E7" w:rsidRDefault="00154E42" w:rsidP="007A1CDD">
            <w:pPr>
              <w:pStyle w:val="TableBlock"/>
              <w:rPr>
                <w:rtl/>
              </w:rPr>
            </w:pPr>
            <w:r w:rsidRPr="00B115E7">
              <w:rPr>
                <w:rFonts w:hint="cs"/>
                <w:rtl/>
              </w:rPr>
              <w:t xml:space="preserve">(ב) הסכום האמור בתקנת משנה (א) יעודכן כאמור </w:t>
            </w:r>
            <w:r w:rsidR="007A1CDD" w:rsidRPr="00B115E7">
              <w:rPr>
                <w:rFonts w:hint="cs"/>
                <w:rtl/>
              </w:rPr>
              <w:t>בתקנה 2(ב)</w:t>
            </w:r>
            <w:r w:rsidRPr="00B115E7">
              <w:rPr>
                <w:rFonts w:hint="cs"/>
                <w:rtl/>
              </w:rPr>
              <w:t>.</w:t>
            </w:r>
          </w:p>
        </w:tc>
      </w:tr>
      <w:tr w:rsidR="00154E42" w:rsidRPr="00B115E7">
        <w:trPr>
          <w:cantSplit/>
          <w:trHeight w:val="60"/>
        </w:trPr>
        <w:tc>
          <w:tcPr>
            <w:tcW w:w="1871" w:type="dxa"/>
          </w:tcPr>
          <w:p w:rsidR="00154E42" w:rsidRPr="00B115E7" w:rsidRDefault="00154E42">
            <w:pPr>
              <w:pStyle w:val="TableSideHeading"/>
              <w:keepLines w:val="0"/>
            </w:pPr>
          </w:p>
        </w:tc>
        <w:tc>
          <w:tcPr>
            <w:tcW w:w="624" w:type="dxa"/>
          </w:tcPr>
          <w:p w:rsidR="00154E42" w:rsidRPr="00B115E7" w:rsidRDefault="00154E42">
            <w:pPr>
              <w:pStyle w:val="TableText"/>
              <w:keepLines w:val="0"/>
            </w:pPr>
          </w:p>
        </w:tc>
        <w:tc>
          <w:tcPr>
            <w:tcW w:w="1872" w:type="dxa"/>
          </w:tcPr>
          <w:p w:rsidR="00154E42" w:rsidRPr="00B115E7" w:rsidRDefault="00154E42">
            <w:pPr>
              <w:pStyle w:val="TableInnerSideHeading"/>
              <w:rPr>
                <w:rtl/>
              </w:rPr>
            </w:pPr>
          </w:p>
        </w:tc>
        <w:tc>
          <w:tcPr>
            <w:tcW w:w="624" w:type="dxa"/>
          </w:tcPr>
          <w:p w:rsidR="00154E42" w:rsidRPr="00B115E7" w:rsidRDefault="00154E42">
            <w:pPr>
              <w:pStyle w:val="TableText"/>
              <w:rPr>
                <w:rtl/>
              </w:rPr>
            </w:pPr>
          </w:p>
        </w:tc>
        <w:tc>
          <w:tcPr>
            <w:tcW w:w="4650" w:type="dxa"/>
          </w:tcPr>
          <w:p w:rsidR="00154E42" w:rsidRPr="00B115E7" w:rsidRDefault="00154E42">
            <w:pPr>
              <w:pStyle w:val="TableBlock"/>
              <w:rPr>
                <w:rtl/>
              </w:rPr>
            </w:pPr>
            <w:r w:rsidRPr="00B115E7">
              <w:rPr>
                <w:rFonts w:hint="cs"/>
                <w:rtl/>
              </w:rPr>
              <w:t>(ג) על אף האמור בתקנת משנה (א), הוראות תקנה 2(ד) יחולו על עובד זר  אשר עבד כאמור באותה תקנה."</w:t>
            </w:r>
          </w:p>
        </w:tc>
      </w:tr>
      <w:tr w:rsidR="00154E42" w:rsidRPr="00B115E7">
        <w:trPr>
          <w:cantSplit/>
          <w:trHeight w:val="60"/>
        </w:trPr>
        <w:tc>
          <w:tcPr>
            <w:tcW w:w="1871" w:type="dxa"/>
          </w:tcPr>
          <w:p w:rsidR="00154E42" w:rsidRPr="00B115E7" w:rsidRDefault="00154E42" w:rsidP="007E751D">
            <w:pPr>
              <w:pStyle w:val="TableSideHeading"/>
              <w:keepLines w:val="0"/>
            </w:pPr>
            <w:r w:rsidRPr="00B115E7">
              <w:rPr>
                <w:rFonts w:hint="cs"/>
                <w:rtl/>
              </w:rPr>
              <w:t>תיקון תקנה 8</w:t>
            </w:r>
          </w:p>
        </w:tc>
        <w:tc>
          <w:tcPr>
            <w:tcW w:w="624" w:type="dxa"/>
          </w:tcPr>
          <w:p w:rsidR="00154E42" w:rsidRPr="00B115E7" w:rsidRDefault="00154E42" w:rsidP="00154E42">
            <w:pPr>
              <w:pStyle w:val="TableText"/>
              <w:keepLines w:val="0"/>
            </w:pPr>
            <w:r w:rsidRPr="00B115E7">
              <w:rPr>
                <w:rFonts w:hint="cs"/>
                <w:rtl/>
              </w:rPr>
              <w:t>3.</w:t>
            </w:r>
          </w:p>
        </w:tc>
        <w:tc>
          <w:tcPr>
            <w:tcW w:w="7146" w:type="dxa"/>
            <w:gridSpan w:val="3"/>
          </w:tcPr>
          <w:p w:rsidR="00154E42" w:rsidRPr="00B115E7" w:rsidRDefault="00154E42" w:rsidP="007E751D">
            <w:pPr>
              <w:pStyle w:val="TableBlock"/>
              <w:keepLines w:val="0"/>
            </w:pPr>
            <w:r w:rsidRPr="00B115E7">
              <w:rPr>
                <w:rFonts w:hint="cs"/>
                <w:rtl/>
              </w:rPr>
              <w:t>בתקנה 8 לתקנות העיקריות, בסופה יבוא:</w:t>
            </w:r>
          </w:p>
        </w:tc>
      </w:tr>
      <w:tr w:rsidR="00154E42" w:rsidRPr="00B115E7">
        <w:trPr>
          <w:cantSplit/>
          <w:trHeight w:val="60"/>
        </w:trPr>
        <w:tc>
          <w:tcPr>
            <w:tcW w:w="1871" w:type="dxa"/>
          </w:tcPr>
          <w:p w:rsidR="00154E42" w:rsidRPr="00B115E7" w:rsidRDefault="00154E42" w:rsidP="007E751D">
            <w:pPr>
              <w:pStyle w:val="TableSideHeading"/>
              <w:keepLines w:val="0"/>
              <w:rPr>
                <w:rtl/>
              </w:rPr>
            </w:pPr>
          </w:p>
        </w:tc>
        <w:tc>
          <w:tcPr>
            <w:tcW w:w="624" w:type="dxa"/>
          </w:tcPr>
          <w:p w:rsidR="00154E42" w:rsidRPr="00B115E7" w:rsidRDefault="00154E42" w:rsidP="00154E42">
            <w:pPr>
              <w:pStyle w:val="TableText"/>
              <w:keepLines w:val="0"/>
              <w:rPr>
                <w:rtl/>
              </w:rPr>
            </w:pPr>
          </w:p>
        </w:tc>
        <w:tc>
          <w:tcPr>
            <w:tcW w:w="7146" w:type="dxa"/>
            <w:gridSpan w:val="3"/>
          </w:tcPr>
          <w:p w:rsidR="00154E42" w:rsidRPr="00B115E7" w:rsidRDefault="00154E42" w:rsidP="00FD0A76">
            <w:pPr>
              <w:pStyle w:val="TableBlock"/>
              <w:keepLines w:val="0"/>
              <w:rPr>
                <w:rtl/>
              </w:rPr>
            </w:pPr>
            <w:r w:rsidRPr="00B115E7">
              <w:rPr>
                <w:rFonts w:hint="cs"/>
                <w:rtl/>
              </w:rPr>
              <w:t>"(ה)</w:t>
            </w:r>
            <w:r w:rsidRPr="00B115E7">
              <w:rPr>
                <w:rtl/>
              </w:rPr>
              <w:tab/>
            </w:r>
            <w:r w:rsidR="00FD0A76" w:rsidRPr="00B115E7">
              <w:rPr>
                <w:rFonts w:hint="cs"/>
                <w:rtl/>
              </w:rPr>
              <w:t>כאמור ב</w:t>
            </w:r>
            <w:r w:rsidRPr="00B115E7">
              <w:rPr>
                <w:rtl/>
              </w:rPr>
              <w:t>סעיף 1יא(ו) לחוק</w:t>
            </w:r>
            <w:r w:rsidR="00FD0A76" w:rsidRPr="00B115E7">
              <w:rPr>
                <w:rFonts w:hint="cs"/>
                <w:rtl/>
              </w:rPr>
              <w:t xml:space="preserve">, הסעיף </w:t>
            </w:r>
            <w:r w:rsidRPr="00B115E7">
              <w:rPr>
                <w:rtl/>
              </w:rPr>
              <w:t xml:space="preserve">יחול אף אם נוכו מהעובד </w:t>
            </w:r>
            <w:r w:rsidR="00ED5A1B" w:rsidRPr="00B115E7">
              <w:rPr>
                <w:rFonts w:hint="eastAsia"/>
                <w:rtl/>
              </w:rPr>
              <w:t>כספים</w:t>
            </w:r>
            <w:r w:rsidR="00ED5A1B" w:rsidRPr="00B115E7">
              <w:rPr>
                <w:rtl/>
              </w:rPr>
              <w:t xml:space="preserve"> </w:t>
            </w:r>
            <w:r w:rsidR="00ED5A1B" w:rsidRPr="00B115E7">
              <w:rPr>
                <w:rFonts w:hint="eastAsia"/>
                <w:rtl/>
              </w:rPr>
              <w:t>מכספי</w:t>
            </w:r>
            <w:r w:rsidR="00ED5A1B" w:rsidRPr="00B115E7">
              <w:rPr>
                <w:rtl/>
              </w:rPr>
              <w:t xml:space="preserve"> </w:t>
            </w:r>
            <w:r w:rsidR="00ED5A1B" w:rsidRPr="00B115E7">
              <w:rPr>
                <w:rFonts w:hint="eastAsia"/>
                <w:rtl/>
              </w:rPr>
              <w:t>הפיקדון</w:t>
            </w:r>
            <w:r w:rsidR="00ED5A1B" w:rsidRPr="00B115E7">
              <w:rPr>
                <w:rtl/>
              </w:rPr>
              <w:t xml:space="preserve"> </w:t>
            </w:r>
            <w:r w:rsidR="00ED5A1B" w:rsidRPr="00B115E7">
              <w:rPr>
                <w:rFonts w:hint="eastAsia"/>
                <w:rtl/>
              </w:rPr>
              <w:t>כאמור</w:t>
            </w:r>
            <w:r w:rsidR="00ED5A1B" w:rsidRPr="00B115E7">
              <w:rPr>
                <w:rtl/>
              </w:rPr>
              <w:t xml:space="preserve"> </w:t>
            </w:r>
            <w:r w:rsidR="00ED5A1B" w:rsidRPr="00B115E7">
              <w:rPr>
                <w:rFonts w:hint="eastAsia"/>
                <w:rtl/>
              </w:rPr>
              <w:t>בתקנה</w:t>
            </w:r>
            <w:r w:rsidR="00ED5A1B" w:rsidRPr="00B115E7">
              <w:rPr>
                <w:rtl/>
              </w:rPr>
              <w:t xml:space="preserve"> </w:t>
            </w:r>
            <w:r w:rsidR="00ED5A1B" w:rsidRPr="00B115E7">
              <w:rPr>
                <w:rFonts w:hint="eastAsia"/>
                <w:rtl/>
              </w:rPr>
              <w:t>זו</w:t>
            </w:r>
            <w:r w:rsidR="00ED5A1B" w:rsidRPr="00B115E7">
              <w:rPr>
                <w:rtl/>
              </w:rPr>
              <w:t>."</w:t>
            </w:r>
          </w:p>
        </w:tc>
      </w:tr>
    </w:tbl>
    <w:tbl>
      <w:tblPr>
        <w:tblpPr w:leftFromText="180" w:rightFromText="180" w:vertAnchor="text" w:horzAnchor="margin" w:tblpXSpec="right" w:tblpY="461"/>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F18C6" w:rsidRPr="00B115E7" w:rsidTr="00154E42">
        <w:trPr>
          <w:cantSplit/>
        </w:trPr>
        <w:tc>
          <w:tcPr>
            <w:tcW w:w="1871" w:type="dxa"/>
          </w:tcPr>
          <w:p w:rsidR="008F18C6" w:rsidRPr="00B115E7" w:rsidRDefault="00027209" w:rsidP="0025548B">
            <w:pPr>
              <w:pStyle w:val="TableSideHeading"/>
              <w:ind w:right="0"/>
              <w:rPr>
                <w:rtl/>
              </w:rPr>
            </w:pPr>
            <w:r w:rsidRPr="00B115E7">
              <w:rPr>
                <w:rFonts w:hint="cs"/>
                <w:rtl/>
              </w:rPr>
              <w:t xml:space="preserve">מועד תחילה של </w:t>
            </w:r>
            <w:r w:rsidRPr="00B115E7">
              <w:rPr>
                <w:rFonts w:hint="cs"/>
                <w:rtl/>
              </w:rPr>
              <w:lastRenderedPageBreak/>
              <w:t>תקנות אלה</w:t>
            </w:r>
          </w:p>
        </w:tc>
        <w:tc>
          <w:tcPr>
            <w:tcW w:w="624" w:type="dxa"/>
          </w:tcPr>
          <w:p w:rsidR="008F18C6" w:rsidRPr="00B115E7" w:rsidRDefault="00154E42" w:rsidP="005E7ED2">
            <w:pPr>
              <w:pStyle w:val="TableText"/>
              <w:rPr>
                <w:rtl/>
              </w:rPr>
            </w:pPr>
            <w:r w:rsidRPr="00B115E7">
              <w:rPr>
                <w:rFonts w:hint="cs"/>
                <w:rtl/>
              </w:rPr>
              <w:lastRenderedPageBreak/>
              <w:t>4.</w:t>
            </w:r>
          </w:p>
        </w:tc>
        <w:tc>
          <w:tcPr>
            <w:tcW w:w="7143" w:type="dxa"/>
          </w:tcPr>
          <w:p w:rsidR="008F18C6" w:rsidRPr="00B115E7" w:rsidRDefault="00E012CC" w:rsidP="00154E42">
            <w:pPr>
              <w:pStyle w:val="TableBlock"/>
              <w:numPr>
                <w:ilvl w:val="0"/>
                <w:numId w:val="33"/>
              </w:numPr>
              <w:tabs>
                <w:tab w:val="left" w:pos="624"/>
              </w:tabs>
              <w:rPr>
                <w:rtl/>
              </w:rPr>
            </w:pPr>
            <w:r w:rsidRPr="00B115E7">
              <w:rPr>
                <w:rFonts w:hint="cs"/>
                <w:rtl/>
              </w:rPr>
              <w:t>מועד תחילתן של תקנות אלה ביום תחילתו</w:t>
            </w:r>
            <w:r w:rsidR="008F18C6" w:rsidRPr="00B115E7">
              <w:rPr>
                <w:rFonts w:hint="cs"/>
                <w:rtl/>
              </w:rPr>
              <w:t xml:space="preserve"> של סעיף 4 לחוק למניעת </w:t>
            </w:r>
            <w:r w:rsidR="008F18C6" w:rsidRPr="00B115E7">
              <w:rPr>
                <w:rFonts w:hint="cs"/>
                <w:rtl/>
              </w:rPr>
              <w:lastRenderedPageBreak/>
              <w:t>הסתננות ולהבטחת יציאתם של מסתננים מישראל (תיקוני חקיקה והוראת שעה), התשע"ה-2014</w:t>
            </w:r>
            <w:r w:rsidR="008F18C6" w:rsidRPr="00B115E7">
              <w:rPr>
                <w:rStyle w:val="a7"/>
                <w:rtl/>
              </w:rPr>
              <w:footnoteReference w:id="2"/>
            </w:r>
            <w:r w:rsidR="008F18C6" w:rsidRPr="00B115E7">
              <w:rPr>
                <w:rFonts w:hint="cs"/>
                <w:rtl/>
              </w:rPr>
              <w:t>.</w:t>
            </w:r>
          </w:p>
        </w:tc>
      </w:tr>
    </w:tbl>
    <w:p w:rsidR="00242679" w:rsidRPr="00B115E7" w:rsidRDefault="00242679" w:rsidP="00027209">
      <w:pPr>
        <w:pStyle w:val="HeadDivreiHesber"/>
        <w:rPr>
          <w:rtl/>
        </w:rPr>
      </w:pPr>
      <w:r w:rsidRPr="00B115E7">
        <w:rPr>
          <w:rFonts w:hint="cs"/>
          <w:rtl/>
        </w:rPr>
        <w:lastRenderedPageBreak/>
        <w:t xml:space="preserve">______, </w:t>
      </w:r>
      <w:proofErr w:type="spellStart"/>
      <w:r w:rsidRPr="00B115E7">
        <w:rPr>
          <w:rFonts w:hint="cs"/>
          <w:rtl/>
        </w:rPr>
        <w:t>התשע"</w:t>
      </w:r>
      <w:r w:rsidR="00027209" w:rsidRPr="00B115E7">
        <w:rPr>
          <w:rFonts w:hint="cs"/>
          <w:rtl/>
        </w:rPr>
        <w:t>ז</w:t>
      </w:r>
      <w:proofErr w:type="spellEnd"/>
    </w:p>
    <w:p w:rsidR="00242679" w:rsidRPr="00B115E7" w:rsidRDefault="00242679" w:rsidP="00027209">
      <w:pPr>
        <w:pStyle w:val="HeadDivreiHesber"/>
        <w:rPr>
          <w:rtl/>
        </w:rPr>
      </w:pPr>
      <w:r w:rsidRPr="00B115E7">
        <w:rPr>
          <w:rFonts w:hint="cs"/>
          <w:rtl/>
        </w:rPr>
        <w:t>(______,</w:t>
      </w:r>
      <w:r w:rsidR="00027209" w:rsidRPr="00B115E7">
        <w:rPr>
          <w:rFonts w:hint="cs"/>
          <w:rtl/>
        </w:rPr>
        <w:t>2017</w:t>
      </w:r>
      <w:r w:rsidRPr="00B115E7">
        <w:rPr>
          <w:rFonts w:hint="cs"/>
          <w:rtl/>
        </w:rPr>
        <w:t>)</w:t>
      </w:r>
    </w:p>
    <w:p w:rsidR="00242679" w:rsidRPr="00B115E7" w:rsidRDefault="00242679" w:rsidP="00242679">
      <w:pPr>
        <w:pStyle w:val="HeadDivreiHesber"/>
        <w:rPr>
          <w:rtl/>
        </w:rPr>
      </w:pPr>
      <w:r w:rsidRPr="00B115E7">
        <w:rPr>
          <w:rFonts w:hint="cs"/>
          <w:rtl/>
        </w:rPr>
        <w:t>(</w:t>
      </w:r>
      <w:proofErr w:type="spellStart"/>
      <w:r w:rsidRPr="00B115E7">
        <w:rPr>
          <w:rFonts w:hint="cs"/>
          <w:rtl/>
        </w:rPr>
        <w:t>חמ</w:t>
      </w:r>
      <w:proofErr w:type="spellEnd"/>
      <w:r w:rsidRPr="00B115E7">
        <w:rPr>
          <w:rFonts w:hint="cs"/>
          <w:rtl/>
        </w:rPr>
        <w:t xml:space="preserve"> 3-3502</w:t>
      </w:r>
      <w:r w:rsidR="00FD0A76" w:rsidRPr="00B115E7">
        <w:rPr>
          <w:rFonts w:hint="cs"/>
          <w:rtl/>
        </w:rPr>
        <w:t>-ת1</w:t>
      </w:r>
      <w:r w:rsidRPr="00B115E7">
        <w:rPr>
          <w:rFonts w:hint="cs"/>
          <w:rtl/>
        </w:rPr>
        <w:t>)</w:t>
      </w:r>
    </w:p>
    <w:tbl>
      <w:tblPr>
        <w:tblStyle w:val="a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3"/>
        <w:gridCol w:w="4143"/>
      </w:tblGrid>
      <w:tr w:rsidR="00242679" w:rsidRPr="00B115E7" w:rsidTr="00634198">
        <w:tc>
          <w:tcPr>
            <w:tcW w:w="4261" w:type="dxa"/>
          </w:tcPr>
          <w:p w:rsidR="00242679" w:rsidRPr="00B115E7" w:rsidRDefault="00242679" w:rsidP="00242679">
            <w:pPr>
              <w:pStyle w:val="HeadDivreiHesber"/>
              <w:rPr>
                <w:rtl/>
              </w:rPr>
            </w:pPr>
            <w:r w:rsidRPr="00B115E7">
              <w:rPr>
                <w:rFonts w:hint="cs"/>
                <w:rtl/>
              </w:rPr>
              <w:t>___________________</w:t>
            </w:r>
          </w:p>
        </w:tc>
        <w:tc>
          <w:tcPr>
            <w:tcW w:w="4261" w:type="dxa"/>
          </w:tcPr>
          <w:p w:rsidR="00242679" w:rsidRPr="00B115E7" w:rsidRDefault="00242679" w:rsidP="00242679">
            <w:pPr>
              <w:pStyle w:val="HeadDivreiHesber"/>
              <w:rPr>
                <w:rtl/>
              </w:rPr>
            </w:pPr>
            <w:r w:rsidRPr="00B115E7">
              <w:rPr>
                <w:rFonts w:hint="cs"/>
                <w:rtl/>
              </w:rPr>
              <w:t>__________________</w:t>
            </w:r>
          </w:p>
        </w:tc>
      </w:tr>
      <w:tr w:rsidR="00242679" w:rsidRPr="00B115E7" w:rsidTr="00634198">
        <w:tc>
          <w:tcPr>
            <w:tcW w:w="4261" w:type="dxa"/>
          </w:tcPr>
          <w:p w:rsidR="000E5A60" w:rsidRPr="00B115E7" w:rsidRDefault="00027209" w:rsidP="000E5A60">
            <w:pPr>
              <w:pStyle w:val="HeadDivreiHesber"/>
              <w:rPr>
                <w:rtl/>
              </w:rPr>
            </w:pPr>
            <w:r w:rsidRPr="00B115E7">
              <w:rPr>
                <w:rFonts w:hint="cs"/>
                <w:rtl/>
              </w:rPr>
              <w:t>חיים כץ</w:t>
            </w:r>
          </w:p>
          <w:p w:rsidR="00027209" w:rsidRPr="00B115E7" w:rsidRDefault="00027209" w:rsidP="000E5A60">
            <w:pPr>
              <w:pStyle w:val="HeadDivreiHesber"/>
              <w:rPr>
                <w:rtl/>
              </w:rPr>
            </w:pPr>
            <w:r w:rsidRPr="00B115E7">
              <w:rPr>
                <w:rFonts w:hint="cs"/>
                <w:rtl/>
              </w:rPr>
              <w:t>שר העבודה, הרווחה והשירותים החברתיים</w:t>
            </w:r>
          </w:p>
        </w:tc>
        <w:tc>
          <w:tcPr>
            <w:tcW w:w="4261" w:type="dxa"/>
          </w:tcPr>
          <w:p w:rsidR="00242679" w:rsidRPr="00B115E7" w:rsidRDefault="00027209" w:rsidP="00242679">
            <w:pPr>
              <w:pStyle w:val="HeadDivreiHesber"/>
              <w:rPr>
                <w:rtl/>
              </w:rPr>
            </w:pPr>
            <w:r w:rsidRPr="00B115E7">
              <w:rPr>
                <w:rFonts w:hint="cs"/>
                <w:rtl/>
              </w:rPr>
              <w:t>אריה מכלוף דרעי</w:t>
            </w:r>
          </w:p>
          <w:p w:rsidR="00027209" w:rsidRPr="00B115E7" w:rsidRDefault="00027209" w:rsidP="00242679">
            <w:pPr>
              <w:pStyle w:val="HeadDivreiHesber"/>
              <w:rPr>
                <w:rtl/>
              </w:rPr>
            </w:pPr>
            <w:r w:rsidRPr="00B115E7">
              <w:rPr>
                <w:rFonts w:hint="cs"/>
                <w:rtl/>
              </w:rPr>
              <w:t>שר הפנים</w:t>
            </w:r>
          </w:p>
        </w:tc>
      </w:tr>
    </w:tbl>
    <w:p w:rsidR="00930697" w:rsidRPr="00B115E7" w:rsidRDefault="00930697" w:rsidP="00930697">
      <w:pPr>
        <w:pStyle w:val="HeadDivreiHesber"/>
        <w:spacing w:before="0"/>
        <w:rPr>
          <w:b w:val="0"/>
          <w:bCs/>
          <w:rtl/>
        </w:rPr>
      </w:pPr>
    </w:p>
    <w:p w:rsidR="00930697" w:rsidRPr="00B115E7" w:rsidRDefault="00930697" w:rsidP="00930697">
      <w:pPr>
        <w:pStyle w:val="HeadDivreiHesber"/>
        <w:spacing w:before="0"/>
        <w:rPr>
          <w:b w:val="0"/>
          <w:bCs/>
          <w:rtl/>
        </w:rPr>
      </w:pPr>
      <w:r w:rsidRPr="00B115E7">
        <w:rPr>
          <w:rFonts w:hint="cs"/>
          <w:b w:val="0"/>
          <w:bCs/>
          <w:rtl/>
        </w:rPr>
        <w:t>דברי הסבר</w:t>
      </w:r>
    </w:p>
    <w:p w:rsidR="00930697" w:rsidRPr="00B115E7" w:rsidRDefault="00930697" w:rsidP="00930697">
      <w:pPr>
        <w:pStyle w:val="HeadDivreiHesber"/>
        <w:spacing w:before="0" w:line="276" w:lineRule="auto"/>
        <w:jc w:val="both"/>
        <w:rPr>
          <w:rtl/>
        </w:rPr>
      </w:pPr>
      <w:r w:rsidRPr="00B115E7">
        <w:rPr>
          <w:rFonts w:hint="cs"/>
          <w:rtl/>
        </w:rPr>
        <w:t>כללי:</w:t>
      </w:r>
    </w:p>
    <w:p w:rsidR="00930697" w:rsidRPr="00B115E7" w:rsidRDefault="00930697" w:rsidP="00CD05CE">
      <w:pPr>
        <w:pStyle w:val="HeadDivreiHesber"/>
        <w:spacing w:before="0" w:line="276" w:lineRule="auto"/>
        <w:jc w:val="both"/>
        <w:rPr>
          <w:rtl/>
        </w:rPr>
      </w:pPr>
      <w:r w:rsidRPr="00B115E7">
        <w:rPr>
          <w:rFonts w:hint="cs"/>
          <w:rtl/>
        </w:rPr>
        <w:t xml:space="preserve">פרק ד' לחוק עובדים זרים, </w:t>
      </w:r>
      <w:proofErr w:type="spellStart"/>
      <w:r w:rsidRPr="00B115E7">
        <w:rPr>
          <w:rFonts w:hint="cs"/>
          <w:rtl/>
        </w:rPr>
        <w:t>התשנ"א</w:t>
      </w:r>
      <w:proofErr w:type="spellEnd"/>
      <w:r w:rsidRPr="00B115E7">
        <w:rPr>
          <w:rFonts w:hint="cs"/>
          <w:rtl/>
        </w:rPr>
        <w:t xml:space="preserve"> </w:t>
      </w:r>
      <w:r w:rsidRPr="00B115E7">
        <w:rPr>
          <w:rtl/>
        </w:rPr>
        <w:t>–</w:t>
      </w:r>
      <w:r w:rsidRPr="00B115E7">
        <w:rPr>
          <w:rFonts w:hint="cs"/>
          <w:rtl/>
        </w:rPr>
        <w:t xml:space="preserve"> 1991, (להלן </w:t>
      </w:r>
      <w:r w:rsidRPr="00B115E7">
        <w:rPr>
          <w:rtl/>
        </w:rPr>
        <w:t>–</w:t>
      </w:r>
      <w:r w:rsidRPr="00B115E7">
        <w:rPr>
          <w:rFonts w:hint="cs"/>
          <w:rtl/>
        </w:rPr>
        <w:t xml:space="preserve"> "</w:t>
      </w:r>
      <w:r w:rsidRPr="00B115E7">
        <w:rPr>
          <w:rFonts w:hint="cs"/>
          <w:bCs/>
          <w:rtl/>
        </w:rPr>
        <w:t>החוק</w:t>
      </w:r>
      <w:r w:rsidRPr="00B115E7">
        <w:rPr>
          <w:rFonts w:hint="cs"/>
          <w:rtl/>
        </w:rPr>
        <w:t xml:space="preserve">") קובע הוראות בדבר הפקדת כספים לטובת עובד זר בקרן או בפיקדון. התקנות המוצעות מבקשות להסדיר נושאים אלה: החובה של מעסיקי עובדים זרים, בענפים שונים להפקיד כספים לטובת העובדים הזרים המועסקים על ידם; סכומי הפיקדון שחובה להפקידם; הגוף שאליו יופקדו הכספים; תנאי הזכאות של העובדים הזרים לקבל את כספי הפיקדון; האפשרות לנכות מכספי הפיקדון סכומים בשיעורים שונים כאשר העובד הזר יצא מישראל לאחר תום תקופת </w:t>
      </w:r>
      <w:proofErr w:type="spellStart"/>
      <w:r w:rsidRPr="00B115E7">
        <w:rPr>
          <w:rFonts w:hint="cs"/>
          <w:rtl/>
        </w:rPr>
        <w:t>רשיון</w:t>
      </w:r>
      <w:proofErr w:type="spellEnd"/>
      <w:r w:rsidRPr="00B115E7">
        <w:rPr>
          <w:rFonts w:hint="cs"/>
          <w:rtl/>
        </w:rPr>
        <w:t xml:space="preserve"> הישיבה שלו, דרכי התשלום של כספי הפיקדון; הזכאות לכספי הפיקדון ותשלומם לאחר פטירת העובד הזר  ועוד. </w:t>
      </w:r>
    </w:p>
    <w:p w:rsidR="00930697" w:rsidRPr="00B115E7" w:rsidRDefault="00930697" w:rsidP="00930697">
      <w:pPr>
        <w:pStyle w:val="HeadDivreiHesber"/>
        <w:spacing w:before="0" w:line="276" w:lineRule="auto"/>
        <w:jc w:val="both"/>
        <w:rPr>
          <w:rtl/>
        </w:rPr>
      </w:pPr>
      <w:r w:rsidRPr="00B115E7">
        <w:rPr>
          <w:rFonts w:hint="cs"/>
          <w:rtl/>
        </w:rPr>
        <w:t>כפי שעולה מדברי ההסבר להצעת תיקון מס' 3 לחוק (</w:t>
      </w:r>
      <w:proofErr w:type="spellStart"/>
      <w:r w:rsidRPr="00B115E7">
        <w:rPr>
          <w:rFonts w:hint="cs"/>
          <w:rtl/>
        </w:rPr>
        <w:t>הצ"ח</w:t>
      </w:r>
      <w:proofErr w:type="spellEnd"/>
      <w:r w:rsidRPr="00B115E7">
        <w:rPr>
          <w:rFonts w:hint="cs"/>
          <w:rtl/>
        </w:rPr>
        <w:t xml:space="preserve"> </w:t>
      </w:r>
      <w:hyperlink r:id="rId11" w:history="1">
        <w:r w:rsidRPr="00B115E7">
          <w:rPr>
            <w:rFonts w:hint="cs"/>
            <w:rtl/>
          </w:rPr>
          <w:t xml:space="preserve"> תש"ס מס' 2824</w:t>
        </w:r>
      </w:hyperlink>
      <w:r w:rsidRPr="00B115E7">
        <w:rPr>
          <w:rFonts w:hint="cs"/>
          <w:rtl/>
        </w:rPr>
        <w:t xml:space="preserve"> עמ' 105) שבמסגרתו נוסף פרק זה לחוק, חובת הפקדת הכספים לטובת עובד זר, עיקרה בשתיים: </w:t>
      </w:r>
    </w:p>
    <w:p w:rsidR="00930697" w:rsidRPr="00B115E7" w:rsidRDefault="00930697" w:rsidP="00930697">
      <w:pPr>
        <w:pStyle w:val="HeadDivreiHesber"/>
        <w:spacing w:before="0" w:line="276" w:lineRule="auto"/>
        <w:jc w:val="both"/>
        <w:rPr>
          <w:rtl/>
        </w:rPr>
      </w:pPr>
      <w:r w:rsidRPr="00B115E7">
        <w:rPr>
          <w:rFonts w:hint="cs"/>
          <w:rtl/>
        </w:rPr>
        <w:t>"הבטחה לעובד כי בתום עבודתו בישראל יקבל בארץ מוצאו סכום כסף אשר יאפשר לו לרכוש זכויות סוציאליות", וכן על מנת ש"כספי</w:t>
      </w:r>
      <w:r w:rsidRPr="00B115E7">
        <w:t xml:space="preserve"> </w:t>
      </w:r>
      <w:r w:rsidRPr="00B115E7">
        <w:rPr>
          <w:rFonts w:hint="cs"/>
          <w:rtl/>
        </w:rPr>
        <w:t>הפיקדון</w:t>
      </w:r>
      <w:r w:rsidRPr="00B115E7">
        <w:t xml:space="preserve"> </w:t>
      </w:r>
      <w:r w:rsidRPr="00B115E7">
        <w:rPr>
          <w:rFonts w:hint="cs"/>
          <w:rtl/>
        </w:rPr>
        <w:t>יהוו</w:t>
      </w:r>
      <w:r w:rsidRPr="00B115E7">
        <w:t xml:space="preserve"> </w:t>
      </w:r>
      <w:r w:rsidRPr="00B115E7">
        <w:rPr>
          <w:rFonts w:hint="cs"/>
          <w:rtl/>
        </w:rPr>
        <w:t>חיסכון</w:t>
      </w:r>
      <w:r w:rsidRPr="00B115E7">
        <w:t xml:space="preserve"> </w:t>
      </w:r>
      <w:r w:rsidRPr="00B115E7">
        <w:rPr>
          <w:rFonts w:hint="cs"/>
          <w:rtl/>
        </w:rPr>
        <w:t>קצר</w:t>
      </w:r>
      <w:r w:rsidRPr="00B115E7">
        <w:t xml:space="preserve"> </w:t>
      </w:r>
      <w:r w:rsidRPr="00B115E7">
        <w:rPr>
          <w:rFonts w:hint="cs"/>
          <w:rtl/>
        </w:rPr>
        <w:t>מועד,</w:t>
      </w:r>
      <w:r w:rsidRPr="00B115E7">
        <w:t xml:space="preserve"> </w:t>
      </w:r>
      <w:r w:rsidRPr="00B115E7">
        <w:rPr>
          <w:rFonts w:hint="cs"/>
          <w:rtl/>
        </w:rPr>
        <w:t>המתאים למשך</w:t>
      </w:r>
      <w:r w:rsidRPr="00B115E7">
        <w:t xml:space="preserve"> </w:t>
      </w:r>
      <w:r w:rsidRPr="00B115E7">
        <w:rPr>
          <w:rFonts w:hint="cs"/>
          <w:rtl/>
        </w:rPr>
        <w:t>שהייתו</w:t>
      </w:r>
      <w:r w:rsidRPr="00B115E7">
        <w:t xml:space="preserve"> </w:t>
      </w:r>
      <w:r w:rsidRPr="00B115E7">
        <w:rPr>
          <w:rFonts w:hint="cs"/>
          <w:rtl/>
        </w:rPr>
        <w:lastRenderedPageBreak/>
        <w:t>החוקית</w:t>
      </w:r>
      <w:r w:rsidRPr="00B115E7">
        <w:t xml:space="preserve"> </w:t>
      </w:r>
      <w:r w:rsidRPr="00B115E7">
        <w:rPr>
          <w:rFonts w:hint="cs"/>
          <w:rtl/>
        </w:rPr>
        <w:t>של</w:t>
      </w:r>
      <w:r w:rsidRPr="00B115E7">
        <w:t xml:space="preserve"> </w:t>
      </w:r>
      <w:r w:rsidRPr="00B115E7">
        <w:rPr>
          <w:rFonts w:hint="cs"/>
          <w:rtl/>
        </w:rPr>
        <w:t>העובד</w:t>
      </w:r>
      <w:r w:rsidRPr="00B115E7">
        <w:t xml:space="preserve"> </w:t>
      </w:r>
      <w:r w:rsidRPr="00B115E7">
        <w:rPr>
          <w:rFonts w:hint="cs"/>
          <w:rtl/>
        </w:rPr>
        <w:t>בישראל,</w:t>
      </w:r>
      <w:r w:rsidRPr="00B115E7">
        <w:t xml:space="preserve"> </w:t>
      </w:r>
      <w:r w:rsidRPr="00B115E7">
        <w:rPr>
          <w:rFonts w:hint="cs"/>
          <w:rtl/>
        </w:rPr>
        <w:t xml:space="preserve">ויהא </w:t>
      </w:r>
      <w:proofErr w:type="spellStart"/>
      <w:r w:rsidRPr="00B115E7">
        <w:rPr>
          <w:rFonts w:hint="cs"/>
          <w:rtl/>
        </w:rPr>
        <w:t>בפרעונו</w:t>
      </w:r>
      <w:proofErr w:type="spellEnd"/>
      <w:r w:rsidRPr="00B115E7">
        <w:t xml:space="preserve"> </w:t>
      </w:r>
      <w:r w:rsidRPr="00B115E7">
        <w:rPr>
          <w:rFonts w:hint="cs"/>
          <w:rtl/>
        </w:rPr>
        <w:t>המותנה</w:t>
      </w:r>
      <w:r w:rsidRPr="00B115E7">
        <w:t xml:space="preserve"> </w:t>
      </w:r>
      <w:r w:rsidRPr="00B115E7">
        <w:rPr>
          <w:rFonts w:hint="cs"/>
          <w:rtl/>
        </w:rPr>
        <w:t>ביציאתו</w:t>
      </w:r>
      <w:r w:rsidRPr="00B115E7">
        <w:t xml:space="preserve"> </w:t>
      </w:r>
      <w:r w:rsidRPr="00B115E7">
        <w:rPr>
          <w:rFonts w:hint="cs"/>
          <w:rtl/>
        </w:rPr>
        <w:t>מהארץ</w:t>
      </w:r>
      <w:r w:rsidRPr="00B115E7">
        <w:t xml:space="preserve"> </w:t>
      </w:r>
      <w:r w:rsidRPr="00B115E7">
        <w:rPr>
          <w:rFonts w:hint="cs"/>
          <w:rtl/>
        </w:rPr>
        <w:t>כדי</w:t>
      </w:r>
      <w:r w:rsidRPr="00B115E7">
        <w:t xml:space="preserve"> </w:t>
      </w:r>
      <w:r w:rsidRPr="00B115E7">
        <w:rPr>
          <w:rFonts w:hint="cs"/>
          <w:rtl/>
        </w:rPr>
        <w:t>להוות</w:t>
      </w:r>
      <w:r w:rsidRPr="00B115E7">
        <w:t xml:space="preserve"> </w:t>
      </w:r>
      <w:r w:rsidRPr="00B115E7">
        <w:rPr>
          <w:rFonts w:hint="cs"/>
          <w:rtl/>
        </w:rPr>
        <w:t>תמריץ חיובי</w:t>
      </w:r>
      <w:r w:rsidRPr="00B115E7">
        <w:t xml:space="preserve"> </w:t>
      </w:r>
      <w:r w:rsidRPr="00B115E7">
        <w:rPr>
          <w:rFonts w:hint="cs"/>
          <w:rtl/>
        </w:rPr>
        <w:t>לעובד</w:t>
      </w:r>
      <w:r w:rsidRPr="00B115E7">
        <w:t xml:space="preserve"> </w:t>
      </w:r>
      <w:r w:rsidRPr="00B115E7">
        <w:rPr>
          <w:rFonts w:hint="cs"/>
          <w:rtl/>
        </w:rPr>
        <w:t>הזר</w:t>
      </w:r>
      <w:r w:rsidRPr="00B115E7">
        <w:t xml:space="preserve"> </w:t>
      </w:r>
      <w:r w:rsidRPr="00B115E7">
        <w:rPr>
          <w:rFonts w:hint="cs"/>
          <w:rtl/>
        </w:rPr>
        <w:t>ליציאתו</w:t>
      </w:r>
      <w:r w:rsidRPr="00B115E7">
        <w:t xml:space="preserve"> </w:t>
      </w:r>
      <w:r w:rsidRPr="00B115E7">
        <w:rPr>
          <w:rFonts w:hint="cs"/>
          <w:rtl/>
        </w:rPr>
        <w:t>מישראל</w:t>
      </w:r>
      <w:r w:rsidRPr="00B115E7">
        <w:t xml:space="preserve"> </w:t>
      </w:r>
      <w:r w:rsidRPr="00B115E7">
        <w:rPr>
          <w:rFonts w:hint="cs"/>
          <w:rtl/>
        </w:rPr>
        <w:t>בתום</w:t>
      </w:r>
      <w:r w:rsidRPr="00B115E7">
        <w:t xml:space="preserve"> </w:t>
      </w:r>
      <w:r w:rsidRPr="00B115E7">
        <w:rPr>
          <w:rFonts w:hint="cs"/>
          <w:rtl/>
        </w:rPr>
        <w:t>תקופת</w:t>
      </w:r>
      <w:r w:rsidRPr="00B115E7">
        <w:t xml:space="preserve"> </w:t>
      </w:r>
      <w:r w:rsidRPr="00B115E7">
        <w:rPr>
          <w:rFonts w:hint="cs"/>
          <w:rtl/>
        </w:rPr>
        <w:t>ההיתר, ולבסוף</w:t>
      </w:r>
      <w:r w:rsidRPr="00B115E7">
        <w:t xml:space="preserve"> </w:t>
      </w:r>
      <w:r w:rsidRPr="00B115E7">
        <w:rPr>
          <w:rFonts w:hint="cs"/>
          <w:rtl/>
        </w:rPr>
        <w:t>ההפקדה</w:t>
      </w:r>
      <w:r w:rsidRPr="00B115E7">
        <w:t xml:space="preserve"> </w:t>
      </w:r>
      <w:r w:rsidRPr="00B115E7">
        <w:rPr>
          <w:rFonts w:hint="cs"/>
          <w:rtl/>
        </w:rPr>
        <w:t>לקרן</w:t>
      </w:r>
      <w:r w:rsidRPr="00B115E7">
        <w:t xml:space="preserve"> </w:t>
      </w:r>
      <w:r w:rsidRPr="00B115E7">
        <w:rPr>
          <w:rFonts w:hint="cs"/>
          <w:rtl/>
        </w:rPr>
        <w:t>גם</w:t>
      </w:r>
      <w:r w:rsidRPr="00B115E7">
        <w:t xml:space="preserve"> </w:t>
      </w:r>
      <w:r w:rsidRPr="00B115E7">
        <w:rPr>
          <w:rFonts w:hint="cs"/>
          <w:rtl/>
        </w:rPr>
        <w:t>תצמצם</w:t>
      </w:r>
      <w:r w:rsidRPr="00B115E7">
        <w:t xml:space="preserve"> </w:t>
      </w:r>
      <w:r w:rsidRPr="00B115E7">
        <w:rPr>
          <w:rFonts w:hint="cs"/>
          <w:rtl/>
        </w:rPr>
        <w:t>את</w:t>
      </w:r>
      <w:r w:rsidRPr="00B115E7">
        <w:t xml:space="preserve"> </w:t>
      </w:r>
      <w:r w:rsidRPr="00B115E7">
        <w:rPr>
          <w:rFonts w:hint="cs"/>
          <w:rtl/>
        </w:rPr>
        <w:t>הפערים</w:t>
      </w:r>
      <w:r w:rsidRPr="00B115E7">
        <w:t xml:space="preserve"> </w:t>
      </w:r>
      <w:r w:rsidRPr="00B115E7">
        <w:rPr>
          <w:rFonts w:hint="cs"/>
          <w:rtl/>
        </w:rPr>
        <w:t>בעלויות ההעסקה</w:t>
      </w:r>
      <w:r w:rsidRPr="00B115E7">
        <w:t xml:space="preserve"> </w:t>
      </w:r>
      <w:r w:rsidRPr="00B115E7">
        <w:rPr>
          <w:rFonts w:hint="cs"/>
          <w:rtl/>
        </w:rPr>
        <w:t>של</w:t>
      </w:r>
      <w:r w:rsidRPr="00B115E7">
        <w:t xml:space="preserve"> </w:t>
      </w:r>
      <w:r w:rsidRPr="00B115E7">
        <w:rPr>
          <w:rFonts w:hint="cs"/>
          <w:rtl/>
        </w:rPr>
        <w:t>עובדים</w:t>
      </w:r>
      <w:r w:rsidRPr="00B115E7">
        <w:t xml:space="preserve"> </w:t>
      </w:r>
      <w:r w:rsidRPr="00B115E7">
        <w:rPr>
          <w:rFonts w:hint="cs"/>
          <w:rtl/>
        </w:rPr>
        <w:t>זרים</w:t>
      </w:r>
      <w:r w:rsidRPr="00B115E7">
        <w:t xml:space="preserve"> </w:t>
      </w:r>
      <w:r w:rsidRPr="00B115E7">
        <w:rPr>
          <w:rFonts w:hint="cs"/>
          <w:rtl/>
        </w:rPr>
        <w:t>לעומת</w:t>
      </w:r>
      <w:r w:rsidRPr="00B115E7">
        <w:t xml:space="preserve"> </w:t>
      </w:r>
      <w:r w:rsidRPr="00B115E7">
        <w:rPr>
          <w:rFonts w:hint="cs"/>
          <w:rtl/>
        </w:rPr>
        <w:t>עובדים</w:t>
      </w:r>
      <w:r w:rsidRPr="00B115E7">
        <w:t xml:space="preserve"> </w:t>
      </w:r>
      <w:r w:rsidRPr="00B115E7">
        <w:rPr>
          <w:rFonts w:hint="cs"/>
          <w:rtl/>
        </w:rPr>
        <w:t>מקומיים"</w:t>
      </w:r>
      <w:r w:rsidRPr="00B115E7">
        <w:t>.</w:t>
      </w:r>
    </w:p>
    <w:p w:rsidR="00930697" w:rsidRPr="00B115E7" w:rsidRDefault="00930697" w:rsidP="00CD05CE">
      <w:pPr>
        <w:pStyle w:val="HeadDivreiHesber"/>
        <w:spacing w:before="0" w:line="276" w:lineRule="auto"/>
        <w:jc w:val="both"/>
        <w:rPr>
          <w:rtl/>
        </w:rPr>
      </w:pPr>
      <w:r w:rsidRPr="00B115E7">
        <w:rPr>
          <w:rFonts w:hint="cs"/>
          <w:rtl/>
        </w:rPr>
        <w:t>במהלך השנים נוספו תיקונים לפרק ד' לחוק (תיקון מס'</w:t>
      </w:r>
      <w:r w:rsidR="00CD05CE" w:rsidRPr="00B115E7">
        <w:t xml:space="preserve"> </w:t>
      </w:r>
      <w:r w:rsidRPr="00B115E7">
        <w:rPr>
          <w:rFonts w:hint="cs"/>
          <w:rtl/>
        </w:rPr>
        <w:t>7</w:t>
      </w:r>
      <w:r w:rsidR="00CD05CE" w:rsidRPr="00B115E7">
        <w:rPr>
          <w:rFonts w:hint="cs"/>
          <w:rtl/>
        </w:rPr>
        <w:t>, 12 ו-18</w:t>
      </w:r>
      <w:r w:rsidRPr="00B115E7">
        <w:rPr>
          <w:rFonts w:hint="cs"/>
          <w:rtl/>
        </w:rPr>
        <w:t xml:space="preserve">), וכן הותקנו תקנות עובדים זרים (פיקדון בחשבון הבנק), </w:t>
      </w:r>
      <w:proofErr w:type="spellStart"/>
      <w:r w:rsidRPr="00B115E7">
        <w:rPr>
          <w:rFonts w:hint="cs"/>
          <w:rtl/>
        </w:rPr>
        <w:t>התשס"ח</w:t>
      </w:r>
      <w:proofErr w:type="spellEnd"/>
      <w:r w:rsidRPr="00B115E7">
        <w:rPr>
          <w:rFonts w:hint="cs"/>
          <w:rtl/>
        </w:rPr>
        <w:t xml:space="preserve"> </w:t>
      </w:r>
      <w:r w:rsidRPr="00B115E7">
        <w:rPr>
          <w:rtl/>
        </w:rPr>
        <w:t>–</w:t>
      </w:r>
      <w:r w:rsidRPr="00B115E7">
        <w:rPr>
          <w:rFonts w:hint="cs"/>
          <w:rtl/>
        </w:rPr>
        <w:t xml:space="preserve"> 2008, אשר קובעות כי "הפיקדון לעובדים זרים ינוהל בידי בנק או גוף אחר אשר ייבחר בהליך תחרותי, שיתבצע בהתאם לתקנות חובת המכרזים, התשנ"ג-1993", וכן הוראות לגבי ניהול הכספים ומעקב ופיקוח על הכספים שנצברו לטובת העובד הזר.</w:t>
      </w:r>
    </w:p>
    <w:p w:rsidR="00930697" w:rsidRPr="00B115E7" w:rsidRDefault="00930697" w:rsidP="00930697">
      <w:pPr>
        <w:pStyle w:val="HeadDivreiHesber"/>
        <w:spacing w:before="0" w:line="276" w:lineRule="auto"/>
        <w:jc w:val="both"/>
        <w:rPr>
          <w:rtl/>
        </w:rPr>
      </w:pPr>
      <w:r w:rsidRPr="00B115E7">
        <w:rPr>
          <w:rFonts w:hint="cs"/>
          <w:rtl/>
        </w:rPr>
        <w:t>בשנת 2009 הוצא צו הרחבה (נוסח משולב) לפנסיה חובה לפי  חוק הסכמים קיבוציים, התשי"ז-1957 (להלן- "</w:t>
      </w:r>
      <w:r w:rsidRPr="00B115E7">
        <w:rPr>
          <w:rFonts w:hint="cs"/>
          <w:bCs/>
          <w:rtl/>
        </w:rPr>
        <w:t>צו ההרחבה</w:t>
      </w:r>
      <w:r w:rsidRPr="00B115E7">
        <w:rPr>
          <w:rFonts w:hint="cs"/>
          <w:rtl/>
        </w:rPr>
        <w:t>"), אשר הרחיב את תחולתן של הוראות שבהסכם הקיבוצי הכללי 7019/2007 שבין לשכת התיאום של הארגונים הכלכליים לבין ההסתדרות הכללית החדשה, על כל העובדים והמעסיקים במשק, כאשר בין יתר ההוראות שתחולתן הורחבה, נמנו הוראות לעניין חובת הביטוח הפנסיוני המקיף, לעניין תשלום לקרן או לקופת ביטוח במקום פיצויי פיטורים, וכן לעניין זכויות העובדים לפנסיית זקנה, נכות ושאירים.</w:t>
      </w:r>
    </w:p>
    <w:p w:rsidR="00930697" w:rsidRPr="00B115E7" w:rsidRDefault="00930697" w:rsidP="00930697">
      <w:pPr>
        <w:pStyle w:val="HeadDivreiHesber"/>
        <w:spacing w:before="0" w:line="276" w:lineRule="auto"/>
        <w:jc w:val="both"/>
        <w:rPr>
          <w:rtl/>
        </w:rPr>
      </w:pPr>
      <w:r w:rsidRPr="00B115E7">
        <w:rPr>
          <w:rFonts w:hint="cs"/>
          <w:rtl/>
        </w:rPr>
        <w:t xml:space="preserve">סעיף 1 יא </w:t>
      </w:r>
      <w:r w:rsidRPr="00B115E7">
        <w:rPr>
          <w:rtl/>
        </w:rPr>
        <w:t>(ו</w:t>
      </w:r>
      <w:r w:rsidRPr="00B115E7">
        <w:rPr>
          <w:rFonts w:hint="cs"/>
          <w:rtl/>
        </w:rPr>
        <w:t>)</w:t>
      </w:r>
      <w:r w:rsidRPr="00B115E7">
        <w:rPr>
          <w:rtl/>
        </w:rPr>
        <w:t>(1)</w:t>
      </w:r>
      <w:r w:rsidRPr="00B115E7">
        <w:rPr>
          <w:rFonts w:hint="cs"/>
          <w:rtl/>
        </w:rPr>
        <w:t xml:space="preserve"> לחוק קובע כך: "</w:t>
      </w:r>
      <w:r w:rsidRPr="00B115E7">
        <w:rPr>
          <w:rtl/>
        </w:rPr>
        <w:t>נ</w:t>
      </w:r>
      <w:r w:rsidRPr="00B115E7">
        <w:rPr>
          <w:rFonts w:hint="cs"/>
          <w:rtl/>
        </w:rPr>
        <w:t xml:space="preserve">קבעו בהסכם קיבוצי או </w:t>
      </w:r>
      <w:r w:rsidRPr="00B115E7">
        <w:rPr>
          <w:rtl/>
        </w:rPr>
        <w:t>ב</w:t>
      </w:r>
      <w:r w:rsidRPr="00B115E7">
        <w:rPr>
          <w:rFonts w:hint="cs"/>
          <w:rtl/>
        </w:rPr>
        <w:t>צו הרחבה כמשמעותם בחוק הסכמים קיבוציים, תשי"ז-</w:t>
      </w:r>
      <w:r w:rsidRPr="00B115E7">
        <w:rPr>
          <w:rtl/>
        </w:rPr>
        <w:t xml:space="preserve">1957, </w:t>
      </w:r>
      <w:r w:rsidRPr="00B115E7">
        <w:rPr>
          <w:rFonts w:hint="cs"/>
          <w:rtl/>
        </w:rPr>
        <w:t xml:space="preserve">הוראות בדבר תשלומים סוציאליים שעל המעסיק או העובד הזר לשלם לקרן פנסיה, לתכנית חיסכון אחרת, לקופת תגמולים או לתשלום פיצויי פיטורים, יעביר המעסיק לקרן או לחשבון הבנק, לפי </w:t>
      </w:r>
      <w:proofErr w:type="spellStart"/>
      <w:r w:rsidRPr="00B115E7">
        <w:rPr>
          <w:rFonts w:hint="cs"/>
          <w:rtl/>
        </w:rPr>
        <w:t>הענין</w:t>
      </w:r>
      <w:proofErr w:type="spellEnd"/>
      <w:r w:rsidRPr="00B115E7">
        <w:rPr>
          <w:rFonts w:hint="cs"/>
          <w:rtl/>
        </w:rPr>
        <w:t>, ואליהם בלבד את התשלום הסוציאל</w:t>
      </w:r>
      <w:r w:rsidRPr="00B115E7">
        <w:rPr>
          <w:rtl/>
        </w:rPr>
        <w:t xml:space="preserve">י </w:t>
      </w:r>
      <w:r w:rsidRPr="00B115E7">
        <w:rPr>
          <w:rFonts w:hint="cs"/>
          <w:rtl/>
        </w:rPr>
        <w:t xml:space="preserve">שהוא חב בו, והכל בשיעורים שנקבעו בהסכם הקיבוצי או בצו ההרחבה כאמור, והוראות ההסכם הקיבוצי או צו ההרחבה </w:t>
      </w:r>
      <w:proofErr w:type="spellStart"/>
      <w:r w:rsidRPr="00B115E7">
        <w:rPr>
          <w:rFonts w:hint="cs"/>
          <w:rtl/>
        </w:rPr>
        <w:t>לענין</w:t>
      </w:r>
      <w:proofErr w:type="spellEnd"/>
      <w:r w:rsidRPr="00B115E7">
        <w:rPr>
          <w:rFonts w:hint="cs"/>
          <w:rtl/>
        </w:rPr>
        <w:t xml:space="preserve"> זה לא יחולו;"</w:t>
      </w:r>
    </w:p>
    <w:p w:rsidR="00930697" w:rsidRPr="00B115E7" w:rsidRDefault="00930697" w:rsidP="00930697">
      <w:pPr>
        <w:pStyle w:val="HeadDivreiHesber"/>
        <w:spacing w:before="0" w:line="276" w:lineRule="auto"/>
        <w:jc w:val="both"/>
        <w:rPr>
          <w:rtl/>
        </w:rPr>
      </w:pPr>
      <w:r w:rsidRPr="00B115E7">
        <w:rPr>
          <w:rFonts w:hint="cs"/>
          <w:rtl/>
        </w:rPr>
        <w:t>בהתאם לקבוע בסעיף 1יא(ו)(1) לחוק, ולאור המאפיינים של תעסוקת עובדים זרים בישראל, היוצרים קשיים בגביית הפנסיה לאחר עזיבת העובדים הזרים את המדינה, מונחים המעסיקים להפריש א</w:t>
      </w:r>
      <w:r w:rsidR="00743344" w:rsidRPr="00B115E7">
        <w:rPr>
          <w:rFonts w:hint="cs"/>
          <w:rtl/>
        </w:rPr>
        <w:t>ת כס</w:t>
      </w:r>
      <w:r w:rsidRPr="00B115E7">
        <w:rPr>
          <w:rFonts w:hint="cs"/>
          <w:rtl/>
        </w:rPr>
        <w:t xml:space="preserve">י הפנסיה לפיקדון. </w:t>
      </w:r>
    </w:p>
    <w:p w:rsidR="00027209" w:rsidRPr="00B115E7" w:rsidRDefault="00027209" w:rsidP="008968A5">
      <w:pPr>
        <w:pStyle w:val="HeadDivreiHesber"/>
        <w:spacing w:before="0" w:line="276" w:lineRule="auto"/>
        <w:jc w:val="both"/>
        <w:rPr>
          <w:rtl/>
        </w:rPr>
      </w:pPr>
      <w:r w:rsidRPr="00B115E7">
        <w:rPr>
          <w:rFonts w:hint="cs"/>
          <w:rtl/>
        </w:rPr>
        <w:t>תקנות מכוח סעיף 1יא לחוק הותקנו בקשר למעסיקים בענף הבניין וה</w:t>
      </w:r>
      <w:r w:rsidR="00EE4028" w:rsidRPr="00B115E7">
        <w:rPr>
          <w:rFonts w:hint="cs"/>
          <w:rtl/>
        </w:rPr>
        <w:t>טכנולוגיות הייחודיות וכן לגבי מעסיקים שהם חברות סיעוד</w:t>
      </w:r>
      <w:r w:rsidR="008968A5" w:rsidRPr="00B115E7">
        <w:rPr>
          <w:rFonts w:hint="cs"/>
          <w:rtl/>
        </w:rPr>
        <w:t xml:space="preserve"> (תקנות עובדים זרים (פיקדון לעובדים זרים), התשע"ו-2016</w:t>
      </w:r>
      <w:r w:rsidR="00EE4028" w:rsidRPr="00B115E7">
        <w:rPr>
          <w:rFonts w:hint="cs"/>
          <w:rtl/>
        </w:rPr>
        <w:t xml:space="preserve">. מוצע בתקנות אלה </w:t>
      </w:r>
      <w:r w:rsidR="008968A5" w:rsidRPr="00B115E7">
        <w:rPr>
          <w:rFonts w:hint="cs"/>
          <w:rtl/>
        </w:rPr>
        <w:t>לתקן את התקנות הקיימות ו</w:t>
      </w:r>
      <w:r w:rsidR="00EE4028" w:rsidRPr="00B115E7">
        <w:rPr>
          <w:rFonts w:hint="cs"/>
          <w:rtl/>
        </w:rPr>
        <w:t xml:space="preserve">קבוע את החובה להפריש לפיקדון גם מעסיקים בענף החקלאות. </w:t>
      </w:r>
    </w:p>
    <w:p w:rsidR="009B12D3" w:rsidRPr="00B115E7" w:rsidRDefault="009B12D3" w:rsidP="00930697">
      <w:pPr>
        <w:pStyle w:val="HeadDivreiHesber"/>
        <w:spacing w:before="0" w:line="276" w:lineRule="auto"/>
        <w:jc w:val="both"/>
        <w:rPr>
          <w:rtl/>
        </w:rPr>
      </w:pPr>
    </w:p>
    <w:p w:rsidR="009B12D3" w:rsidRPr="00B115E7" w:rsidRDefault="009B12D3" w:rsidP="009B12D3">
      <w:pPr>
        <w:pStyle w:val="HeadDivreiHesber"/>
        <w:spacing w:before="0" w:line="276" w:lineRule="auto"/>
        <w:jc w:val="both"/>
        <w:rPr>
          <w:rtl/>
        </w:rPr>
      </w:pPr>
      <w:r w:rsidRPr="00B115E7">
        <w:rPr>
          <w:rFonts w:hint="cs"/>
          <w:rtl/>
        </w:rPr>
        <w:t>בהחלטת ממשלה 147 מיום 12/5/2009 נקבע בסעיף 16 כי סכום הפיקדון יהיה 500 ₪, סכום זה עודכן מאוחר יותר לסכום המופיע בתקנות המוצעות.</w:t>
      </w:r>
    </w:p>
    <w:p w:rsidR="00EA62B1" w:rsidRPr="00B115E7" w:rsidRDefault="00EA62B1"/>
    <w:p w:rsidR="00ED7F18" w:rsidRPr="00743344" w:rsidRDefault="00ED7F18" w:rsidP="00743344">
      <w:pPr>
        <w:rPr>
          <w:rFonts w:cs="David"/>
          <w:sz w:val="26"/>
          <w:szCs w:val="26"/>
        </w:rPr>
      </w:pPr>
    </w:p>
    <w:sectPr w:rsidR="00ED7F18" w:rsidRPr="00743344" w:rsidSect="001C0CC8">
      <w:footerReference w:type="default" r:id="rId12"/>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4479" w:rsidRDefault="00204479" w:rsidP="00EA62B1">
      <w:pPr>
        <w:spacing w:before="0" w:line="240" w:lineRule="auto"/>
      </w:pPr>
      <w:r>
        <w:separator/>
      </w:r>
    </w:p>
  </w:endnote>
  <w:endnote w:type="continuationSeparator" w:id="0">
    <w:p w:rsidR="00204479" w:rsidRDefault="00204479" w:rsidP="00EA62B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54449976"/>
      <w:docPartObj>
        <w:docPartGallery w:val="Page Numbers (Bottom of Page)"/>
        <w:docPartUnique/>
      </w:docPartObj>
    </w:sdtPr>
    <w:sdtEndPr>
      <w:rPr>
        <w:cs/>
      </w:rPr>
    </w:sdtEndPr>
    <w:sdtContent>
      <w:p w:rsidR="00DB51A7" w:rsidRDefault="00DB51A7">
        <w:pPr>
          <w:pStyle w:val="ab"/>
          <w:jc w:val="center"/>
          <w:rPr>
            <w:rtl/>
            <w:cs/>
          </w:rPr>
        </w:pPr>
        <w:r>
          <w:fldChar w:fldCharType="begin"/>
        </w:r>
        <w:r>
          <w:rPr>
            <w:rtl/>
            <w:cs/>
          </w:rPr>
          <w:instrText>PAGE   \* MERGEFORMAT</w:instrText>
        </w:r>
        <w:r>
          <w:fldChar w:fldCharType="separate"/>
        </w:r>
        <w:r w:rsidR="00CB7A73" w:rsidRPr="00CB7A73">
          <w:rPr>
            <w:noProof/>
            <w:rtl/>
            <w:lang w:val="he-IL"/>
          </w:rPr>
          <w:t>3</w:t>
        </w:r>
        <w:r>
          <w:fldChar w:fldCharType="end"/>
        </w:r>
      </w:p>
    </w:sdtContent>
  </w:sdt>
  <w:p w:rsidR="00DB51A7" w:rsidRDefault="00DB51A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4479" w:rsidRDefault="00204479" w:rsidP="00EA62B1">
      <w:pPr>
        <w:spacing w:before="0" w:line="240" w:lineRule="auto"/>
      </w:pPr>
      <w:r>
        <w:separator/>
      </w:r>
    </w:p>
  </w:footnote>
  <w:footnote w:type="continuationSeparator" w:id="0">
    <w:p w:rsidR="00204479" w:rsidRDefault="00204479" w:rsidP="00EA62B1">
      <w:pPr>
        <w:spacing w:before="0" w:line="240" w:lineRule="auto"/>
      </w:pPr>
      <w:r>
        <w:continuationSeparator/>
      </w:r>
    </w:p>
  </w:footnote>
  <w:footnote w:id="1">
    <w:p w:rsidR="00154E42" w:rsidRDefault="00154E42" w:rsidP="00EA62B1">
      <w:pPr>
        <w:pStyle w:val="a5"/>
        <w:rPr>
          <w:rtl/>
        </w:rPr>
      </w:pPr>
      <w:r>
        <w:rPr>
          <w:rStyle w:val="a7"/>
        </w:rPr>
        <w:footnoteRef/>
      </w:r>
      <w:r>
        <w:rPr>
          <w:rtl/>
        </w:rPr>
        <w:t xml:space="preserve"> </w:t>
      </w:r>
      <w:r>
        <w:rPr>
          <w:rFonts w:hint="cs"/>
          <w:rtl/>
        </w:rPr>
        <w:t xml:space="preserve">ס"ח </w:t>
      </w:r>
      <w:proofErr w:type="spellStart"/>
      <w:r>
        <w:rPr>
          <w:rFonts w:hint="cs"/>
          <w:rtl/>
        </w:rPr>
        <w:t>התשנ"א</w:t>
      </w:r>
      <w:proofErr w:type="spellEnd"/>
      <w:r>
        <w:rPr>
          <w:rFonts w:hint="cs"/>
          <w:rtl/>
        </w:rPr>
        <w:t xml:space="preserve">, עמ' 112; </w:t>
      </w:r>
      <w:proofErr w:type="spellStart"/>
      <w:r>
        <w:rPr>
          <w:rFonts w:hint="cs"/>
          <w:rtl/>
        </w:rPr>
        <w:t>התשס"ה</w:t>
      </w:r>
      <w:proofErr w:type="spellEnd"/>
      <w:r>
        <w:rPr>
          <w:rFonts w:hint="cs"/>
          <w:rtl/>
        </w:rPr>
        <w:t>, עמ' 360.</w:t>
      </w:r>
    </w:p>
  </w:footnote>
  <w:footnote w:id="2">
    <w:p w:rsidR="008F18C6" w:rsidRDefault="008F18C6">
      <w:pPr>
        <w:pStyle w:val="a5"/>
        <w:rPr>
          <w:rtl/>
        </w:rPr>
      </w:pPr>
      <w:r>
        <w:rPr>
          <w:rStyle w:val="a7"/>
        </w:rPr>
        <w:footnoteRef/>
      </w:r>
      <w:r>
        <w:rPr>
          <w:rtl/>
        </w:rPr>
        <w:t xml:space="preserve"> </w:t>
      </w:r>
      <w:r>
        <w:rPr>
          <w:rFonts w:hint="cs"/>
          <w:rtl/>
        </w:rPr>
        <w:t xml:space="preserve">ס"ח </w:t>
      </w:r>
      <w:proofErr w:type="spellStart"/>
      <w:r>
        <w:rPr>
          <w:rFonts w:hint="cs"/>
          <w:rtl/>
        </w:rPr>
        <w:t>התשע"ה</w:t>
      </w:r>
      <w:proofErr w:type="spellEnd"/>
      <w:r>
        <w:rPr>
          <w:rFonts w:hint="cs"/>
          <w:rtl/>
        </w:rPr>
        <w:t>, עמ' 84.</w:t>
      </w:r>
    </w:p>
    <w:p w:rsidR="008F18C6" w:rsidRDefault="008F18C6" w:rsidP="002065C3">
      <w:pPr>
        <w:pStyle w:val="a5"/>
        <w:numPr>
          <w:ilvl w:val="0"/>
          <w:numId w:val="28"/>
        </w:numPr>
        <w:rPr>
          <w:rtl/>
        </w:rPr>
      </w:pPr>
      <w:r w:rsidRPr="002233EC">
        <w:rPr>
          <w:rtl/>
        </w:rPr>
        <w:t>תקנה זו כפופה לאישור המשנה ליועץ המשפטי לממשלה (חקיקה) בהתאם להוראות סעיף 20.2(ד) להנחיית היועץ המשפטי לממשלה בנושא "חקיקת משנה: נוהל והנחיות" שמספרה 2.31.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3951986"/>
    <w:multiLevelType w:val="hybridMultilevel"/>
    <w:tmpl w:val="12466C18"/>
    <w:lvl w:ilvl="0" w:tplc="6AD865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C2DC6"/>
    <w:multiLevelType w:val="hybridMultilevel"/>
    <w:tmpl w:val="8C9EFC88"/>
    <w:lvl w:ilvl="0" w:tplc="CD34D5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E723D"/>
    <w:multiLevelType w:val="hybridMultilevel"/>
    <w:tmpl w:val="D06A1F78"/>
    <w:lvl w:ilvl="0" w:tplc="4B7E85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B5F35"/>
    <w:multiLevelType w:val="hybridMultilevel"/>
    <w:tmpl w:val="5D202A1C"/>
    <w:lvl w:ilvl="0" w:tplc="B0F427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32A8C"/>
    <w:multiLevelType w:val="hybridMultilevel"/>
    <w:tmpl w:val="F01AB486"/>
    <w:lvl w:ilvl="0" w:tplc="A08E05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F577D"/>
    <w:multiLevelType w:val="hybridMultilevel"/>
    <w:tmpl w:val="18CA4E3A"/>
    <w:lvl w:ilvl="0" w:tplc="4BFC7C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C2108D"/>
    <w:multiLevelType w:val="hybridMultilevel"/>
    <w:tmpl w:val="6444132C"/>
    <w:lvl w:ilvl="0" w:tplc="C5ACE6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7438C4"/>
    <w:multiLevelType w:val="hybridMultilevel"/>
    <w:tmpl w:val="35F463D8"/>
    <w:lvl w:ilvl="0" w:tplc="CFFA43E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E4705D"/>
    <w:multiLevelType w:val="hybridMultilevel"/>
    <w:tmpl w:val="D6D2D0BA"/>
    <w:lvl w:ilvl="0" w:tplc="F80EDF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3573F7"/>
    <w:multiLevelType w:val="hybridMultilevel"/>
    <w:tmpl w:val="34365036"/>
    <w:lvl w:ilvl="0" w:tplc="0C72C80E">
      <w:start w:val="1"/>
      <w:numFmt w:val="decimal"/>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92969E1"/>
    <w:multiLevelType w:val="hybridMultilevel"/>
    <w:tmpl w:val="76EEF4F4"/>
    <w:lvl w:ilvl="0" w:tplc="9A202F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3D58C0"/>
    <w:multiLevelType w:val="hybridMultilevel"/>
    <w:tmpl w:val="13CCFC40"/>
    <w:lvl w:ilvl="0" w:tplc="C874AF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A2604"/>
    <w:multiLevelType w:val="hybridMultilevel"/>
    <w:tmpl w:val="DF600346"/>
    <w:lvl w:ilvl="0" w:tplc="B2AE70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E25159"/>
    <w:multiLevelType w:val="hybridMultilevel"/>
    <w:tmpl w:val="31FE6CAA"/>
    <w:lvl w:ilvl="0" w:tplc="E55E00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D9C2470"/>
    <w:multiLevelType w:val="hybridMultilevel"/>
    <w:tmpl w:val="095A2B90"/>
    <w:lvl w:ilvl="0" w:tplc="39CEF0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EB3CBF"/>
    <w:multiLevelType w:val="hybridMultilevel"/>
    <w:tmpl w:val="3C80660A"/>
    <w:lvl w:ilvl="0" w:tplc="493E55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1C2173"/>
    <w:multiLevelType w:val="hybridMultilevel"/>
    <w:tmpl w:val="E598A65E"/>
    <w:lvl w:ilvl="0" w:tplc="4B2AE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8B290F"/>
    <w:multiLevelType w:val="hybridMultilevel"/>
    <w:tmpl w:val="AB207760"/>
    <w:lvl w:ilvl="0" w:tplc="58A05B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BE2944"/>
    <w:multiLevelType w:val="hybridMultilevel"/>
    <w:tmpl w:val="B58421C6"/>
    <w:lvl w:ilvl="0" w:tplc="38D49C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7B01DC"/>
    <w:multiLevelType w:val="hybridMultilevel"/>
    <w:tmpl w:val="E4320726"/>
    <w:lvl w:ilvl="0" w:tplc="2F8093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CC606E"/>
    <w:multiLevelType w:val="hybridMultilevel"/>
    <w:tmpl w:val="66DC5DC0"/>
    <w:lvl w:ilvl="0" w:tplc="A37EA9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59123F"/>
    <w:multiLevelType w:val="hybridMultilevel"/>
    <w:tmpl w:val="6DBE7262"/>
    <w:lvl w:ilvl="0" w:tplc="B316EA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291597"/>
    <w:multiLevelType w:val="hybridMultilevel"/>
    <w:tmpl w:val="0D421F76"/>
    <w:lvl w:ilvl="0" w:tplc="BADC09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77640B"/>
    <w:multiLevelType w:val="hybridMultilevel"/>
    <w:tmpl w:val="4370B46C"/>
    <w:lvl w:ilvl="0" w:tplc="54FA58A6">
      <w:start w:val="2"/>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BC2EAC"/>
    <w:multiLevelType w:val="hybridMultilevel"/>
    <w:tmpl w:val="8C1EBD50"/>
    <w:lvl w:ilvl="0" w:tplc="9F2241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752D2F"/>
    <w:multiLevelType w:val="hybridMultilevel"/>
    <w:tmpl w:val="4722552E"/>
    <w:lvl w:ilvl="0" w:tplc="CFFA43E0">
      <w:start w:val="1"/>
      <w:numFmt w:val="decimal"/>
      <w:lvlText w:val="(%1)"/>
      <w:lvlJc w:val="left"/>
      <w:pPr>
        <w:ind w:left="1350" w:hanging="63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18D1CBC"/>
    <w:multiLevelType w:val="hybridMultilevel"/>
    <w:tmpl w:val="239C802E"/>
    <w:lvl w:ilvl="0" w:tplc="221E1D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D01F94"/>
    <w:multiLevelType w:val="hybridMultilevel"/>
    <w:tmpl w:val="6E981990"/>
    <w:lvl w:ilvl="0" w:tplc="175808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923056"/>
    <w:multiLevelType w:val="hybridMultilevel"/>
    <w:tmpl w:val="01A6B176"/>
    <w:lvl w:ilvl="0" w:tplc="6D002F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C733B6"/>
    <w:multiLevelType w:val="hybridMultilevel"/>
    <w:tmpl w:val="958CC50E"/>
    <w:lvl w:ilvl="0" w:tplc="233AE3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6A767A"/>
    <w:multiLevelType w:val="hybridMultilevel"/>
    <w:tmpl w:val="E69C8C7C"/>
    <w:lvl w:ilvl="0" w:tplc="F9F865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F44157"/>
    <w:multiLevelType w:val="hybridMultilevel"/>
    <w:tmpl w:val="DC62495A"/>
    <w:lvl w:ilvl="0" w:tplc="F6EA26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3A12A5"/>
    <w:multiLevelType w:val="hybridMultilevel"/>
    <w:tmpl w:val="12C8EEEC"/>
    <w:lvl w:ilvl="0" w:tplc="972E2B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2B4305"/>
    <w:multiLevelType w:val="hybridMultilevel"/>
    <w:tmpl w:val="CCF2F340"/>
    <w:lvl w:ilvl="0" w:tplc="047C6B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B959DD"/>
    <w:multiLevelType w:val="hybridMultilevel"/>
    <w:tmpl w:val="86F4E432"/>
    <w:lvl w:ilvl="0" w:tplc="C04A55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161F1D"/>
    <w:multiLevelType w:val="hybridMultilevel"/>
    <w:tmpl w:val="87506A4E"/>
    <w:lvl w:ilvl="0" w:tplc="DBFE3A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562F89"/>
    <w:multiLevelType w:val="hybridMultilevel"/>
    <w:tmpl w:val="A4CCB27E"/>
    <w:lvl w:ilvl="0" w:tplc="8340AE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CF1770"/>
    <w:multiLevelType w:val="hybridMultilevel"/>
    <w:tmpl w:val="CBDC4ABE"/>
    <w:lvl w:ilvl="0" w:tplc="10A29D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6E170B2"/>
    <w:multiLevelType w:val="hybridMultilevel"/>
    <w:tmpl w:val="635E8DCA"/>
    <w:lvl w:ilvl="0" w:tplc="CD082D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EF6E3D"/>
    <w:multiLevelType w:val="hybridMultilevel"/>
    <w:tmpl w:val="B122DD2C"/>
    <w:lvl w:ilvl="0" w:tplc="72FCA4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7E6FE7"/>
    <w:multiLevelType w:val="hybridMultilevel"/>
    <w:tmpl w:val="5C8A8E0C"/>
    <w:lvl w:ilvl="0" w:tplc="23D287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9918F0"/>
    <w:multiLevelType w:val="hybridMultilevel"/>
    <w:tmpl w:val="C7D84EC2"/>
    <w:lvl w:ilvl="0" w:tplc="B2FE37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0"/>
  </w:num>
  <w:num w:numId="3">
    <w:abstractNumId w:val="15"/>
  </w:num>
  <w:num w:numId="4">
    <w:abstractNumId w:val="41"/>
  </w:num>
  <w:num w:numId="5">
    <w:abstractNumId w:val="17"/>
  </w:num>
  <w:num w:numId="6">
    <w:abstractNumId w:val="12"/>
  </w:num>
  <w:num w:numId="7">
    <w:abstractNumId w:val="44"/>
  </w:num>
  <w:num w:numId="8">
    <w:abstractNumId w:val="28"/>
  </w:num>
  <w:num w:numId="9">
    <w:abstractNumId w:val="22"/>
  </w:num>
  <w:num w:numId="10">
    <w:abstractNumId w:val="2"/>
  </w:num>
  <w:num w:numId="11">
    <w:abstractNumId w:val="5"/>
  </w:num>
  <w:num w:numId="12">
    <w:abstractNumId w:val="34"/>
  </w:num>
  <w:num w:numId="13">
    <w:abstractNumId w:val="14"/>
  </w:num>
  <w:num w:numId="14">
    <w:abstractNumId w:val="38"/>
  </w:num>
  <w:num w:numId="15">
    <w:abstractNumId w:val="26"/>
  </w:num>
  <w:num w:numId="16">
    <w:abstractNumId w:val="32"/>
  </w:num>
  <w:num w:numId="17">
    <w:abstractNumId w:val="30"/>
  </w:num>
  <w:num w:numId="18">
    <w:abstractNumId w:val="24"/>
  </w:num>
  <w:num w:numId="19">
    <w:abstractNumId w:val="7"/>
  </w:num>
  <w:num w:numId="20">
    <w:abstractNumId w:val="42"/>
  </w:num>
  <w:num w:numId="21">
    <w:abstractNumId w:val="20"/>
  </w:num>
  <w:num w:numId="22">
    <w:abstractNumId w:val="45"/>
  </w:num>
  <w:num w:numId="23">
    <w:abstractNumId w:val="9"/>
  </w:num>
  <w:num w:numId="24">
    <w:abstractNumId w:val="19"/>
  </w:num>
  <w:num w:numId="25">
    <w:abstractNumId w:val="16"/>
  </w:num>
  <w:num w:numId="26">
    <w:abstractNumId w:val="6"/>
  </w:num>
  <w:num w:numId="27">
    <w:abstractNumId w:val="21"/>
  </w:num>
  <w:num w:numId="28">
    <w:abstractNumId w:val="25"/>
  </w:num>
  <w:num w:numId="29">
    <w:abstractNumId w:val="3"/>
  </w:num>
  <w:num w:numId="30">
    <w:abstractNumId w:val="29"/>
  </w:num>
  <w:num w:numId="31">
    <w:abstractNumId w:val="35"/>
  </w:num>
  <w:num w:numId="32">
    <w:abstractNumId w:val="43"/>
  </w:num>
  <w:num w:numId="33">
    <w:abstractNumId w:val="4"/>
  </w:num>
  <w:num w:numId="34">
    <w:abstractNumId w:val="33"/>
  </w:num>
  <w:num w:numId="35">
    <w:abstractNumId w:val="39"/>
  </w:num>
  <w:num w:numId="36">
    <w:abstractNumId w:val="23"/>
  </w:num>
  <w:num w:numId="37">
    <w:abstractNumId w:val="11"/>
  </w:num>
  <w:num w:numId="38">
    <w:abstractNumId w:val="1"/>
  </w:num>
  <w:num w:numId="39">
    <w:abstractNumId w:val="13"/>
  </w:num>
  <w:num w:numId="40">
    <w:abstractNumId w:val="18"/>
  </w:num>
  <w:num w:numId="41">
    <w:abstractNumId w:val="36"/>
  </w:num>
  <w:num w:numId="42">
    <w:abstractNumId w:val="37"/>
  </w:num>
  <w:num w:numId="43">
    <w:abstractNumId w:val="8"/>
  </w:num>
  <w:num w:numId="44">
    <w:abstractNumId w:val="27"/>
  </w:num>
  <w:num w:numId="45">
    <w:abstractNumId w:val="10"/>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B1"/>
    <w:rsid w:val="000010F6"/>
    <w:rsid w:val="000142EE"/>
    <w:rsid w:val="00027209"/>
    <w:rsid w:val="00030D1F"/>
    <w:rsid w:val="00035093"/>
    <w:rsid w:val="000A3CAE"/>
    <w:rsid w:val="000B4A3C"/>
    <w:rsid w:val="000C5200"/>
    <w:rsid w:val="000D585A"/>
    <w:rsid w:val="000E3224"/>
    <w:rsid w:val="000E5A60"/>
    <w:rsid w:val="000F0ED7"/>
    <w:rsid w:val="0010291A"/>
    <w:rsid w:val="00103382"/>
    <w:rsid w:val="00110598"/>
    <w:rsid w:val="0011091D"/>
    <w:rsid w:val="001167F8"/>
    <w:rsid w:val="00123281"/>
    <w:rsid w:val="00131066"/>
    <w:rsid w:val="00131632"/>
    <w:rsid w:val="00132F3B"/>
    <w:rsid w:val="00154E42"/>
    <w:rsid w:val="0015602F"/>
    <w:rsid w:val="0017233A"/>
    <w:rsid w:val="0017378F"/>
    <w:rsid w:val="00180B2A"/>
    <w:rsid w:val="00187109"/>
    <w:rsid w:val="001971B2"/>
    <w:rsid w:val="001A6FFE"/>
    <w:rsid w:val="001C0CC8"/>
    <w:rsid w:val="001D12BC"/>
    <w:rsid w:val="001F345C"/>
    <w:rsid w:val="00200F61"/>
    <w:rsid w:val="00201CC5"/>
    <w:rsid w:val="002021EF"/>
    <w:rsid w:val="00204479"/>
    <w:rsid w:val="002065C3"/>
    <w:rsid w:val="00215DEF"/>
    <w:rsid w:val="002233EC"/>
    <w:rsid w:val="0022516B"/>
    <w:rsid w:val="00227FD5"/>
    <w:rsid w:val="00230E78"/>
    <w:rsid w:val="00242679"/>
    <w:rsid w:val="00243D92"/>
    <w:rsid w:val="00246EA7"/>
    <w:rsid w:val="0025245C"/>
    <w:rsid w:val="00254108"/>
    <w:rsid w:val="0025548B"/>
    <w:rsid w:val="0025711E"/>
    <w:rsid w:val="00283880"/>
    <w:rsid w:val="002A04E7"/>
    <w:rsid w:val="002A5EBE"/>
    <w:rsid w:val="002C74CB"/>
    <w:rsid w:val="003105CB"/>
    <w:rsid w:val="00311252"/>
    <w:rsid w:val="00333195"/>
    <w:rsid w:val="00350515"/>
    <w:rsid w:val="0039608E"/>
    <w:rsid w:val="00397134"/>
    <w:rsid w:val="003A2593"/>
    <w:rsid w:val="003B1DBD"/>
    <w:rsid w:val="003C05F4"/>
    <w:rsid w:val="003C3DCC"/>
    <w:rsid w:val="003C4A2F"/>
    <w:rsid w:val="00403F59"/>
    <w:rsid w:val="00407993"/>
    <w:rsid w:val="00420B8D"/>
    <w:rsid w:val="00436FF1"/>
    <w:rsid w:val="00441D4F"/>
    <w:rsid w:val="00452421"/>
    <w:rsid w:val="00452E71"/>
    <w:rsid w:val="004631F9"/>
    <w:rsid w:val="00467828"/>
    <w:rsid w:val="00473B32"/>
    <w:rsid w:val="004929AC"/>
    <w:rsid w:val="004B1A32"/>
    <w:rsid w:val="004D2405"/>
    <w:rsid w:val="004D7763"/>
    <w:rsid w:val="004E2BD1"/>
    <w:rsid w:val="00515509"/>
    <w:rsid w:val="005267ED"/>
    <w:rsid w:val="005472EF"/>
    <w:rsid w:val="005504B9"/>
    <w:rsid w:val="005668CD"/>
    <w:rsid w:val="005752B0"/>
    <w:rsid w:val="0058446B"/>
    <w:rsid w:val="005935CF"/>
    <w:rsid w:val="005A5AAD"/>
    <w:rsid w:val="005C2791"/>
    <w:rsid w:val="005C63E3"/>
    <w:rsid w:val="005D2D51"/>
    <w:rsid w:val="005D301F"/>
    <w:rsid w:val="005D40BD"/>
    <w:rsid w:val="005E7ED2"/>
    <w:rsid w:val="005F1540"/>
    <w:rsid w:val="0060267B"/>
    <w:rsid w:val="006045B1"/>
    <w:rsid w:val="006220D2"/>
    <w:rsid w:val="00626331"/>
    <w:rsid w:val="00634198"/>
    <w:rsid w:val="006846FC"/>
    <w:rsid w:val="006A25C2"/>
    <w:rsid w:val="006C594E"/>
    <w:rsid w:val="006C7E17"/>
    <w:rsid w:val="006D28DF"/>
    <w:rsid w:val="006D5C08"/>
    <w:rsid w:val="006E33FC"/>
    <w:rsid w:val="00705004"/>
    <w:rsid w:val="00707DA1"/>
    <w:rsid w:val="007179CD"/>
    <w:rsid w:val="0073599C"/>
    <w:rsid w:val="00740B59"/>
    <w:rsid w:val="00742404"/>
    <w:rsid w:val="00743344"/>
    <w:rsid w:val="00754D01"/>
    <w:rsid w:val="00797960"/>
    <w:rsid w:val="007A1CDD"/>
    <w:rsid w:val="007C4E2F"/>
    <w:rsid w:val="007E08B2"/>
    <w:rsid w:val="007F6868"/>
    <w:rsid w:val="00815530"/>
    <w:rsid w:val="008164DF"/>
    <w:rsid w:val="008210B4"/>
    <w:rsid w:val="00826593"/>
    <w:rsid w:val="00827A31"/>
    <w:rsid w:val="00847EDB"/>
    <w:rsid w:val="0085526A"/>
    <w:rsid w:val="00856199"/>
    <w:rsid w:val="00864B57"/>
    <w:rsid w:val="00874DA3"/>
    <w:rsid w:val="00884C89"/>
    <w:rsid w:val="00886CDC"/>
    <w:rsid w:val="008968A5"/>
    <w:rsid w:val="008971B4"/>
    <w:rsid w:val="008A1FF3"/>
    <w:rsid w:val="008B2A47"/>
    <w:rsid w:val="008B3C87"/>
    <w:rsid w:val="008C403A"/>
    <w:rsid w:val="008D5975"/>
    <w:rsid w:val="008D6313"/>
    <w:rsid w:val="008D69F8"/>
    <w:rsid w:val="008E11BF"/>
    <w:rsid w:val="008E62EA"/>
    <w:rsid w:val="008F18C6"/>
    <w:rsid w:val="008F1C16"/>
    <w:rsid w:val="00900ECA"/>
    <w:rsid w:val="00901EEC"/>
    <w:rsid w:val="00904834"/>
    <w:rsid w:val="00912916"/>
    <w:rsid w:val="00923140"/>
    <w:rsid w:val="009269D2"/>
    <w:rsid w:val="00930697"/>
    <w:rsid w:val="0094185B"/>
    <w:rsid w:val="0095289C"/>
    <w:rsid w:val="00952B16"/>
    <w:rsid w:val="00976F1B"/>
    <w:rsid w:val="00983F1F"/>
    <w:rsid w:val="0098623F"/>
    <w:rsid w:val="00986C33"/>
    <w:rsid w:val="00996045"/>
    <w:rsid w:val="009B0146"/>
    <w:rsid w:val="009B0DCC"/>
    <w:rsid w:val="009B12D3"/>
    <w:rsid w:val="009B5229"/>
    <w:rsid w:val="009B571E"/>
    <w:rsid w:val="009C2F1C"/>
    <w:rsid w:val="009C6CF8"/>
    <w:rsid w:val="009E5956"/>
    <w:rsid w:val="009F7162"/>
    <w:rsid w:val="00A144D9"/>
    <w:rsid w:val="00A20380"/>
    <w:rsid w:val="00A44E8D"/>
    <w:rsid w:val="00A53189"/>
    <w:rsid w:val="00A53ABA"/>
    <w:rsid w:val="00A55AA4"/>
    <w:rsid w:val="00A60351"/>
    <w:rsid w:val="00A67092"/>
    <w:rsid w:val="00AA3270"/>
    <w:rsid w:val="00AA4C79"/>
    <w:rsid w:val="00AD4DA6"/>
    <w:rsid w:val="00AE7A3B"/>
    <w:rsid w:val="00AF3461"/>
    <w:rsid w:val="00B115E7"/>
    <w:rsid w:val="00B35BAF"/>
    <w:rsid w:val="00B40F3D"/>
    <w:rsid w:val="00B5091E"/>
    <w:rsid w:val="00B74AA3"/>
    <w:rsid w:val="00BB1255"/>
    <w:rsid w:val="00BF6D6A"/>
    <w:rsid w:val="00C02A32"/>
    <w:rsid w:val="00C10ED6"/>
    <w:rsid w:val="00C110DF"/>
    <w:rsid w:val="00C542D1"/>
    <w:rsid w:val="00C60F36"/>
    <w:rsid w:val="00C63C75"/>
    <w:rsid w:val="00C6407E"/>
    <w:rsid w:val="00C72C0D"/>
    <w:rsid w:val="00C760BC"/>
    <w:rsid w:val="00C8001A"/>
    <w:rsid w:val="00C82703"/>
    <w:rsid w:val="00C845AB"/>
    <w:rsid w:val="00CA3DE4"/>
    <w:rsid w:val="00CA5E4F"/>
    <w:rsid w:val="00CA7D29"/>
    <w:rsid w:val="00CB7A73"/>
    <w:rsid w:val="00CC76B8"/>
    <w:rsid w:val="00CD05CE"/>
    <w:rsid w:val="00CD0D28"/>
    <w:rsid w:val="00CD2122"/>
    <w:rsid w:val="00CD3016"/>
    <w:rsid w:val="00CE0478"/>
    <w:rsid w:val="00D03586"/>
    <w:rsid w:val="00D14E45"/>
    <w:rsid w:val="00D1530E"/>
    <w:rsid w:val="00D270A1"/>
    <w:rsid w:val="00D31EC0"/>
    <w:rsid w:val="00D37385"/>
    <w:rsid w:val="00D433E7"/>
    <w:rsid w:val="00D74858"/>
    <w:rsid w:val="00DB51A7"/>
    <w:rsid w:val="00DD0978"/>
    <w:rsid w:val="00DD20D5"/>
    <w:rsid w:val="00DE120B"/>
    <w:rsid w:val="00DF4BF5"/>
    <w:rsid w:val="00E012CC"/>
    <w:rsid w:val="00E07490"/>
    <w:rsid w:val="00E22DB1"/>
    <w:rsid w:val="00E359B3"/>
    <w:rsid w:val="00E42920"/>
    <w:rsid w:val="00E44B74"/>
    <w:rsid w:val="00E81BAC"/>
    <w:rsid w:val="00E84A71"/>
    <w:rsid w:val="00E86F7E"/>
    <w:rsid w:val="00EA0A74"/>
    <w:rsid w:val="00EA1DB8"/>
    <w:rsid w:val="00EA1E73"/>
    <w:rsid w:val="00EA62B1"/>
    <w:rsid w:val="00EA675D"/>
    <w:rsid w:val="00EB1803"/>
    <w:rsid w:val="00EB3E65"/>
    <w:rsid w:val="00EC2472"/>
    <w:rsid w:val="00EC5EE6"/>
    <w:rsid w:val="00ED0809"/>
    <w:rsid w:val="00ED2373"/>
    <w:rsid w:val="00ED5A1B"/>
    <w:rsid w:val="00ED7F18"/>
    <w:rsid w:val="00EE4028"/>
    <w:rsid w:val="00EE76BB"/>
    <w:rsid w:val="00EF1B7C"/>
    <w:rsid w:val="00EF279E"/>
    <w:rsid w:val="00EF36FA"/>
    <w:rsid w:val="00EF4D0F"/>
    <w:rsid w:val="00EF6E3A"/>
    <w:rsid w:val="00F04EDA"/>
    <w:rsid w:val="00F1046E"/>
    <w:rsid w:val="00F1300B"/>
    <w:rsid w:val="00F16B60"/>
    <w:rsid w:val="00F26994"/>
    <w:rsid w:val="00F26EAF"/>
    <w:rsid w:val="00F3669B"/>
    <w:rsid w:val="00F37D1F"/>
    <w:rsid w:val="00F52433"/>
    <w:rsid w:val="00F73538"/>
    <w:rsid w:val="00F823DA"/>
    <w:rsid w:val="00F9380A"/>
    <w:rsid w:val="00F95C0E"/>
    <w:rsid w:val="00FD0A76"/>
    <w:rsid w:val="00FD1397"/>
    <w:rsid w:val="00FD7429"/>
    <w:rsid w:val="00FE253E"/>
    <w:rsid w:val="00FF7B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5E2762-815C-4C2A-9B95-7F0A78CB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E4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154E4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54E42"/>
  </w:style>
  <w:style w:type="paragraph" w:customStyle="1" w:styleId="TableBlock">
    <w:name w:val="Table Block"/>
    <w:basedOn w:val="TableText"/>
    <w:link w:val="TableBlock0"/>
    <w:rsid w:val="00154E42"/>
    <w:pPr>
      <w:ind w:right="0"/>
      <w:jc w:val="both"/>
    </w:pPr>
  </w:style>
  <w:style w:type="paragraph" w:customStyle="1" w:styleId="TableHead">
    <w:name w:val="Table Head"/>
    <w:basedOn w:val="TableText"/>
    <w:rsid w:val="00154E42"/>
    <w:pPr>
      <w:ind w:right="0"/>
      <w:jc w:val="center"/>
    </w:pPr>
    <w:rPr>
      <w:b/>
      <w:bCs/>
    </w:rPr>
  </w:style>
  <w:style w:type="paragraph" w:customStyle="1" w:styleId="HeadMitparsemetBaze">
    <w:name w:val="Head MitparsemetBaze"/>
    <w:basedOn w:val="a"/>
    <w:rsid w:val="00154E4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54E4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154E42"/>
    <w:pPr>
      <w:spacing w:before="120" w:after="6000"/>
      <w:ind w:left="1418" w:firstLine="0"/>
      <w:jc w:val="right"/>
    </w:pPr>
    <w:rPr>
      <w:b/>
      <w:bCs/>
    </w:rPr>
  </w:style>
  <w:style w:type="paragraph" w:customStyle="1" w:styleId="Hesber1st">
    <w:name w:val="Hesber 1st"/>
    <w:basedOn w:val="Hesber"/>
    <w:rsid w:val="00154E42"/>
    <w:pPr>
      <w:tabs>
        <w:tab w:val="left" w:pos="680"/>
        <w:tab w:val="left" w:pos="1020"/>
      </w:tabs>
      <w:ind w:firstLine="0"/>
    </w:pPr>
  </w:style>
  <w:style w:type="paragraph" w:customStyle="1" w:styleId="HeadDivreiHesber">
    <w:name w:val="Head DivreiHesber"/>
    <w:basedOn w:val="a"/>
    <w:rsid w:val="00154E4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154E42"/>
    <w:pPr>
      <w:spacing w:before="120" w:after="120"/>
    </w:pPr>
    <w:rPr>
      <w:color w:val="FF0000"/>
      <w:w w:val="80"/>
    </w:rPr>
  </w:style>
  <w:style w:type="paragraph" w:styleId="a3">
    <w:name w:val="endnote text"/>
    <w:basedOn w:val="a"/>
    <w:link w:val="a4"/>
    <w:semiHidden/>
    <w:rsid w:val="00154E42"/>
    <w:pPr>
      <w:ind w:left="227" w:hanging="227"/>
    </w:pPr>
    <w:rPr>
      <w:sz w:val="14"/>
      <w:szCs w:val="22"/>
    </w:rPr>
  </w:style>
  <w:style w:type="character" w:customStyle="1" w:styleId="a4">
    <w:name w:val="טקסט הערת סיום תו"/>
    <w:basedOn w:val="a0"/>
    <w:link w:val="a3"/>
    <w:semiHidden/>
    <w:rsid w:val="00EA62B1"/>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154E42"/>
  </w:style>
  <w:style w:type="paragraph" w:customStyle="1" w:styleId="Hesber">
    <w:name w:val="Hesber"/>
    <w:basedOn w:val="a"/>
    <w:rsid w:val="00154E4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154E4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A62B1"/>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154E42"/>
    <w:rPr>
      <w:vertAlign w:val="superscript"/>
    </w:rPr>
  </w:style>
  <w:style w:type="paragraph" w:customStyle="1" w:styleId="HesberHeading">
    <w:name w:val="Hesber Heading"/>
    <w:basedOn w:val="Hesber"/>
    <w:rsid w:val="00154E42"/>
    <w:pPr>
      <w:tabs>
        <w:tab w:val="left" w:pos="624"/>
        <w:tab w:val="left" w:pos="1247"/>
      </w:tabs>
      <w:ind w:firstLine="0"/>
    </w:pPr>
    <w:rPr>
      <w:b/>
      <w:bCs/>
    </w:rPr>
  </w:style>
  <w:style w:type="character" w:styleId="a8">
    <w:name w:val="endnote reference"/>
    <w:basedOn w:val="a0"/>
    <w:semiHidden/>
    <w:rsid w:val="00154E42"/>
    <w:rPr>
      <w:vertAlign w:val="superscript"/>
    </w:rPr>
  </w:style>
  <w:style w:type="paragraph" w:customStyle="1" w:styleId="TableBlockOutdent">
    <w:name w:val="Table BlockOutdent"/>
    <w:basedOn w:val="TableBlock"/>
    <w:rsid w:val="00154E42"/>
    <w:pPr>
      <w:ind w:left="624" w:hanging="624"/>
    </w:pPr>
  </w:style>
  <w:style w:type="paragraph" w:styleId="a9">
    <w:name w:val="header"/>
    <w:basedOn w:val="a"/>
    <w:link w:val="aa"/>
    <w:rsid w:val="00154E42"/>
    <w:pPr>
      <w:tabs>
        <w:tab w:val="center" w:pos="4153"/>
        <w:tab w:val="right" w:pos="8306"/>
      </w:tabs>
    </w:pPr>
  </w:style>
  <w:style w:type="character" w:customStyle="1" w:styleId="aa">
    <w:name w:val="כותרת עליונה תו"/>
    <w:basedOn w:val="a0"/>
    <w:link w:val="a9"/>
    <w:rsid w:val="00EA62B1"/>
    <w:rPr>
      <w:rFonts w:ascii="Hadasa Roso SL" w:eastAsia="MS Mincho" w:hAnsi="Hadasa Roso SL" w:cs="Hadasa Roso SL"/>
      <w:color w:val="000000"/>
      <w:spacing w:val="1"/>
      <w:sz w:val="17"/>
      <w:szCs w:val="17"/>
      <w:lang w:eastAsia="ja-JP"/>
    </w:rPr>
  </w:style>
  <w:style w:type="paragraph" w:styleId="ab">
    <w:name w:val="footer"/>
    <w:basedOn w:val="a"/>
    <w:link w:val="ac"/>
    <w:rsid w:val="00154E42"/>
    <w:pPr>
      <w:tabs>
        <w:tab w:val="center" w:pos="4153"/>
        <w:tab w:val="right" w:pos="8306"/>
      </w:tabs>
    </w:pPr>
  </w:style>
  <w:style w:type="character" w:customStyle="1" w:styleId="ac">
    <w:name w:val="כותרת תחתונה תו"/>
    <w:basedOn w:val="a0"/>
    <w:link w:val="ab"/>
    <w:rsid w:val="00EA62B1"/>
    <w:rPr>
      <w:rFonts w:ascii="Hadasa Roso SL" w:eastAsia="MS Mincho" w:hAnsi="Hadasa Roso SL" w:cs="Hadasa Roso SL"/>
      <w:color w:val="000000"/>
      <w:spacing w:val="1"/>
      <w:sz w:val="17"/>
      <w:szCs w:val="17"/>
      <w:lang w:eastAsia="ja-JP"/>
    </w:rPr>
  </w:style>
  <w:style w:type="character" w:styleId="ad">
    <w:name w:val="page number"/>
    <w:basedOn w:val="a0"/>
    <w:rsid w:val="00154E42"/>
  </w:style>
  <w:style w:type="paragraph" w:customStyle="1" w:styleId="Cover1-Reshumot">
    <w:name w:val="Cover 1-Reshumot"/>
    <w:basedOn w:val="a"/>
    <w:rsid w:val="00154E4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54E42"/>
    <w:rPr>
      <w:sz w:val="36"/>
      <w:szCs w:val="52"/>
    </w:rPr>
  </w:style>
  <w:style w:type="paragraph" w:customStyle="1" w:styleId="Cover3-Haknesset">
    <w:name w:val="Cover 3-Haknesset"/>
    <w:basedOn w:val="Cover1-Reshumot"/>
    <w:rsid w:val="00154E42"/>
    <w:rPr>
      <w:b/>
      <w:bCs/>
      <w:spacing w:val="60"/>
    </w:rPr>
  </w:style>
  <w:style w:type="paragraph" w:customStyle="1" w:styleId="Cover4-Date">
    <w:name w:val="Cover 4-Date"/>
    <w:basedOn w:val="a"/>
    <w:rsid w:val="00154E4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154E42"/>
    <w:pPr>
      <w:snapToGrid w:val="0"/>
      <w:spacing w:before="0" w:line="360" w:lineRule="auto"/>
      <w:jc w:val="left"/>
    </w:pPr>
    <w:rPr>
      <w:rFonts w:ascii="Arial" w:eastAsia="Arial Unicode MS" w:hAnsi="Arial" w:cs="David"/>
      <w:snapToGrid w:val="0"/>
      <w:spacing w:val="0"/>
      <w:sz w:val="20"/>
      <w:szCs w:val="26"/>
    </w:rPr>
  </w:style>
  <w:style w:type="paragraph" w:styleId="ae">
    <w:name w:val="annotation text"/>
    <w:basedOn w:val="a"/>
    <w:link w:val="af"/>
    <w:uiPriority w:val="99"/>
    <w:semiHidden/>
    <w:unhideWhenUsed/>
    <w:rsid w:val="008F1C16"/>
    <w:pPr>
      <w:spacing w:line="240" w:lineRule="auto"/>
    </w:pPr>
    <w:rPr>
      <w:sz w:val="20"/>
      <w:szCs w:val="20"/>
    </w:rPr>
  </w:style>
  <w:style w:type="character" w:customStyle="1" w:styleId="af">
    <w:name w:val="טקסט הערה תו"/>
    <w:basedOn w:val="a0"/>
    <w:link w:val="ae"/>
    <w:uiPriority w:val="99"/>
    <w:semiHidden/>
    <w:rsid w:val="008F1C16"/>
    <w:rPr>
      <w:rFonts w:ascii="Hadasa Roso SL" w:eastAsia="MS Mincho" w:hAnsi="Hadasa Roso SL" w:cs="Hadasa Roso SL"/>
      <w:color w:val="000000"/>
      <w:spacing w:val="1"/>
      <w:sz w:val="20"/>
      <w:szCs w:val="20"/>
      <w:lang w:eastAsia="ja-JP"/>
    </w:rPr>
  </w:style>
  <w:style w:type="character" w:styleId="af0">
    <w:name w:val="annotation reference"/>
    <w:semiHidden/>
    <w:rsid w:val="008F1C16"/>
    <w:rPr>
      <w:sz w:val="16"/>
      <w:szCs w:val="16"/>
    </w:rPr>
  </w:style>
  <w:style w:type="table" w:styleId="af1">
    <w:name w:val="Table Grid"/>
    <w:basedOn w:val="a1"/>
    <w:uiPriority w:val="59"/>
    <w:rsid w:val="00242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30697"/>
    <w:rPr>
      <w:color w:val="0000FF" w:themeColor="hyperlink"/>
      <w:u w:val="single"/>
    </w:rPr>
  </w:style>
  <w:style w:type="paragraph" w:styleId="af2">
    <w:name w:val="annotation subject"/>
    <w:basedOn w:val="ae"/>
    <w:next w:val="ae"/>
    <w:link w:val="af3"/>
    <w:uiPriority w:val="99"/>
    <w:semiHidden/>
    <w:unhideWhenUsed/>
    <w:rsid w:val="003A2593"/>
    <w:rPr>
      <w:b/>
      <w:bCs/>
    </w:rPr>
  </w:style>
  <w:style w:type="character" w:customStyle="1" w:styleId="af3">
    <w:name w:val="נושא הערה תו"/>
    <w:basedOn w:val="af"/>
    <w:link w:val="af2"/>
    <w:uiPriority w:val="99"/>
    <w:semiHidden/>
    <w:rsid w:val="003A2593"/>
    <w:rPr>
      <w:rFonts w:ascii="Hadasa Roso SL" w:eastAsia="MS Mincho" w:hAnsi="Hadasa Roso SL" w:cs="Hadasa Roso SL"/>
      <w:b/>
      <w:bCs/>
      <w:color w:val="000000"/>
      <w:spacing w:val="1"/>
      <w:sz w:val="20"/>
      <w:szCs w:val="20"/>
      <w:lang w:eastAsia="ja-JP"/>
    </w:rPr>
  </w:style>
  <w:style w:type="paragraph" w:styleId="af4">
    <w:name w:val="Revision"/>
    <w:hidden/>
    <w:uiPriority w:val="99"/>
    <w:semiHidden/>
    <w:rsid w:val="003A2593"/>
    <w:pPr>
      <w:spacing w:after="0" w:line="240" w:lineRule="auto"/>
    </w:pPr>
    <w:rPr>
      <w:rFonts w:ascii="Hadasa Roso SL" w:eastAsia="MS Mincho" w:hAnsi="Hadasa Roso SL" w:cs="Hadasa Roso SL"/>
      <w:color w:val="000000"/>
      <w:spacing w:val="1"/>
      <w:sz w:val="17"/>
      <w:szCs w:val="17"/>
      <w:lang w:eastAsia="ja-JP"/>
    </w:rPr>
  </w:style>
  <w:style w:type="paragraph" w:styleId="af5">
    <w:name w:val="Balloon Text"/>
    <w:basedOn w:val="a"/>
    <w:link w:val="af6"/>
    <w:uiPriority w:val="99"/>
    <w:semiHidden/>
    <w:unhideWhenUsed/>
    <w:rsid w:val="003A2593"/>
    <w:pPr>
      <w:spacing w:before="0" w:line="240" w:lineRule="auto"/>
    </w:pPr>
    <w:rPr>
      <w:rFonts w:ascii="Tahoma" w:hAnsi="Tahoma" w:cs="Tahoma"/>
      <w:sz w:val="16"/>
      <w:szCs w:val="16"/>
    </w:rPr>
  </w:style>
  <w:style w:type="character" w:customStyle="1" w:styleId="af6">
    <w:name w:val="טקסט בלונים תו"/>
    <w:basedOn w:val="a0"/>
    <w:link w:val="af5"/>
    <w:uiPriority w:val="99"/>
    <w:semiHidden/>
    <w:rsid w:val="003A2593"/>
    <w:rPr>
      <w:rFonts w:ascii="Tahoma" w:eastAsia="MS Mincho" w:hAnsi="Tahoma" w:cs="Tahoma"/>
      <w:color w:val="000000"/>
      <w:spacing w:val="1"/>
      <w:sz w:val="16"/>
      <w:szCs w:val="16"/>
      <w:lang w:eastAsia="ja-JP"/>
    </w:rPr>
  </w:style>
  <w:style w:type="character" w:customStyle="1" w:styleId="TableBlock0">
    <w:name w:val="Table Block תו"/>
    <w:link w:val="TableBlock"/>
    <w:locked/>
    <w:rsid w:val="005C2791"/>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evo.co.il/Law_word/law17/PROP-2824.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31B4B-D644-4462-B674-B19370D83432}">
  <ds:schemaRefs>
    <ds:schemaRef ds:uri="http://schemas.microsoft.com/sharepoint/v3/contenttype/forms"/>
  </ds:schemaRefs>
</ds:datastoreItem>
</file>

<file path=customXml/itemProps2.xml><?xml version="1.0" encoding="utf-8"?>
<ds:datastoreItem xmlns:ds="http://schemas.openxmlformats.org/officeDocument/2006/customXml" ds:itemID="{AC7A22DD-E256-43DD-9839-DCA9E5A873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F25EBC9-02B3-4F29-9077-A26850FDE46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237983-FAC7-47E4-9EB3-9C1835CF9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773</Words>
  <Characters>3867</Characters>
  <Application>Microsoft Office Word</Application>
  <DocSecurity>0</DocSecurity>
  <Lines>32</Lines>
  <Paragraphs>9</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4631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שי גרשון מאיר</cp:lastModifiedBy>
  <cp:revision>2</cp:revision>
  <cp:lastPrinted>2017-11-14T12:07:00Z</cp:lastPrinted>
  <dcterms:created xsi:type="dcterms:W3CDTF">2017-11-14T12:07:00Z</dcterms:created>
  <dcterms:modified xsi:type="dcterms:W3CDTF">2017-11-14T12:07:00Z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2023211</vt:r8>
  </property>
</Properties>
</file>