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F23" w:rsidRPr="00C913B2" w:rsidRDefault="00117BB2" w:rsidP="00C913B2">
      <w:pPr>
        <w:pStyle w:val="HeadMitparsemetBaze"/>
        <w:rPr>
          <w:color w:val="auto"/>
          <w:rtl/>
        </w:rPr>
      </w:pPr>
      <w:bookmarkStart w:id="0" w:name="_GoBack"/>
      <w:bookmarkEnd w:id="0"/>
      <w:r>
        <w:rPr>
          <w:rFonts w:hint="cs"/>
          <w:color w:val="auto"/>
          <w:rtl/>
        </w:rPr>
        <w:t>נוסח לדיון בוועדת העבודה, הרווחה והבריאות ביום 15 בנובמבר 2017</w:t>
      </w:r>
    </w:p>
    <w:p w:rsidR="00637DB9" w:rsidRDefault="0069174C" w:rsidP="004F4E19">
      <w:pPr>
        <w:pStyle w:val="HeadHatzaotHok"/>
        <w:rPr>
          <w:rtl/>
        </w:rPr>
      </w:pPr>
      <w:bookmarkStart w:id="1" w:name="LGSName"/>
      <w:r>
        <w:rPr>
          <w:rFonts w:hint="cs"/>
          <w:rtl/>
        </w:rPr>
        <w:t>הצעת חוק שירות הקבע בצבא הגנה לישראל (חיילות בשירות קבע) (תיקון - מניעת פיטורים עקב טיפולי פוריות והפריה חוץ-גופית), התשע"ז-2017</w:t>
      </w:r>
      <w:bookmarkEnd w:id="1"/>
      <w:r w:rsidR="00637DB9">
        <w:rPr>
          <w:rStyle w:val="a8"/>
          <w:rFonts w:hint="cs"/>
          <w:rtl/>
        </w:rPr>
        <w:footnoteReference w:customMarkFollows="1" w:id="1"/>
        <w:t>*</w:t>
      </w:r>
    </w:p>
    <w:p w:rsidR="00117BB2" w:rsidRDefault="00117BB2" w:rsidP="004F4E19">
      <w:pPr>
        <w:pStyle w:val="HeadHatzaotHok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24"/>
        <w:gridCol w:w="624"/>
        <w:gridCol w:w="624"/>
        <w:gridCol w:w="4648"/>
      </w:tblGrid>
      <w:tr w:rsidR="00117BB2" w:rsidTr="001950EC">
        <w:trPr>
          <w:cantSplit/>
        </w:trPr>
        <w:tc>
          <w:tcPr>
            <w:tcW w:w="1870" w:type="dxa"/>
          </w:tcPr>
          <w:p w:rsidR="00117BB2" w:rsidRDefault="00117BB2" w:rsidP="009D4471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1</w:t>
            </w: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  <w:ind w:right="0"/>
              <w:jc w:val="both"/>
            </w:pPr>
            <w:r>
              <w:rPr>
                <w:rFonts w:hint="cs"/>
                <w:rtl/>
              </w:rPr>
              <w:t xml:space="preserve">1. </w:t>
            </w:r>
          </w:p>
        </w:tc>
        <w:tc>
          <w:tcPr>
            <w:tcW w:w="7144" w:type="dxa"/>
            <w:gridSpan w:val="5"/>
          </w:tcPr>
          <w:p w:rsidR="00117BB2" w:rsidRPr="00C34DE2" w:rsidRDefault="00117BB2" w:rsidP="009D4471">
            <w:pPr>
              <w:pStyle w:val="TableBlock"/>
            </w:pPr>
            <w:r>
              <w:rPr>
                <w:rFonts w:hint="cs"/>
                <w:color w:val="auto"/>
                <w:sz w:val="26"/>
                <w:rtl/>
              </w:rPr>
              <w:t>בחוק</w:t>
            </w:r>
            <w:r w:rsidRPr="00B51333">
              <w:rPr>
                <w:color w:val="auto"/>
                <w:sz w:val="26"/>
                <w:rtl/>
              </w:rPr>
              <w:t xml:space="preserve"> שירות הקבע בצבא הגנה לישראל (חיילות בשירות קבע), </w:t>
            </w:r>
            <w:proofErr w:type="spellStart"/>
            <w:r>
              <w:rPr>
                <w:rFonts w:hint="cs"/>
                <w:color w:val="auto"/>
                <w:sz w:val="26"/>
                <w:rtl/>
              </w:rPr>
              <w:t>ה</w:t>
            </w:r>
            <w:r w:rsidRPr="00B51333">
              <w:rPr>
                <w:color w:val="auto"/>
                <w:sz w:val="26"/>
                <w:rtl/>
              </w:rPr>
              <w:t>תשע"א</w:t>
            </w:r>
            <w:proofErr w:type="spellEnd"/>
            <w:r>
              <w:rPr>
                <w:rFonts w:hint="cs"/>
                <w:color w:val="auto"/>
                <w:sz w:val="26"/>
                <w:rtl/>
              </w:rPr>
              <w:t>–</w:t>
            </w:r>
            <w:r w:rsidRPr="00B51333">
              <w:rPr>
                <w:color w:val="auto"/>
                <w:sz w:val="26"/>
                <w:rtl/>
              </w:rPr>
              <w:t>2010</w:t>
            </w:r>
            <w:r w:rsidRPr="00B51333">
              <w:rPr>
                <w:rStyle w:val="a8"/>
                <w:color w:val="auto"/>
                <w:sz w:val="26"/>
                <w:rtl/>
              </w:rPr>
              <w:footnoteReference w:id="2"/>
            </w:r>
            <w:r w:rsidRPr="00B51333">
              <w:rPr>
                <w:rFonts w:hint="cs"/>
                <w:color w:val="auto"/>
                <w:sz w:val="26"/>
                <w:rtl/>
              </w:rPr>
              <w:t xml:space="preserve"> (להלן</w:t>
            </w:r>
            <w:r>
              <w:rPr>
                <w:rFonts w:hint="cs"/>
                <w:color w:val="auto"/>
                <w:sz w:val="26"/>
                <w:rtl/>
              </w:rPr>
              <w:t xml:space="preserve"> </w:t>
            </w:r>
            <w:r>
              <w:rPr>
                <w:rFonts w:hint="eastAsia"/>
                <w:color w:val="auto"/>
                <w:sz w:val="26"/>
                <w:rtl/>
              </w:rPr>
              <w:t>–</w:t>
            </w:r>
            <w:r w:rsidRPr="00B51333">
              <w:rPr>
                <w:rFonts w:hint="cs"/>
                <w:color w:val="auto"/>
                <w:sz w:val="26"/>
                <w:rtl/>
              </w:rPr>
              <w:t xml:space="preserve"> החוק העיקרי)</w:t>
            </w:r>
            <w:r w:rsidRPr="00B51333">
              <w:rPr>
                <w:color w:val="auto"/>
                <w:sz w:val="26"/>
                <w:rtl/>
              </w:rPr>
              <w:t xml:space="preserve">, בסעיף </w:t>
            </w:r>
            <w:r w:rsidRPr="00B51333">
              <w:rPr>
                <w:rFonts w:hint="cs"/>
                <w:color w:val="auto"/>
                <w:sz w:val="26"/>
                <w:rtl/>
              </w:rPr>
              <w:t>1</w:t>
            </w:r>
            <w:r>
              <w:rPr>
                <w:rFonts w:hint="cs"/>
                <w:color w:val="auto"/>
                <w:sz w:val="26"/>
                <w:rtl/>
              </w:rPr>
              <w:t>,</w:t>
            </w:r>
            <w:r w:rsidRPr="00B51333">
              <w:rPr>
                <w:rFonts w:hint="cs"/>
                <w:color w:val="auto"/>
                <w:sz w:val="26"/>
                <w:rtl/>
              </w:rPr>
              <w:t xml:space="preserve"> </w:t>
            </w:r>
            <w:r w:rsidRPr="00B51333">
              <w:rPr>
                <w:color w:val="auto"/>
                <w:sz w:val="26"/>
                <w:rtl/>
              </w:rPr>
              <w:t xml:space="preserve"> אחר</w:t>
            </w:r>
            <w:r>
              <w:rPr>
                <w:rFonts w:hint="cs"/>
                <w:color w:val="auto"/>
                <w:sz w:val="26"/>
                <w:rtl/>
              </w:rPr>
              <w:t>י</w:t>
            </w:r>
            <w:r w:rsidRPr="00B51333">
              <w:rPr>
                <w:color w:val="auto"/>
                <w:sz w:val="26"/>
                <w:rtl/>
              </w:rPr>
              <w:t xml:space="preserve"> </w:t>
            </w:r>
            <w:r w:rsidRPr="00B51333">
              <w:rPr>
                <w:rFonts w:hint="cs"/>
                <w:color w:val="auto"/>
                <w:sz w:val="26"/>
                <w:rtl/>
              </w:rPr>
              <w:t>ה</w:t>
            </w:r>
            <w:r>
              <w:rPr>
                <w:rFonts w:hint="cs"/>
                <w:color w:val="auto"/>
                <w:sz w:val="26"/>
                <w:rtl/>
              </w:rPr>
              <w:t>ה</w:t>
            </w:r>
            <w:r w:rsidRPr="00B51333">
              <w:rPr>
                <w:rFonts w:hint="cs"/>
                <w:color w:val="auto"/>
                <w:sz w:val="26"/>
                <w:rtl/>
              </w:rPr>
              <w:t>גדר</w:t>
            </w:r>
            <w:r>
              <w:rPr>
                <w:rFonts w:hint="cs"/>
                <w:color w:val="auto"/>
                <w:sz w:val="26"/>
                <w:rtl/>
              </w:rPr>
              <w:t>ה</w:t>
            </w:r>
            <w:r w:rsidRPr="00B51333">
              <w:rPr>
                <w:rFonts w:hint="cs"/>
                <w:color w:val="auto"/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"</w:t>
            </w:r>
            <w:r w:rsidRPr="00B51333">
              <w:rPr>
                <w:rFonts w:hint="cs"/>
                <w:color w:val="auto"/>
                <w:sz w:val="26"/>
                <w:rtl/>
              </w:rPr>
              <w:t>"</w:t>
            </w:r>
            <w:r>
              <w:rPr>
                <w:rFonts w:hint="cs"/>
                <w:color w:val="auto"/>
                <w:sz w:val="26"/>
                <w:rtl/>
              </w:rPr>
              <w:t>חופשת לידה</w:t>
            </w:r>
            <w:r w:rsidRPr="00B51333">
              <w:rPr>
                <w:rFonts w:hint="cs"/>
                <w:color w:val="auto"/>
                <w:sz w:val="26"/>
                <w:rtl/>
              </w:rPr>
              <w:t>"</w:t>
            </w:r>
            <w:r>
              <w:rPr>
                <w:rFonts w:hint="cs"/>
                <w:color w:val="auto"/>
                <w:sz w:val="26"/>
                <w:rtl/>
              </w:rPr>
              <w:t>, "חופשה מיוחדת בלא תשלום"",</w:t>
            </w:r>
            <w:r w:rsidRPr="00B51333">
              <w:rPr>
                <w:color w:val="auto"/>
                <w:sz w:val="26"/>
                <w:rtl/>
              </w:rPr>
              <w:t xml:space="preserve"> יבוא:</w:t>
            </w:r>
          </w:p>
        </w:tc>
      </w:tr>
      <w:tr w:rsidR="00117BB2" w:rsidTr="001950EC">
        <w:trPr>
          <w:cantSplit/>
        </w:trPr>
        <w:tc>
          <w:tcPr>
            <w:tcW w:w="1870" w:type="dxa"/>
          </w:tcPr>
          <w:p w:rsidR="00117BB2" w:rsidRDefault="00117BB2" w:rsidP="009D4471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117BB2" w:rsidRPr="00056908" w:rsidRDefault="00117BB2" w:rsidP="009D4471">
            <w:pPr>
              <w:pStyle w:val="TableText"/>
              <w:ind w:right="0"/>
              <w:jc w:val="both"/>
            </w:pPr>
          </w:p>
        </w:tc>
        <w:tc>
          <w:tcPr>
            <w:tcW w:w="7144" w:type="dxa"/>
            <w:gridSpan w:val="5"/>
          </w:tcPr>
          <w:p w:rsidR="00117BB2" w:rsidRPr="00D465CC" w:rsidRDefault="00117BB2" w:rsidP="009D4471">
            <w:pPr>
              <w:pStyle w:val="TableBlockOutdent"/>
              <w:rPr>
                <w:rtl/>
              </w:rPr>
            </w:pPr>
            <w:r w:rsidRPr="00D465CC">
              <w:rPr>
                <w:rFonts w:hint="cs"/>
                <w:rtl/>
              </w:rPr>
              <w:t xml:space="preserve">""חייל בשירות קבע" </w:t>
            </w:r>
            <w:r w:rsidRPr="00D465CC">
              <w:rPr>
                <w:rtl/>
              </w:rPr>
              <w:t>–</w:t>
            </w:r>
            <w:r w:rsidRPr="00D465CC">
              <w:rPr>
                <w:rFonts w:hint="cs"/>
                <w:rtl/>
              </w:rPr>
              <w:t xml:space="preserve"> חייל המשרת שירות צבאי לפי התחייבות לשירות קבע;".</w:t>
            </w:r>
          </w:p>
        </w:tc>
      </w:tr>
      <w:tr w:rsidR="00117BB2" w:rsidTr="001950EC">
        <w:trPr>
          <w:cantSplit/>
        </w:trPr>
        <w:tc>
          <w:tcPr>
            <w:tcW w:w="1870" w:type="dxa"/>
          </w:tcPr>
          <w:p w:rsidR="00117BB2" w:rsidRDefault="00117BB2" w:rsidP="009D4471">
            <w:pPr>
              <w:pStyle w:val="TableSideHeading"/>
              <w:keepLines w:val="0"/>
            </w:pPr>
            <w:r>
              <w:rPr>
                <w:rFonts w:hint="cs"/>
                <w:color w:val="auto"/>
                <w:sz w:val="26"/>
                <w:rtl/>
              </w:rPr>
              <w:t>תיקון סעיף 2</w:t>
            </w:r>
          </w:p>
        </w:tc>
        <w:tc>
          <w:tcPr>
            <w:tcW w:w="624" w:type="dxa"/>
          </w:tcPr>
          <w:p w:rsidR="00117BB2" w:rsidRPr="00056908" w:rsidRDefault="00117BB2" w:rsidP="009D4471">
            <w:pPr>
              <w:pStyle w:val="TableText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4" w:type="dxa"/>
            <w:gridSpan w:val="5"/>
          </w:tcPr>
          <w:p w:rsidR="00117BB2" w:rsidRPr="00C34DE2" w:rsidRDefault="00117BB2" w:rsidP="009D4471">
            <w:pPr>
              <w:pStyle w:val="TableBlock"/>
            </w:pPr>
            <w:r w:rsidRPr="00B51333">
              <w:rPr>
                <w:color w:val="auto"/>
                <w:sz w:val="26"/>
                <w:rtl/>
              </w:rPr>
              <w:t xml:space="preserve">בסעיף 2 </w:t>
            </w:r>
            <w:r>
              <w:rPr>
                <w:rFonts w:hint="cs"/>
                <w:color w:val="auto"/>
                <w:sz w:val="26"/>
                <w:rtl/>
              </w:rPr>
              <w:t>ל</w:t>
            </w:r>
            <w:r w:rsidRPr="00B51333">
              <w:rPr>
                <w:rFonts w:hint="cs"/>
                <w:color w:val="auto"/>
                <w:sz w:val="26"/>
                <w:rtl/>
              </w:rPr>
              <w:t>חוק העיקרי</w:t>
            </w:r>
            <w:r>
              <w:rPr>
                <w:rFonts w:hint="cs"/>
                <w:color w:val="auto"/>
                <w:sz w:val="26"/>
                <w:rtl/>
              </w:rPr>
              <w:t xml:space="preserve"> </w:t>
            </w:r>
            <w:r>
              <w:rPr>
                <w:rFonts w:hint="eastAsia"/>
                <w:color w:val="auto"/>
                <w:sz w:val="26"/>
                <w:rtl/>
              </w:rPr>
              <w:t>–</w:t>
            </w:r>
            <w:r w:rsidRPr="00B51333">
              <w:rPr>
                <w:color w:val="auto"/>
                <w:sz w:val="26"/>
                <w:rtl/>
              </w:rPr>
              <w:t xml:space="preserve"> </w:t>
            </w:r>
          </w:p>
        </w:tc>
      </w:tr>
      <w:tr w:rsidR="00117BB2" w:rsidTr="001950EC">
        <w:trPr>
          <w:cantSplit/>
        </w:trPr>
        <w:tc>
          <w:tcPr>
            <w:tcW w:w="1870" w:type="dxa"/>
          </w:tcPr>
          <w:p w:rsidR="00117BB2" w:rsidRDefault="00117BB2" w:rsidP="009D4471">
            <w:pPr>
              <w:pStyle w:val="TableSideHeading"/>
              <w:keepLines w:val="0"/>
              <w:rPr>
                <w:color w:val="auto"/>
                <w:sz w:val="26"/>
                <w:rtl/>
              </w:rPr>
            </w:pP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</w:tcPr>
          <w:p w:rsidR="00117BB2" w:rsidRDefault="00117BB2" w:rsidP="009D4471">
            <w:pPr>
              <w:pStyle w:val="TableBlock"/>
              <w:rPr>
                <w:color w:val="auto"/>
                <w:sz w:val="26"/>
                <w:rtl/>
              </w:rPr>
            </w:pPr>
            <w:r>
              <w:rPr>
                <w:rFonts w:hint="cs"/>
                <w:color w:val="auto"/>
                <w:sz w:val="26"/>
                <w:rtl/>
              </w:rPr>
              <w:t>(1)</w:t>
            </w:r>
            <w:r>
              <w:rPr>
                <w:color w:val="auto"/>
                <w:sz w:val="26"/>
                <w:rtl/>
              </w:rPr>
              <w:tab/>
            </w:r>
            <w:r>
              <w:rPr>
                <w:rFonts w:hint="cs"/>
                <w:color w:val="auto"/>
                <w:sz w:val="26"/>
                <w:rtl/>
              </w:rPr>
              <w:t>בכותרת השוליים, במקום "חיילת" יבוא "חיילים" ואחרי "קבע" יבוא "בקשר עם היריון או לידה";</w:t>
            </w:r>
          </w:p>
        </w:tc>
      </w:tr>
      <w:tr w:rsidR="00117BB2" w:rsidTr="001950EC">
        <w:trPr>
          <w:cantSplit/>
        </w:trPr>
        <w:tc>
          <w:tcPr>
            <w:tcW w:w="1870" w:type="dxa"/>
          </w:tcPr>
          <w:p w:rsidR="00117BB2" w:rsidRDefault="00117BB2" w:rsidP="009D4471">
            <w:pPr>
              <w:pStyle w:val="TableSideHeading"/>
              <w:keepLines w:val="0"/>
              <w:rPr>
                <w:color w:val="auto"/>
                <w:sz w:val="26"/>
                <w:rtl/>
              </w:rPr>
            </w:pP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</w:tcPr>
          <w:p w:rsidR="00117BB2" w:rsidRPr="00B51333" w:rsidRDefault="00117BB2" w:rsidP="009D4471">
            <w:pPr>
              <w:pStyle w:val="TableBlock"/>
              <w:rPr>
                <w:color w:val="auto"/>
                <w:sz w:val="26"/>
                <w:rtl/>
              </w:rPr>
            </w:pPr>
            <w:r>
              <w:rPr>
                <w:rFonts w:hint="cs"/>
                <w:color w:val="auto"/>
                <w:sz w:val="26"/>
                <w:rtl/>
              </w:rPr>
              <w:t>(2)</w:t>
            </w:r>
            <w:r>
              <w:rPr>
                <w:color w:val="auto"/>
                <w:sz w:val="26"/>
                <w:rtl/>
              </w:rPr>
              <w:tab/>
            </w:r>
            <w:r>
              <w:rPr>
                <w:rFonts w:hint="cs"/>
                <w:color w:val="auto"/>
                <w:sz w:val="26"/>
                <w:rtl/>
              </w:rPr>
              <w:t>בסעיף קטן (א), אחרי "בהריון" יבוא "או חיילת או חייל בשירות קבע שהם";</w:t>
            </w:r>
          </w:p>
        </w:tc>
      </w:tr>
      <w:tr w:rsidR="00117BB2" w:rsidTr="001950EC">
        <w:trPr>
          <w:cantSplit/>
        </w:trPr>
        <w:tc>
          <w:tcPr>
            <w:tcW w:w="1870" w:type="dxa"/>
          </w:tcPr>
          <w:p w:rsidR="00117BB2" w:rsidRDefault="00117BB2" w:rsidP="009D4471">
            <w:pPr>
              <w:pStyle w:val="TableSideHeading"/>
              <w:keepLines w:val="0"/>
              <w:rPr>
                <w:color w:val="auto"/>
                <w:sz w:val="26"/>
                <w:rtl/>
              </w:rPr>
            </w:pP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</w:tcPr>
          <w:p w:rsidR="00117BB2" w:rsidRDefault="00117BB2" w:rsidP="009D4471">
            <w:pPr>
              <w:pStyle w:val="TableBlock"/>
              <w:rPr>
                <w:color w:val="auto"/>
                <w:sz w:val="26"/>
                <w:rtl/>
              </w:rPr>
            </w:pPr>
            <w:r>
              <w:rPr>
                <w:rFonts w:hint="cs"/>
                <w:color w:val="auto"/>
                <w:sz w:val="26"/>
                <w:rtl/>
              </w:rPr>
              <w:t>(3)</w:t>
            </w:r>
            <w:r>
              <w:rPr>
                <w:color w:val="auto"/>
                <w:sz w:val="26"/>
                <w:rtl/>
              </w:rPr>
              <w:tab/>
            </w:r>
            <w:r>
              <w:rPr>
                <w:rFonts w:hint="cs"/>
                <w:color w:val="auto"/>
                <w:sz w:val="26"/>
                <w:rtl/>
              </w:rPr>
              <w:t>בסעיף קטן (ב), אחרי "החיילת" יבוא "או החייל";</w:t>
            </w:r>
          </w:p>
        </w:tc>
      </w:tr>
      <w:tr w:rsidR="00117BB2" w:rsidTr="001950EC">
        <w:trPr>
          <w:cantSplit/>
        </w:trPr>
        <w:tc>
          <w:tcPr>
            <w:tcW w:w="1870" w:type="dxa"/>
          </w:tcPr>
          <w:p w:rsidR="00117BB2" w:rsidRDefault="00117BB2" w:rsidP="009D4471">
            <w:pPr>
              <w:pStyle w:val="TableSideHeading"/>
              <w:keepLines w:val="0"/>
              <w:rPr>
                <w:color w:val="auto"/>
                <w:sz w:val="26"/>
                <w:rtl/>
              </w:rPr>
            </w:pP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</w:tcPr>
          <w:p w:rsidR="00117BB2" w:rsidRDefault="00117BB2" w:rsidP="009D4471">
            <w:pPr>
              <w:pStyle w:val="TableBlock"/>
              <w:rPr>
                <w:color w:val="auto"/>
                <w:sz w:val="26"/>
                <w:rtl/>
              </w:rPr>
            </w:pPr>
            <w:r>
              <w:rPr>
                <w:rFonts w:hint="cs"/>
                <w:color w:val="auto"/>
                <w:sz w:val="26"/>
                <w:rtl/>
              </w:rPr>
              <w:t>(4)</w:t>
            </w:r>
            <w:r>
              <w:rPr>
                <w:color w:val="auto"/>
                <w:sz w:val="26"/>
                <w:rtl/>
              </w:rPr>
              <w:tab/>
            </w:r>
            <w:r>
              <w:rPr>
                <w:rFonts w:hint="cs"/>
                <w:color w:val="auto"/>
                <w:sz w:val="26"/>
                <w:rtl/>
              </w:rPr>
              <w:t>בסעיף קטן (ג), אחרי "ולחיילת" יבוא "או לחייל".</w:t>
            </w:r>
          </w:p>
        </w:tc>
      </w:tr>
      <w:tr w:rsidR="00117BB2" w:rsidTr="001950EC">
        <w:trPr>
          <w:cantSplit/>
        </w:trPr>
        <w:tc>
          <w:tcPr>
            <w:tcW w:w="1870" w:type="dxa"/>
          </w:tcPr>
          <w:p w:rsidR="00117BB2" w:rsidRDefault="00117BB2" w:rsidP="009D4471">
            <w:pPr>
              <w:pStyle w:val="TableSideHeading"/>
              <w:keepLines w:val="0"/>
              <w:rPr>
                <w:color w:val="auto"/>
                <w:sz w:val="26"/>
                <w:rtl/>
              </w:rPr>
            </w:pPr>
            <w:r>
              <w:rPr>
                <w:rFonts w:hint="cs"/>
                <w:color w:val="auto"/>
                <w:sz w:val="26"/>
                <w:rtl/>
              </w:rPr>
              <w:t>הוספת סעיף 2א</w:t>
            </w: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4" w:type="dxa"/>
            <w:gridSpan w:val="5"/>
          </w:tcPr>
          <w:p w:rsidR="00117BB2" w:rsidRDefault="00117BB2" w:rsidP="009D4471">
            <w:pPr>
              <w:pStyle w:val="TableBlock"/>
              <w:rPr>
                <w:color w:val="auto"/>
                <w:sz w:val="26"/>
                <w:rtl/>
              </w:rPr>
            </w:pPr>
            <w:r>
              <w:rPr>
                <w:rFonts w:hint="cs"/>
                <w:color w:val="auto"/>
                <w:sz w:val="26"/>
                <w:rtl/>
              </w:rPr>
              <w:t>אחרי סעיף 2 לחוק העיקרי יבוא:</w:t>
            </w:r>
          </w:p>
        </w:tc>
      </w:tr>
      <w:tr w:rsidR="00117BB2" w:rsidTr="001950EC">
        <w:trPr>
          <w:cantSplit/>
          <w:trHeight w:val="60"/>
        </w:trPr>
        <w:tc>
          <w:tcPr>
            <w:tcW w:w="1870" w:type="dxa"/>
          </w:tcPr>
          <w:p w:rsidR="00117BB2" w:rsidRDefault="00117BB2" w:rsidP="009D4471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117BB2" w:rsidRDefault="00117BB2" w:rsidP="009D4471">
            <w:pPr>
              <w:pStyle w:val="TableInnerSideHeading"/>
            </w:pPr>
            <w:r>
              <w:rPr>
                <w:rFonts w:hint="cs"/>
                <w:rtl/>
              </w:rPr>
              <w:t>"הגבלת שחרור מהתחייבות של חיילים בשירות קבע בקשר עם טיפולי פוריות או הפריה חוץ-גופית</w:t>
            </w: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</w:pPr>
            <w:r>
              <w:rPr>
                <w:rFonts w:hint="cs"/>
                <w:rtl/>
              </w:rPr>
              <w:t>2א.</w:t>
            </w:r>
          </w:p>
        </w:tc>
        <w:tc>
          <w:tcPr>
            <w:tcW w:w="4648" w:type="dxa"/>
          </w:tcPr>
          <w:p w:rsidR="00117BB2" w:rsidRDefault="00117BB2" w:rsidP="009D4471">
            <w:pPr>
              <w:pStyle w:val="TableBlock"/>
            </w:pPr>
            <w:r>
              <w:rPr>
                <w:rFonts w:hint="cs"/>
                <w:color w:val="auto"/>
                <w:rtl/>
              </w:rPr>
              <w:t>(א)</w:t>
            </w:r>
            <w:r>
              <w:rPr>
                <w:color w:val="auto"/>
                <w:rtl/>
              </w:rPr>
              <w:tab/>
            </w:r>
            <w:r w:rsidRPr="00B51333">
              <w:rPr>
                <w:color w:val="auto"/>
                <w:rtl/>
              </w:rPr>
              <w:t>גורם מוסמך לא ישחרר מהתחייבות חיילת בשירות קבע</w:t>
            </w:r>
            <w:r w:rsidRPr="00B51333">
              <w:rPr>
                <w:rFonts w:hint="cs"/>
                <w:color w:val="auto"/>
                <w:rtl/>
              </w:rPr>
              <w:t xml:space="preserve">, </w:t>
            </w:r>
            <w:r w:rsidRPr="00B51333">
              <w:rPr>
                <w:color w:val="auto"/>
                <w:rtl/>
              </w:rPr>
              <w:t xml:space="preserve"> העוברת טיפולי הפריה חוץ</w:t>
            </w:r>
            <w:r>
              <w:rPr>
                <w:rFonts w:hint="cs"/>
                <w:color w:val="auto"/>
                <w:rtl/>
              </w:rPr>
              <w:t>-</w:t>
            </w:r>
            <w:r w:rsidRPr="00B51333">
              <w:rPr>
                <w:color w:val="auto"/>
                <w:rtl/>
              </w:rPr>
              <w:t>גופית</w:t>
            </w:r>
            <w:r w:rsidRPr="00B51333">
              <w:rPr>
                <w:rFonts w:hint="cs"/>
                <w:color w:val="auto"/>
                <w:rtl/>
              </w:rPr>
              <w:t>,</w:t>
            </w:r>
            <w:r w:rsidRPr="00B51333">
              <w:rPr>
                <w:color w:val="auto"/>
                <w:rtl/>
              </w:rPr>
              <w:t xml:space="preserve"> או חייל או חיילת בשירות קבע, העוברים טיפולי פוריות</w:t>
            </w:r>
            <w:r w:rsidRPr="00B51333">
              <w:rPr>
                <w:rFonts w:hint="cs"/>
                <w:color w:val="auto"/>
                <w:rtl/>
              </w:rPr>
              <w:t>,</w:t>
            </w:r>
            <w:r w:rsidRPr="00B51333">
              <w:rPr>
                <w:color w:val="auto"/>
                <w:rtl/>
              </w:rPr>
              <w:t xml:space="preserve"> בימי ה</w:t>
            </w:r>
            <w:r w:rsidRPr="00B51333">
              <w:rPr>
                <w:rFonts w:hint="cs"/>
                <w:color w:val="auto"/>
                <w:rtl/>
              </w:rPr>
              <w:t>י</w:t>
            </w:r>
            <w:r w:rsidRPr="00B51333">
              <w:rPr>
                <w:color w:val="auto"/>
                <w:rtl/>
              </w:rPr>
              <w:t>עדרם משירות</w:t>
            </w:r>
            <w:r w:rsidRPr="00B51333">
              <w:rPr>
                <w:rFonts w:hint="cs"/>
                <w:color w:val="auto"/>
                <w:rtl/>
              </w:rPr>
              <w:t xml:space="preserve"> בתקופה שבה הם עוברים טיפולים כאמור, </w:t>
            </w:r>
            <w:r w:rsidRPr="00B51333">
              <w:rPr>
                <w:color w:val="auto"/>
                <w:rtl/>
              </w:rPr>
              <w:t xml:space="preserve">או במשך תקופה של 150 ימים לאחר תום ימי ההיעדרות כאמור, אלא בהיתר מאת </w:t>
            </w:r>
            <w:r w:rsidRPr="00B51333">
              <w:rPr>
                <w:rFonts w:hint="cs"/>
                <w:color w:val="auto"/>
                <w:rtl/>
              </w:rPr>
              <w:t>ה</w:t>
            </w:r>
            <w:r w:rsidRPr="00B51333">
              <w:rPr>
                <w:color w:val="auto"/>
                <w:rtl/>
              </w:rPr>
              <w:t>שר</w:t>
            </w:r>
            <w:r>
              <w:rPr>
                <w:rFonts w:hint="cs"/>
                <w:color w:val="auto"/>
                <w:rtl/>
              </w:rPr>
              <w:t xml:space="preserve">; לעניין סעיף זה, "היעדרות" </w:t>
            </w:r>
            <w:r>
              <w:rPr>
                <w:rFonts w:hint="eastAsia"/>
                <w:color w:val="auto"/>
                <w:rtl/>
              </w:rPr>
              <w:t>–</w:t>
            </w:r>
            <w:r>
              <w:rPr>
                <w:rFonts w:hint="cs"/>
                <w:color w:val="auto"/>
                <w:rtl/>
              </w:rPr>
              <w:t xml:space="preserve"> היעדרות שהרופא המטפל אישר בכתב כי היא מתחייבת מהטיפול ושהחייל או החיילת בשירות קבע מסרו עליה הודעה מראש למפקדם.</w:t>
            </w:r>
            <w:r w:rsidRPr="00B51333">
              <w:rPr>
                <w:color w:val="auto"/>
                <w:rtl/>
              </w:rPr>
              <w:t xml:space="preserve"> </w:t>
            </w:r>
          </w:p>
        </w:tc>
      </w:tr>
      <w:tr w:rsidR="00117BB2" w:rsidTr="001950EC">
        <w:trPr>
          <w:cantSplit/>
          <w:trHeight w:val="60"/>
        </w:trPr>
        <w:tc>
          <w:tcPr>
            <w:tcW w:w="1870" w:type="dxa"/>
          </w:tcPr>
          <w:p w:rsidR="00117BB2" w:rsidRDefault="00117BB2" w:rsidP="009D4471">
            <w:pPr>
              <w:pStyle w:val="TableSideHeading"/>
            </w:pP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</w:pP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</w:pP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</w:pP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</w:pP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</w:pPr>
          </w:p>
        </w:tc>
        <w:tc>
          <w:tcPr>
            <w:tcW w:w="4648" w:type="dxa"/>
          </w:tcPr>
          <w:p w:rsidR="00117BB2" w:rsidRDefault="00117BB2" w:rsidP="009D4471">
            <w:pPr>
              <w:pStyle w:val="TableBlock"/>
            </w:pPr>
            <w:r>
              <w:rPr>
                <w:rFonts w:hint="cs"/>
                <w:rtl/>
              </w:rPr>
              <w:t>(ב)</w:t>
            </w:r>
            <w:r w:rsidRPr="006A7C2F">
              <w:rPr>
                <w:rtl/>
              </w:rPr>
              <w:t xml:space="preserve"> </w:t>
            </w:r>
            <w:r>
              <w:rPr>
                <w:rtl/>
              </w:rPr>
              <w:tab/>
            </w:r>
            <w:r w:rsidRPr="006A7C2F">
              <w:rPr>
                <w:rtl/>
              </w:rPr>
              <w:t>הורא</w:t>
            </w:r>
            <w:r w:rsidRPr="006A7C2F">
              <w:rPr>
                <w:rFonts w:hint="cs"/>
                <w:rtl/>
              </w:rPr>
              <w:t>ו</w:t>
            </w:r>
            <w:r w:rsidRPr="006A7C2F">
              <w:rPr>
                <w:rtl/>
              </w:rPr>
              <w:t>ת</w:t>
            </w:r>
            <w:r>
              <w:rPr>
                <w:rFonts w:hint="cs"/>
                <w:rtl/>
              </w:rPr>
              <w:t xml:space="preserve"> סעיף קטן (א)</w:t>
            </w:r>
            <w:r w:rsidRPr="006A7C2F">
              <w:rPr>
                <w:rtl/>
              </w:rPr>
              <w:t xml:space="preserve"> לא </w:t>
            </w:r>
            <w:r w:rsidRPr="006A7C2F">
              <w:rPr>
                <w:rFonts w:hint="cs"/>
                <w:rtl/>
              </w:rPr>
              <w:t>יחולו</w:t>
            </w:r>
            <w:r w:rsidRPr="006A7C2F">
              <w:rPr>
                <w:rtl/>
              </w:rPr>
              <w:t xml:space="preserve"> </w:t>
            </w:r>
            <w:r w:rsidRPr="00164444">
              <w:rPr>
                <w:rFonts w:hint="cs"/>
                <w:rtl/>
              </w:rPr>
              <w:t>לגבי</w:t>
            </w:r>
            <w:r w:rsidRPr="006A7C2F">
              <w:rPr>
                <w:rtl/>
              </w:rPr>
              <w:t xml:space="preserve"> חייל או חיילת בשירות קבע, שחלפו שנתיים מהיום הראשון להיעדרותם מהשירות</w:t>
            </w:r>
            <w:r>
              <w:rPr>
                <w:rFonts w:hint="cs"/>
                <w:rtl/>
              </w:rPr>
              <w:t xml:space="preserve"> לפי סעיף זה</w:t>
            </w:r>
            <w:r w:rsidRPr="006A7C2F">
              <w:rPr>
                <w:rtl/>
              </w:rPr>
              <w:t>.</w:t>
            </w:r>
          </w:p>
        </w:tc>
      </w:tr>
      <w:tr w:rsidR="00117BB2" w:rsidTr="001950EC">
        <w:trPr>
          <w:cantSplit/>
          <w:trHeight w:val="60"/>
        </w:trPr>
        <w:tc>
          <w:tcPr>
            <w:tcW w:w="1870" w:type="dxa"/>
          </w:tcPr>
          <w:p w:rsidR="00117BB2" w:rsidRDefault="00117BB2" w:rsidP="009D4471">
            <w:pPr>
              <w:pStyle w:val="TableSideHeading"/>
            </w:pP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</w:pP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</w:pP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</w:pP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</w:pP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</w:pPr>
          </w:p>
        </w:tc>
        <w:tc>
          <w:tcPr>
            <w:tcW w:w="4648" w:type="dxa"/>
          </w:tcPr>
          <w:p w:rsidR="00117BB2" w:rsidRDefault="00117BB2" w:rsidP="009D4471">
            <w:pPr>
              <w:pStyle w:val="TableBlock"/>
              <w:rPr>
                <w:rtl/>
              </w:rPr>
            </w:pPr>
            <w:r w:rsidRPr="00355257">
              <w:rPr>
                <w:rFonts w:hint="cs"/>
                <w:rtl/>
              </w:rPr>
              <w:t>(</w:t>
            </w:r>
            <w:r>
              <w:rPr>
                <w:rFonts w:hint="cs"/>
                <w:rtl/>
              </w:rPr>
              <w:t>ג</w:t>
            </w:r>
            <w:r w:rsidRPr="00355257">
              <w:rPr>
                <w:rFonts w:hint="cs"/>
                <w:rtl/>
              </w:rPr>
              <w:t>)</w:t>
            </w:r>
            <w:r w:rsidRPr="00355257">
              <w:rPr>
                <w:rtl/>
              </w:rPr>
              <w:tab/>
              <w:t>הורא</w:t>
            </w:r>
            <w:r>
              <w:rPr>
                <w:rFonts w:hint="cs"/>
                <w:rtl/>
              </w:rPr>
              <w:t>ו</w:t>
            </w:r>
            <w:r w:rsidRPr="00355257">
              <w:rPr>
                <w:rtl/>
              </w:rPr>
              <w:t>ת סעיף קטן</w:t>
            </w:r>
            <w:r>
              <w:rPr>
                <w:rFonts w:hint="cs"/>
                <w:rtl/>
              </w:rPr>
              <w:t xml:space="preserve"> (א)</w:t>
            </w:r>
            <w:r w:rsidRPr="00355257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י</w:t>
            </w:r>
            <w:r w:rsidRPr="00355257">
              <w:rPr>
                <w:rtl/>
              </w:rPr>
              <w:t>חול</w:t>
            </w:r>
            <w:r>
              <w:rPr>
                <w:rFonts w:hint="cs"/>
                <w:rtl/>
              </w:rPr>
              <w:t>ו</w:t>
            </w:r>
            <w:r w:rsidRPr="00355257">
              <w:rPr>
                <w:rtl/>
              </w:rPr>
              <w:t xml:space="preserve"> לגבי חייל או חיילת בשירות קבע, העוברים טיפולים כאמור  לקראת שתי לידות לכל היותר, ואם עברו טיפולים כאמור לקראת הולדת ילדים מבני זוג קודמים – גם לקראת שתי לידות עם בן הזוג הנוכחי.</w:t>
            </w:r>
          </w:p>
        </w:tc>
      </w:tr>
      <w:tr w:rsidR="00117BB2" w:rsidTr="001950EC">
        <w:trPr>
          <w:cantSplit/>
          <w:trHeight w:val="60"/>
        </w:trPr>
        <w:tc>
          <w:tcPr>
            <w:tcW w:w="1870" w:type="dxa"/>
          </w:tcPr>
          <w:p w:rsidR="00117BB2" w:rsidRDefault="00117BB2" w:rsidP="009D447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</w:pP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</w:pP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</w:pP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</w:pP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</w:pPr>
          </w:p>
        </w:tc>
        <w:tc>
          <w:tcPr>
            <w:tcW w:w="4648" w:type="dxa"/>
          </w:tcPr>
          <w:p w:rsidR="00117BB2" w:rsidRPr="00080255" w:rsidRDefault="00117BB2" w:rsidP="009D4471">
            <w:pPr>
              <w:pStyle w:val="TableBlock"/>
              <w:rPr>
                <w:rtl/>
              </w:rPr>
            </w:pPr>
            <w:r w:rsidRPr="00080255">
              <w:rPr>
                <w:rtl/>
              </w:rPr>
              <w:t>(</w:t>
            </w:r>
            <w:r>
              <w:rPr>
                <w:rFonts w:hint="cs"/>
                <w:rtl/>
              </w:rPr>
              <w:t>ד</w:t>
            </w:r>
            <w:r w:rsidRPr="00080255">
              <w:rPr>
                <w:rtl/>
              </w:rPr>
              <w:t>)</w:t>
            </w:r>
            <w:r w:rsidRPr="00080255">
              <w:rPr>
                <w:color w:val="auto"/>
                <w:rtl/>
              </w:rPr>
              <w:tab/>
              <w:t xml:space="preserve">הוראות </w:t>
            </w:r>
            <w:r w:rsidRPr="00080255">
              <w:rPr>
                <w:rFonts w:hint="eastAsia"/>
                <w:color w:val="auto"/>
                <w:rtl/>
              </w:rPr>
              <w:t>סעיף</w:t>
            </w:r>
            <w:r w:rsidRPr="00080255">
              <w:rPr>
                <w:color w:val="auto"/>
                <w:rtl/>
              </w:rPr>
              <w:t xml:space="preserve"> </w:t>
            </w:r>
            <w:r w:rsidRPr="00080255">
              <w:rPr>
                <w:rFonts w:hint="eastAsia"/>
                <w:color w:val="auto"/>
                <w:rtl/>
              </w:rPr>
              <w:t>קטן</w:t>
            </w:r>
            <w:r w:rsidRPr="00080255">
              <w:rPr>
                <w:color w:val="auto"/>
                <w:rtl/>
              </w:rPr>
              <w:t xml:space="preserve"> (א) יחולו גם על חייל או חיילת בשירות קבע, שלא נעדרו מהשירות</w:t>
            </w:r>
            <w:r w:rsidRPr="00164444">
              <w:rPr>
                <w:rFonts w:hint="cs"/>
                <w:color w:val="auto"/>
                <w:rtl/>
              </w:rPr>
              <w:t>,</w:t>
            </w:r>
            <w:r w:rsidRPr="00080255">
              <w:rPr>
                <w:color w:val="auto"/>
                <w:rtl/>
              </w:rPr>
              <w:t xml:space="preserve"> בתקופת הטיפולים כאמור באות</w:t>
            </w:r>
            <w:r w:rsidRPr="00080255">
              <w:rPr>
                <w:rFonts w:hint="eastAsia"/>
                <w:color w:val="auto"/>
                <w:rtl/>
              </w:rPr>
              <w:t>ו</w:t>
            </w:r>
            <w:r>
              <w:rPr>
                <w:rFonts w:hint="cs"/>
                <w:color w:val="auto"/>
                <w:rtl/>
              </w:rPr>
              <w:t xml:space="preserve"> סעיף קטן</w:t>
            </w:r>
            <w:r w:rsidRPr="00080255">
              <w:rPr>
                <w:color w:val="auto"/>
                <w:rtl/>
              </w:rPr>
              <w:t>, או במשך תקופה של 150 ימים לאחר מועד תחילת טיפולי הפוריות או טיפולי ההפריה החוץ-גופית, לפי המאוחר, כפי שאישר הרופא המטפל בכתב, ובלבד שהם הודיעו למפקדם על הטיפולים לא יאוחר מ</w:t>
            </w:r>
            <w:r w:rsidRPr="00080255">
              <w:rPr>
                <w:rFonts w:hint="eastAsia"/>
                <w:color w:val="auto"/>
                <w:rtl/>
              </w:rPr>
              <w:t>שבעה</w:t>
            </w:r>
            <w:r w:rsidRPr="00080255">
              <w:rPr>
                <w:color w:val="auto"/>
                <w:rtl/>
              </w:rPr>
              <w:t xml:space="preserve"> </w:t>
            </w:r>
            <w:r w:rsidRPr="00080255">
              <w:rPr>
                <w:rFonts w:hint="eastAsia"/>
                <w:color w:val="auto"/>
                <w:rtl/>
              </w:rPr>
              <w:t>ימים</w:t>
            </w:r>
            <w:r w:rsidRPr="00080255">
              <w:rPr>
                <w:color w:val="auto"/>
                <w:rtl/>
              </w:rPr>
              <w:t xml:space="preserve"> ממועד מתן </w:t>
            </w:r>
            <w:r w:rsidRPr="00347736">
              <w:rPr>
                <w:color w:val="auto"/>
                <w:rtl/>
              </w:rPr>
              <w:t xml:space="preserve">ההודעה </w:t>
            </w:r>
            <w:r w:rsidRPr="00347736">
              <w:rPr>
                <w:rFonts w:hint="eastAsia"/>
                <w:color w:val="auto"/>
                <w:rtl/>
              </w:rPr>
              <w:t>ע</w:t>
            </w:r>
            <w:r w:rsidRPr="00347736">
              <w:rPr>
                <w:color w:val="auto"/>
                <w:rtl/>
              </w:rPr>
              <w:t>ל שחרור מהתחייבות</w:t>
            </w:r>
            <w:r w:rsidRPr="00080255">
              <w:rPr>
                <w:color w:val="auto"/>
                <w:rtl/>
              </w:rPr>
              <w:t>, ומסרו למפקדם אישור רופא כאמור בתוך 14 ימים מאותו מועד.</w:t>
            </w:r>
          </w:p>
        </w:tc>
      </w:tr>
      <w:tr w:rsidR="00117BB2" w:rsidTr="001950EC">
        <w:trPr>
          <w:cantSplit/>
          <w:trHeight w:val="60"/>
        </w:trPr>
        <w:tc>
          <w:tcPr>
            <w:tcW w:w="1870" w:type="dxa"/>
          </w:tcPr>
          <w:p w:rsidR="00117BB2" w:rsidRDefault="00117BB2" w:rsidP="009D447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</w:pP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</w:pP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</w:pP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</w:pP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</w:pPr>
          </w:p>
        </w:tc>
        <w:tc>
          <w:tcPr>
            <w:tcW w:w="4648" w:type="dxa"/>
          </w:tcPr>
          <w:p w:rsidR="00117BB2" w:rsidRPr="00080255" w:rsidRDefault="00117BB2" w:rsidP="009D4471">
            <w:pPr>
              <w:pStyle w:val="TableBlock"/>
              <w:rPr>
                <w:rtl/>
              </w:rPr>
            </w:pPr>
            <w:r w:rsidRPr="00080255">
              <w:rPr>
                <w:rtl/>
              </w:rPr>
              <w:t>(</w:t>
            </w:r>
            <w:r>
              <w:rPr>
                <w:rFonts w:hint="cs"/>
                <w:rtl/>
              </w:rPr>
              <w:t>ה</w:t>
            </w:r>
            <w:r w:rsidRPr="00080255">
              <w:rPr>
                <w:rtl/>
              </w:rPr>
              <w:t>)</w:t>
            </w:r>
            <w:r w:rsidRPr="00080255">
              <w:rPr>
                <w:rtl/>
              </w:rPr>
              <w:tab/>
              <w:t xml:space="preserve">לא ייתן השר היתר </w:t>
            </w:r>
            <w:r>
              <w:rPr>
                <w:rFonts w:hint="cs"/>
                <w:rtl/>
              </w:rPr>
              <w:t xml:space="preserve">כאמור בסעיף קטן (א) </w:t>
            </w:r>
            <w:r w:rsidRPr="00080255">
              <w:rPr>
                <w:rtl/>
              </w:rPr>
              <w:t>אם השחרור מהתחייבות הוא לדעתו בקשר ל</w:t>
            </w:r>
            <w:r w:rsidRPr="00080255">
              <w:rPr>
                <w:rFonts w:hint="eastAsia"/>
                <w:rtl/>
              </w:rPr>
              <w:t>טיפולים</w:t>
            </w:r>
            <w:r>
              <w:rPr>
                <w:rtl/>
              </w:rPr>
              <w:t xml:space="preserve"> או להיעדרות כאמור ב</w:t>
            </w:r>
            <w:r>
              <w:rPr>
                <w:rFonts w:hint="cs"/>
                <w:rtl/>
              </w:rPr>
              <w:t xml:space="preserve">אותו </w:t>
            </w:r>
            <w:r>
              <w:rPr>
                <w:rtl/>
              </w:rPr>
              <w:t>סעיף קטן</w:t>
            </w:r>
            <w:r>
              <w:rPr>
                <w:rFonts w:hint="cs"/>
                <w:rtl/>
              </w:rPr>
              <w:t>.</w:t>
            </w:r>
          </w:p>
        </w:tc>
      </w:tr>
      <w:tr w:rsidR="00117BB2" w:rsidTr="001950EC">
        <w:trPr>
          <w:cantSplit/>
          <w:trHeight w:val="60"/>
        </w:trPr>
        <w:tc>
          <w:tcPr>
            <w:tcW w:w="1870" w:type="dxa"/>
          </w:tcPr>
          <w:p w:rsidR="00117BB2" w:rsidRDefault="00117BB2" w:rsidP="009D447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</w:pP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</w:pP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</w:pP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</w:pPr>
          </w:p>
        </w:tc>
        <w:tc>
          <w:tcPr>
            <w:tcW w:w="624" w:type="dxa"/>
          </w:tcPr>
          <w:p w:rsidR="00117BB2" w:rsidRDefault="00117BB2" w:rsidP="009D4471">
            <w:pPr>
              <w:pStyle w:val="TableText"/>
            </w:pPr>
          </w:p>
        </w:tc>
        <w:tc>
          <w:tcPr>
            <w:tcW w:w="4648" w:type="dxa"/>
          </w:tcPr>
          <w:p w:rsidR="00117BB2" w:rsidRDefault="00117BB2" w:rsidP="009D4471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(ו)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הוראות סעיף 2(ג) ו-(ד) יחולו לעניין היתר לפי סעיף זה בשינויים המחויבים."</w:t>
            </w:r>
          </w:p>
        </w:tc>
      </w:tr>
    </w:tbl>
    <w:p w:rsidR="0069174C" w:rsidRDefault="0069174C" w:rsidP="00637DB9">
      <w:pPr>
        <w:pStyle w:val="HesberWriters"/>
        <w:spacing w:after="0"/>
        <w:rPr>
          <w:rtl/>
        </w:rPr>
      </w:pPr>
    </w:p>
    <w:p w:rsidR="00637DB9" w:rsidRDefault="0069174C" w:rsidP="00A42EF5">
      <w:pPr>
        <w:pStyle w:val="HesberWriters"/>
        <w:spacing w:after="0"/>
        <w:rPr>
          <w:b w:val="0"/>
          <w:bCs w:val="0"/>
          <w:szCs w:val="20"/>
          <w:rtl/>
        </w:rPr>
      </w:pPr>
      <w:bookmarkStart w:id="5" w:name="LGSInitiators"/>
      <w:r>
        <w:rPr>
          <w:rFonts w:hint="cs"/>
          <w:rtl/>
        </w:rPr>
        <w:t>יוזמים: חברי הכנסת יוליה מלינובסקי, רוברט אילטוב, חמד עמאר, עודד פורר, יעל גרמן, מרב מיכאלי, איילת נחמיאס ורבין, ענת ברקו, עליזה לביא</w:t>
      </w:r>
      <w:bookmarkEnd w:id="5"/>
      <w:r w:rsidR="00637DB9">
        <w:rPr>
          <w:rFonts w:hint="cs"/>
          <w:rtl/>
        </w:rPr>
        <w:t xml:space="preserve"> </w:t>
      </w:r>
      <w:r w:rsidR="00637DB9">
        <w:rPr>
          <w:rFonts w:hint="cs"/>
          <w:rtl/>
        </w:rPr>
        <w:br/>
      </w:r>
      <w:bookmarkStart w:id="6" w:name="LGSSugestions"/>
      <w:r>
        <w:rPr>
          <w:rFonts w:hint="cs"/>
          <w:b w:val="0"/>
          <w:bCs w:val="0"/>
          <w:rtl/>
        </w:rPr>
        <w:t xml:space="preserve"> </w:t>
      </w:r>
      <w:bookmarkEnd w:id="6"/>
      <w:r w:rsidR="00720C48">
        <w:rPr>
          <w:rFonts w:hint="cs"/>
          <w:b w:val="0"/>
          <w:bCs w:val="0"/>
          <w:szCs w:val="20"/>
          <w:rtl/>
        </w:rPr>
        <w:t xml:space="preserve"> </w:t>
      </w:r>
    </w:p>
    <w:p w:rsidR="00637DB9" w:rsidRDefault="00637DB9" w:rsidP="00637DB9">
      <w:pPr>
        <w:rPr>
          <w:rtl/>
        </w:rPr>
      </w:pPr>
    </w:p>
    <w:p w:rsidR="00637DB9" w:rsidRPr="002A6F65" w:rsidRDefault="00637DB9" w:rsidP="00637DB9">
      <w:pPr>
        <w:rPr>
          <w:rtl/>
        </w:rPr>
      </w:pPr>
    </w:p>
    <w:p w:rsidR="00AC4CCE" w:rsidRPr="002A6F65" w:rsidRDefault="00AC4CCE" w:rsidP="00637DB9">
      <w:pPr>
        <w:pStyle w:val="HeadHatzaotHok"/>
        <w:rPr>
          <w:rtl/>
        </w:rPr>
      </w:pPr>
    </w:p>
    <w:sectPr w:rsidR="00AC4CCE" w:rsidRPr="002A6F65" w:rsidSect="003D61FD">
      <w:footerReference w:type="even" r:id="rId13"/>
      <w:footerReference w:type="default" r:id="rId14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77B0" w:rsidRDefault="009377B0" w:rsidP="003D61FD">
      <w:pPr>
        <w:pStyle w:val="HeadHatzaotHok"/>
      </w:pPr>
      <w:r>
        <w:separator/>
      </w:r>
    </w:p>
  </w:endnote>
  <w:endnote w:type="continuationSeparator" w:id="0">
    <w:p w:rsidR="009377B0" w:rsidRDefault="009377B0" w:rsidP="003D61FD">
      <w:pPr>
        <w:pStyle w:val="HeadHatzaotHo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separate"/>
    </w:r>
    <w:r w:rsidR="00960F3E">
      <w:rPr>
        <w:rStyle w:val="ad"/>
        <w:noProof/>
        <w:rtl/>
      </w:rPr>
      <w:t>2</w: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77B0" w:rsidRDefault="009377B0" w:rsidP="003D61FD">
      <w:pPr>
        <w:pStyle w:val="HeadHatzaotHok"/>
        <w:jc w:val="both"/>
      </w:pPr>
      <w:r>
        <w:separator/>
      </w:r>
    </w:p>
  </w:footnote>
  <w:footnote w:type="continuationSeparator" w:id="0">
    <w:p w:rsidR="009377B0" w:rsidRDefault="009377B0" w:rsidP="003D61FD">
      <w:pPr>
        <w:pStyle w:val="HeadHatzaotHok"/>
      </w:pPr>
      <w:r>
        <w:continuationSeparator/>
      </w:r>
    </w:p>
  </w:footnote>
  <w:footnote w:id="1">
    <w:p w:rsidR="00637DB9" w:rsidRDefault="00637DB9" w:rsidP="0069174C">
      <w:pPr>
        <w:pStyle w:val="a9"/>
        <w:rPr>
          <w:rtl/>
        </w:rPr>
      </w:pPr>
      <w:r>
        <w:rPr>
          <w:rStyle w:val="a8"/>
          <w:rFonts w:hint="cs"/>
          <w:rtl/>
        </w:rPr>
        <w:t>*</w:t>
      </w:r>
      <w:r>
        <w:rPr>
          <w:rFonts w:hint="cs"/>
          <w:rtl/>
        </w:rPr>
        <w:t xml:space="preserve"> הצעת חוק מס' </w:t>
      </w:r>
      <w:bookmarkStart w:id="2" w:name="LGS_PrivateNum"/>
      <w:r>
        <w:rPr>
          <w:rFonts w:hint="cs"/>
          <w:rtl/>
        </w:rPr>
        <w:t>פ/4274/20</w:t>
      </w:r>
      <w:bookmarkEnd w:id="2"/>
      <w:r>
        <w:rPr>
          <w:rFonts w:hint="cs"/>
          <w:rtl/>
        </w:rPr>
        <w:t xml:space="preserve"> </w:t>
      </w:r>
      <w:r w:rsidRPr="00FF75D7">
        <w:rPr>
          <w:rFonts w:hint="cs"/>
          <w:rtl/>
        </w:rPr>
        <w:t>(מספר פנימי</w:t>
      </w:r>
      <w:r w:rsidRPr="0069174C">
        <w:rPr>
          <w:rFonts w:hint="cs"/>
          <w:rtl/>
        </w:rPr>
        <w:t xml:space="preserve">: </w:t>
      </w:r>
      <w:bookmarkStart w:id="3" w:name="LGS_Internal_ID"/>
      <w:r>
        <w:rPr>
          <w:rFonts w:hint="cs"/>
          <w:rtl/>
        </w:rPr>
        <w:t>2016863</w:t>
      </w:r>
      <w:bookmarkEnd w:id="3"/>
      <w:r w:rsidRPr="0069174C">
        <w:rPr>
          <w:rFonts w:hint="cs"/>
          <w:rtl/>
        </w:rPr>
        <w:t>)</w:t>
      </w:r>
      <w:r>
        <w:rPr>
          <w:rFonts w:hint="cs"/>
          <w:rtl/>
        </w:rPr>
        <w:t xml:space="preserve">; הועברה לוועדה ביום </w:t>
      </w:r>
      <w:bookmarkStart w:id="4" w:name="PreDate"/>
      <w:r>
        <w:rPr>
          <w:rFonts w:hint="cs"/>
          <w:rtl/>
        </w:rPr>
        <w:t>י"א בתמוז התשע"ז (5 ביולי 2017)</w:t>
      </w:r>
      <w:bookmarkEnd w:id="4"/>
      <w:r w:rsidR="00337103">
        <w:rPr>
          <w:rFonts w:hint="cs"/>
          <w:rtl/>
        </w:rPr>
        <w:t>.</w:t>
      </w:r>
    </w:p>
    <w:p w:rsidR="00637DB9" w:rsidRDefault="00637DB9" w:rsidP="00637DB9">
      <w:pPr>
        <w:pStyle w:val="a9"/>
        <w:rPr>
          <w:rtl/>
        </w:rPr>
      </w:pPr>
    </w:p>
  </w:footnote>
  <w:footnote w:id="2">
    <w:p w:rsidR="00117BB2" w:rsidRDefault="00117BB2" w:rsidP="00117BB2">
      <w:pPr>
        <w:pStyle w:val="a9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התשע"א</w:t>
      </w:r>
      <w:proofErr w:type="spellEnd"/>
      <w:r>
        <w:rPr>
          <w:rFonts w:hint="cs"/>
          <w:rtl/>
        </w:rPr>
        <w:t>, עמ' 12.</w:t>
      </w:r>
    </w:p>
    <w:p w:rsidR="00117BB2" w:rsidRDefault="00117BB2" w:rsidP="00117BB2">
      <w:pPr>
        <w:pStyle w:val="a9"/>
        <w:rPr>
          <w:rtl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313"/>
    <w:rsid w:val="00022EBF"/>
    <w:rsid w:val="0002643E"/>
    <w:rsid w:val="0002757A"/>
    <w:rsid w:val="00027E2D"/>
    <w:rsid w:val="00033033"/>
    <w:rsid w:val="00033389"/>
    <w:rsid w:val="000470B8"/>
    <w:rsid w:val="00047882"/>
    <w:rsid w:val="000653D0"/>
    <w:rsid w:val="00077AF1"/>
    <w:rsid w:val="00097925"/>
    <w:rsid w:val="000E3B18"/>
    <w:rsid w:val="000E4563"/>
    <w:rsid w:val="000E7E08"/>
    <w:rsid w:val="000F6D7C"/>
    <w:rsid w:val="00117BB2"/>
    <w:rsid w:val="00123F23"/>
    <w:rsid w:val="001253F6"/>
    <w:rsid w:val="00185E46"/>
    <w:rsid w:val="001950EC"/>
    <w:rsid w:val="001A6799"/>
    <w:rsid w:val="001C4A6C"/>
    <w:rsid w:val="001E46A8"/>
    <w:rsid w:val="001E6F31"/>
    <w:rsid w:val="001F03C7"/>
    <w:rsid w:val="001F7A55"/>
    <w:rsid w:val="002000B0"/>
    <w:rsid w:val="00205DFF"/>
    <w:rsid w:val="0020793A"/>
    <w:rsid w:val="00222DA1"/>
    <w:rsid w:val="00223153"/>
    <w:rsid w:val="00233C51"/>
    <w:rsid w:val="00280B87"/>
    <w:rsid w:val="00294114"/>
    <w:rsid w:val="002A6F65"/>
    <w:rsid w:val="002C4285"/>
    <w:rsid w:val="002E1F11"/>
    <w:rsid w:val="002E6458"/>
    <w:rsid w:val="00331786"/>
    <w:rsid w:val="00337103"/>
    <w:rsid w:val="0034385F"/>
    <w:rsid w:val="00352E82"/>
    <w:rsid w:val="0037452B"/>
    <w:rsid w:val="0039489D"/>
    <w:rsid w:val="003948C0"/>
    <w:rsid w:val="0039695B"/>
    <w:rsid w:val="00397739"/>
    <w:rsid w:val="003B4BC6"/>
    <w:rsid w:val="003C03C8"/>
    <w:rsid w:val="003C1215"/>
    <w:rsid w:val="003D27C5"/>
    <w:rsid w:val="003D58F4"/>
    <w:rsid w:val="003D61FD"/>
    <w:rsid w:val="003F451C"/>
    <w:rsid w:val="004239B4"/>
    <w:rsid w:val="004265E2"/>
    <w:rsid w:val="00443D7D"/>
    <w:rsid w:val="00472FCA"/>
    <w:rsid w:val="004B1418"/>
    <w:rsid w:val="004B1FDD"/>
    <w:rsid w:val="004C68A2"/>
    <w:rsid w:val="004E5E15"/>
    <w:rsid w:val="004F4E19"/>
    <w:rsid w:val="0052521E"/>
    <w:rsid w:val="005527D3"/>
    <w:rsid w:val="005652C2"/>
    <w:rsid w:val="0057628C"/>
    <w:rsid w:val="00584313"/>
    <w:rsid w:val="005A2EB8"/>
    <w:rsid w:val="005B6107"/>
    <w:rsid w:val="005D1A36"/>
    <w:rsid w:val="005F20ED"/>
    <w:rsid w:val="00606368"/>
    <w:rsid w:val="0063557D"/>
    <w:rsid w:val="00637DB9"/>
    <w:rsid w:val="00656301"/>
    <w:rsid w:val="0069174C"/>
    <w:rsid w:val="00696BF6"/>
    <w:rsid w:val="006B2680"/>
    <w:rsid w:val="006B4B3F"/>
    <w:rsid w:val="006C2108"/>
    <w:rsid w:val="006D0910"/>
    <w:rsid w:val="006F219C"/>
    <w:rsid w:val="00720C48"/>
    <w:rsid w:val="00732EFC"/>
    <w:rsid w:val="007428E7"/>
    <w:rsid w:val="00747481"/>
    <w:rsid w:val="00765153"/>
    <w:rsid w:val="00787D9C"/>
    <w:rsid w:val="007C2914"/>
    <w:rsid w:val="007C4213"/>
    <w:rsid w:val="007E2960"/>
    <w:rsid w:val="007E362D"/>
    <w:rsid w:val="00853E72"/>
    <w:rsid w:val="00854E28"/>
    <w:rsid w:val="00855A92"/>
    <w:rsid w:val="008836D8"/>
    <w:rsid w:val="00885A35"/>
    <w:rsid w:val="00890350"/>
    <w:rsid w:val="008A5C70"/>
    <w:rsid w:val="008D3386"/>
    <w:rsid w:val="009377B0"/>
    <w:rsid w:val="009579F7"/>
    <w:rsid w:val="00960F3E"/>
    <w:rsid w:val="009636A6"/>
    <w:rsid w:val="009A757B"/>
    <w:rsid w:val="009B1679"/>
    <w:rsid w:val="009C37CC"/>
    <w:rsid w:val="009C7FC7"/>
    <w:rsid w:val="009D0269"/>
    <w:rsid w:val="009E19BF"/>
    <w:rsid w:val="009E4059"/>
    <w:rsid w:val="009F0EF8"/>
    <w:rsid w:val="00A15945"/>
    <w:rsid w:val="00A42EF5"/>
    <w:rsid w:val="00A54DE5"/>
    <w:rsid w:val="00A9474C"/>
    <w:rsid w:val="00AA1665"/>
    <w:rsid w:val="00AA5399"/>
    <w:rsid w:val="00AC4CCE"/>
    <w:rsid w:val="00AD65CC"/>
    <w:rsid w:val="00AD7837"/>
    <w:rsid w:val="00B02BDB"/>
    <w:rsid w:val="00B93F34"/>
    <w:rsid w:val="00B97F97"/>
    <w:rsid w:val="00BA09A3"/>
    <w:rsid w:val="00BA2FCA"/>
    <w:rsid w:val="00BD0880"/>
    <w:rsid w:val="00BE32F2"/>
    <w:rsid w:val="00BE71CC"/>
    <w:rsid w:val="00C0211F"/>
    <w:rsid w:val="00C35CC5"/>
    <w:rsid w:val="00C61EBB"/>
    <w:rsid w:val="00C63E8C"/>
    <w:rsid w:val="00C72DFC"/>
    <w:rsid w:val="00C81CC8"/>
    <w:rsid w:val="00C90A2A"/>
    <w:rsid w:val="00C913B2"/>
    <w:rsid w:val="00C92FBF"/>
    <w:rsid w:val="00CA7D8A"/>
    <w:rsid w:val="00CA7E27"/>
    <w:rsid w:val="00CC515F"/>
    <w:rsid w:val="00CD0D98"/>
    <w:rsid w:val="00CD2734"/>
    <w:rsid w:val="00D11073"/>
    <w:rsid w:val="00D15B56"/>
    <w:rsid w:val="00D24673"/>
    <w:rsid w:val="00D4588A"/>
    <w:rsid w:val="00D645AA"/>
    <w:rsid w:val="00D82284"/>
    <w:rsid w:val="00D86F30"/>
    <w:rsid w:val="00D925C9"/>
    <w:rsid w:val="00D92FDC"/>
    <w:rsid w:val="00D9552D"/>
    <w:rsid w:val="00DE4310"/>
    <w:rsid w:val="00DF5CB6"/>
    <w:rsid w:val="00E36A7E"/>
    <w:rsid w:val="00E449A1"/>
    <w:rsid w:val="00E61062"/>
    <w:rsid w:val="00E9738E"/>
    <w:rsid w:val="00EC7688"/>
    <w:rsid w:val="00EC7E05"/>
    <w:rsid w:val="00EE492B"/>
    <w:rsid w:val="00F05158"/>
    <w:rsid w:val="00F450B0"/>
    <w:rsid w:val="00F50EED"/>
    <w:rsid w:val="00F93ADC"/>
    <w:rsid w:val="00F948C9"/>
    <w:rsid w:val="00FD7F19"/>
    <w:rsid w:val="00FE5CE3"/>
    <w:rsid w:val="00FF38BA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969D0551-D0C1-4CFC-949F-5C21915F1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aliases w:val="Footnote Reference"/>
    <w:semiHidden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semiHidden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14" Type="http://schemas.openxmlformats.org/officeDocument/2006/relationships/footer" Target="footer2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41D52-23FC-4DB1-B710-B1087D71DA26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6FDEA2B0-3A3D-4C0A-8211-0F245A5F9885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3.xml><?xml version="1.0" encoding="utf-8"?>
<ds:datastoreItem xmlns:ds="http://schemas.openxmlformats.org/officeDocument/2006/customXml" ds:itemID="{3AF157FB-B203-42C7-89E6-C1ADA0FE61AC}"/>
</file>

<file path=customXml/itemProps4.xml><?xml version="1.0" encoding="utf-8"?>
<ds:datastoreItem xmlns:ds="http://schemas.openxmlformats.org/officeDocument/2006/customXml" ds:itemID="{19B43F59-A3DE-4403-9A12-F1C5BFA47D0E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2B21CBF-A1B2-45BD-915F-075498360E0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1EED229C-AF60-4A70-AAC9-E5BD67623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2003</Characters>
  <Application>Microsoft Office Word</Application>
  <DocSecurity>0</DocSecurity>
  <Lines>16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ניסיון</vt:lpstr>
      <vt:lpstr>ניסיון</vt:lpstr>
    </vt:vector>
  </TitlesOfParts>
  <Company>knesset</Company>
  <LinksUpToDate>false</LinksUpToDate>
  <CharactersWithSpaces>2399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ניסיון</dc:title>
  <dc:creator>דפנה - כנסת</dc:creator>
  <cp:lastModifiedBy>מעיין בן עמי</cp:lastModifiedBy>
  <cp:revision>2</cp:revision>
  <cp:lastPrinted>2017-11-14T11:42:00Z</cp:lastPrinted>
  <dcterms:created xsi:type="dcterms:W3CDTF">2017-11-14T11:42:00Z</dcterms:created>
  <dcterms:modified xsi:type="dcterms:W3CDTF">2017-11-14T11:42:00Z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ראשונה</vt:lpwstr>
  </property>
  <property fmtid="{D5CDD505-2E9C-101B-9397-08002B2CF9AE}" pid="3" name="ContentTypeId">
    <vt:lpwstr>0x010100F931E205BBB08441AEFFEBF8ABB23DF1</vt:lpwstr>
  </property>
  <property fmtid="{D5CDD505-2E9C-101B-9397-08002B2CF9AE}" pid="4" name="To1">
    <vt:lpwstr/>
  </property>
  <property fmtid="{D5CDD505-2E9C-101B-9397-08002B2CF9AE}" pid="5" name="YozemHatzaa_ChakList">
    <vt:lpwstr/>
  </property>
  <property fmtid="{D5CDD505-2E9C-101B-9397-08002B2CF9AE}" pid="6" name="מספר חוברת">
    <vt:lpwstr/>
  </property>
  <property fmtid="{D5CDD505-2E9C-101B-9397-08002B2CF9AE}" pid="7" name="FileNum">
    <vt:lpwstr/>
  </property>
  <property fmtid="{D5CDD505-2E9C-101B-9397-08002B2CF9AE}" pid="8" name="HanchayaNum">
    <vt:lpwstr/>
  </property>
  <property fmtid="{D5CDD505-2E9C-101B-9397-08002B2CF9AE}" pid="9" name="מספר הצח">
    <vt:lpwstr/>
  </property>
  <property fmtid="{D5CDD505-2E9C-101B-9397-08002B2CF9AE}" pid="10" name="Writer_UserList">
    <vt:lpwstr/>
  </property>
  <property fmtid="{D5CDD505-2E9C-101B-9397-08002B2CF9AE}" pid="11" name="HokDate1">
    <vt:lpwstr/>
  </property>
  <property fmtid="{D5CDD505-2E9C-101B-9397-08002B2CF9AE}" pid="12" name="HokNumBook">
    <vt:lpwstr/>
  </property>
  <property fmtid="{D5CDD505-2E9C-101B-9397-08002B2CF9AE}" pid="13" name="NumHoveretHatzaatHok">
    <vt:lpwstr/>
  </property>
  <property fmtid="{D5CDD505-2E9C-101B-9397-08002B2CF9AE}" pid="14" name="body">
    <vt:lpwstr/>
  </property>
  <property fmtid="{D5CDD505-2E9C-101B-9397-08002B2CF9AE}" pid="15" name="Cc">
    <vt:lpwstr/>
  </property>
  <property fmtid="{D5CDD505-2E9C-101B-9397-08002B2CF9AE}" pid="16" name="From">
    <vt:lpwstr/>
  </property>
  <property fmtid="{D5CDD505-2E9C-101B-9397-08002B2CF9AE}" pid="17" name="To">
    <vt:lpwstr/>
  </property>
  <property fmtid="{D5CDD505-2E9C-101B-9397-08002B2CF9AE}" pid="18" name="Sides">
    <vt:lpwstr/>
  </property>
  <property fmtid="{D5CDD505-2E9C-101B-9397-08002B2CF9AE}" pid="19" name="Approved">
    <vt:lpwstr/>
  </property>
  <property fmtid="{D5CDD505-2E9C-101B-9397-08002B2CF9AE}" pid="20" name="SDToList">
    <vt:lpwstr/>
  </property>
  <property fmtid="{D5CDD505-2E9C-101B-9397-08002B2CF9AE}" pid="21" name="SDCategoryID">
    <vt:lpwstr>8474415e0788;#</vt:lpwstr>
  </property>
  <property fmtid="{D5CDD505-2E9C-101B-9397-08002B2CF9AE}" pid="22" name="z">
    <vt:lpwstr>#RowsetSchema</vt:lpwstr>
  </property>
  <property fmtid="{D5CDD505-2E9C-101B-9397-08002B2CF9AE}" pid="23" name="FileLeafRef">
    <vt:lpwstr>19103;#00912715.docx</vt:lpwstr>
  </property>
  <property fmtid="{D5CDD505-2E9C-101B-9397-08002B2CF9AE}" pid="24" name="Modified_x0020_By">
    <vt:lpwstr>LAN_KNESSET\hok_dafna</vt:lpwstr>
  </property>
  <property fmtid="{D5CDD505-2E9C-101B-9397-08002B2CF9AE}" pid="25" name="Created_x0020_By">
    <vt:lpwstr>LAN_KNESSET\hok_dafna</vt:lpwstr>
  </property>
  <property fmtid="{D5CDD505-2E9C-101B-9397-08002B2CF9AE}" pid="26" name="File_x0020_Type">
    <vt:lpwstr>docx</vt:lpwstr>
  </property>
  <property fmtid="{D5CDD505-2E9C-101B-9397-08002B2CF9AE}" pid="27" name="AutoNumber">
    <vt:lpwstr>00912715</vt:lpwstr>
  </property>
  <property fmtid="{D5CDD505-2E9C-101B-9397-08002B2CF9AE}" pid="28" name="SDCategories">
    <vt:lpwstr>:כללי2:הלשכה המשפטית:חקיקה - נוסח:חקיקה ראשית - נוסח:2. נוסח לפרסום לקר' ראשונה;#</vt:lpwstr>
  </property>
  <property fmtid="{D5CDD505-2E9C-101B-9397-08002B2CF9AE}" pid="29" name="SDAuthor">
    <vt:lpwstr>דפנה ברנאי</vt:lpwstr>
  </property>
  <property fmtid="{D5CDD505-2E9C-101B-9397-08002B2CF9AE}" pid="30" name="SDDocDate">
    <vt:lpwstr>18/02/2015</vt:lpwstr>
  </property>
  <property fmtid="{D5CDD505-2E9C-101B-9397-08002B2CF9AE}" pid="31" name="SDHebDate">
    <vt:lpwstr>כ"ט בשבט, התשע"ה</vt:lpwstr>
  </property>
  <property fmtid="{D5CDD505-2E9C-101B-9397-08002B2CF9AE}" pid="32" name="Vaada">
    <vt:lpwstr>(בחר)</vt:lpwstr>
  </property>
  <property fmtid="{D5CDD505-2E9C-101B-9397-08002B2CF9AE}" pid="33" name="SDImportance">
    <vt:lpwstr>0</vt:lpwstr>
  </property>
  <property fmtid="{D5CDD505-2E9C-101B-9397-08002B2CF9AE}" pid="34" name="SDDocumentSource">
    <vt:lpwstr>SDNewFile</vt:lpwstr>
  </property>
  <property fmtid="{D5CDD505-2E9C-101B-9397-08002B2CF9AE}" pid="35" name="ID">
    <vt:lpwstr>19103</vt:lpwstr>
  </property>
  <property fmtid="{D5CDD505-2E9C-101B-9397-08002B2CF9AE}" pid="36" name="Created">
    <vt:lpwstr>18/02/2015</vt:lpwstr>
  </property>
  <property fmtid="{D5CDD505-2E9C-101B-9397-08002B2CF9AE}" pid="37" name="Author">
    <vt:lpwstr>9;#דפנה ברנאי</vt:lpwstr>
  </property>
  <property fmtid="{D5CDD505-2E9C-101B-9397-08002B2CF9AE}" pid="38" name="Modified">
    <vt:lpwstr>18/02/2015</vt:lpwstr>
  </property>
  <property fmtid="{D5CDD505-2E9C-101B-9397-08002B2CF9AE}" pid="39" name="Editor">
    <vt:lpwstr>9;#דפנה ברנאי</vt:lpwstr>
  </property>
  <property fmtid="{D5CDD505-2E9C-101B-9397-08002B2CF9AE}" pid="40" name="_ModerationStatus">
    <vt:lpwstr>0</vt:lpwstr>
  </property>
  <property fmtid="{D5CDD505-2E9C-101B-9397-08002B2CF9AE}" pid="41" name="FileRef">
    <vt:lpwstr>19103;#sites/glob2/DEPT_HOK_NEW/DocLib/DocLib automatically created by sharedocs 1/00912715.docx</vt:lpwstr>
  </property>
  <property fmtid="{D5CDD505-2E9C-101B-9397-08002B2CF9AE}" pid="42" name="FileDirRef">
    <vt:lpwstr>19103;#sites/glob2/DEPT_HOK_NEW/DocLib/DocLib automatically created by sharedocs 1</vt:lpwstr>
  </property>
  <property fmtid="{D5CDD505-2E9C-101B-9397-08002B2CF9AE}" pid="43" name="Last_x0020_Modified">
    <vt:lpwstr>19103;#2015-02-18 15:13:27</vt:lpwstr>
  </property>
  <property fmtid="{D5CDD505-2E9C-101B-9397-08002B2CF9AE}" pid="44" name="Created_x0020_Date">
    <vt:lpwstr>19103;#2015-02-18 15:13:27</vt:lpwstr>
  </property>
  <property fmtid="{D5CDD505-2E9C-101B-9397-08002B2CF9AE}" pid="45" name="File_x0020_Size">
    <vt:lpwstr>19103;#51535</vt:lpwstr>
  </property>
  <property fmtid="{D5CDD505-2E9C-101B-9397-08002B2CF9AE}" pid="46" name="FSObjType">
    <vt:lpwstr>19103;#0</vt:lpwstr>
  </property>
  <property fmtid="{D5CDD505-2E9C-101B-9397-08002B2CF9AE}" pid="47" name="PermMask">
    <vt:lpwstr>0x1b03c4312ef</vt:lpwstr>
  </property>
  <property fmtid="{D5CDD505-2E9C-101B-9397-08002B2CF9AE}" pid="48" name="CheckedOutUserId">
    <vt:lpwstr>19103;#</vt:lpwstr>
  </property>
  <property fmtid="{D5CDD505-2E9C-101B-9397-08002B2CF9AE}" pid="49" name="IsCheckedoutToLocal">
    <vt:lpwstr>19103;#0</vt:lpwstr>
  </property>
  <property fmtid="{D5CDD505-2E9C-101B-9397-08002B2CF9AE}" pid="50" name="UniqueId">
    <vt:lpwstr>19103;#{74348C6E-CA3E-4533-9D49-4EF49131E0E9}</vt:lpwstr>
  </property>
  <property fmtid="{D5CDD505-2E9C-101B-9397-08002B2CF9AE}" pid="51" name="ProgId">
    <vt:lpwstr>19103;#</vt:lpwstr>
  </property>
  <property fmtid="{D5CDD505-2E9C-101B-9397-08002B2CF9AE}" pid="52" name="ScopeId">
    <vt:lpwstr>19103;#{D4FB6348-8162-47AD-BFF4-F67F0704D624}</vt:lpwstr>
  </property>
  <property fmtid="{D5CDD505-2E9C-101B-9397-08002B2CF9AE}" pid="53" name="VirusStatus">
    <vt:lpwstr>19103;#51535</vt:lpwstr>
  </property>
  <property fmtid="{D5CDD505-2E9C-101B-9397-08002B2CF9AE}" pid="54" name="CheckedOutTitle">
    <vt:lpwstr>19103;#</vt:lpwstr>
  </property>
  <property fmtid="{D5CDD505-2E9C-101B-9397-08002B2CF9AE}" pid="55" name="_CheckinComment">
    <vt:lpwstr>19103;#</vt:lpwstr>
  </property>
  <property fmtid="{D5CDD505-2E9C-101B-9397-08002B2CF9AE}" pid="56" name="_EditMenuTableStart">
    <vt:lpwstr>00912715.docx</vt:lpwstr>
  </property>
  <property fmtid="{D5CDD505-2E9C-101B-9397-08002B2CF9AE}" pid="57" name="_EditMenuTableEnd">
    <vt:lpwstr>19103</vt:lpwstr>
  </property>
  <property fmtid="{D5CDD505-2E9C-101B-9397-08002B2CF9AE}" pid="58" name="LinkFilenameNoMenu">
    <vt:lpwstr>00912715.docx</vt:lpwstr>
  </property>
  <property fmtid="{D5CDD505-2E9C-101B-9397-08002B2CF9AE}" pid="59" name="LinkFilename">
    <vt:lpwstr>00912715.docx</vt:lpwstr>
  </property>
  <property fmtid="{D5CDD505-2E9C-101B-9397-08002B2CF9AE}" pid="60" name="DocIcon">
    <vt:lpwstr>docx</vt:lpwstr>
  </property>
  <property fmtid="{D5CDD505-2E9C-101B-9397-08002B2CF9AE}" pid="61" name="ServerUrl">
    <vt:lpwstr>/sites/glob2/DEPT_HOK_NEW/DocLib/DocLib automatically created by sharedocs 1/00912715.docx</vt:lpwstr>
  </property>
  <property fmtid="{D5CDD505-2E9C-101B-9397-08002B2CF9AE}" pid="62" name="EncodedAbsUrl">
    <vt:lpwstr>http://sd3portal/sites/glob2/DEPT_HOK_NEW/DocLib/DocLib%20automatically%20created%20by%20sharedocs%201/00912715.docx</vt:lpwstr>
  </property>
  <property fmtid="{D5CDD505-2E9C-101B-9397-08002B2CF9AE}" pid="63" name="BaseName">
    <vt:lpwstr>00912715</vt:lpwstr>
  </property>
  <property fmtid="{D5CDD505-2E9C-101B-9397-08002B2CF9AE}" pid="64" name="FileSizeDisplay">
    <vt:lpwstr>51535</vt:lpwstr>
  </property>
  <property fmtid="{D5CDD505-2E9C-101B-9397-08002B2CF9AE}" pid="65" name="MetaInfo">
    <vt:lpwstr>19103;#body:SW|
_Level:SW|1
z:SW|#RowsetSchema
Order:SW|1339000.00000000
Writer_UserList:SW|
Last Modified:SW|13390;#2013-02-04 12:29:06
SDLastSigningDate:EW|
Cc:SW|
SelectTitle:SW|307
ParentVersionString:SW|307;#
vti_author:SR|LAN_KNESSET\\hok_dafna
To1:</vt:lpwstr>
  </property>
  <property fmtid="{D5CDD505-2E9C-101B-9397-08002B2CF9AE}" pid="66" name="_Level">
    <vt:lpwstr>1</vt:lpwstr>
  </property>
  <property fmtid="{D5CDD505-2E9C-101B-9397-08002B2CF9AE}" pid="67" name="_IsCurrentVersion">
    <vt:lpwstr>1</vt:lpwstr>
  </property>
  <property fmtid="{D5CDD505-2E9C-101B-9397-08002B2CF9AE}" pid="68" name="SelectTitle">
    <vt:lpwstr>19103</vt:lpwstr>
  </property>
  <property fmtid="{D5CDD505-2E9C-101B-9397-08002B2CF9AE}" pid="69" name="SelectFilename">
    <vt:lpwstr>19103</vt:lpwstr>
  </property>
  <property fmtid="{D5CDD505-2E9C-101B-9397-08002B2CF9AE}" pid="70" name="Edit">
    <vt:lpwstr>0</vt:lpwstr>
  </property>
  <property fmtid="{D5CDD505-2E9C-101B-9397-08002B2CF9AE}" pid="71" name="owshiddenversion">
    <vt:lpwstr>1</vt:lpwstr>
  </property>
  <property fmtid="{D5CDD505-2E9C-101B-9397-08002B2CF9AE}" pid="72" name="_UIVersion">
    <vt:lpwstr>512</vt:lpwstr>
  </property>
  <property fmtid="{D5CDD505-2E9C-101B-9397-08002B2CF9AE}" pid="73" name="Order">
    <vt:lpwstr>1339000.00000000</vt:lpwstr>
  </property>
  <property fmtid="{D5CDD505-2E9C-101B-9397-08002B2CF9AE}" pid="74" name="GUID">
    <vt:lpwstr>{95AA89A9-AAF3-441F-8D28-2C1C4E500D2D}</vt:lpwstr>
  </property>
  <property fmtid="{D5CDD505-2E9C-101B-9397-08002B2CF9AE}" pid="75" name="WorkflowVersion">
    <vt:lpwstr>1</vt:lpwstr>
  </property>
  <property fmtid="{D5CDD505-2E9C-101B-9397-08002B2CF9AE}" pid="76" name="ParentVersionString">
    <vt:lpwstr>19103;#</vt:lpwstr>
  </property>
  <property fmtid="{D5CDD505-2E9C-101B-9397-08002B2CF9AE}" pid="77" name="ParentLeafName">
    <vt:lpwstr>19103;#</vt:lpwstr>
  </property>
  <property fmtid="{D5CDD505-2E9C-101B-9397-08002B2CF9AE}" pid="78" name="Combine">
    <vt:lpwstr>0</vt:lpwstr>
  </property>
  <property fmtid="{D5CDD505-2E9C-101B-9397-08002B2CF9AE}" pid="79" name="RepairDocument">
    <vt:lpwstr>0</vt:lpwstr>
  </property>
  <property fmtid="{D5CDD505-2E9C-101B-9397-08002B2CF9AE}" pid="80" name="ServerRedirected">
    <vt:lpwstr>0</vt:lpwstr>
  </property>
  <property fmtid="{D5CDD505-2E9C-101B-9397-08002B2CF9AE}" pid="81" name="Last Modified">
    <vt:lpwstr>13390;#2013-02-04 12:29:06</vt:lpwstr>
  </property>
  <property fmtid="{D5CDD505-2E9C-101B-9397-08002B2CF9AE}" pid="82" name="Created Date">
    <vt:lpwstr>13390;#2013-02-04 12:29:06</vt:lpwstr>
  </property>
  <property fmtid="{D5CDD505-2E9C-101B-9397-08002B2CF9AE}" pid="83" name="Created By">
    <vt:lpwstr>LAN_KNESSET\hok_dafna</vt:lpwstr>
  </property>
  <property fmtid="{D5CDD505-2E9C-101B-9397-08002B2CF9AE}" pid="84" name="File Type">
    <vt:lpwstr>docx</vt:lpwstr>
  </property>
  <property fmtid="{D5CDD505-2E9C-101B-9397-08002B2CF9AE}" pid="85" name="File Size">
    <vt:lpwstr>13390;#43959</vt:lpwstr>
  </property>
  <property fmtid="{D5CDD505-2E9C-101B-9397-08002B2CF9AE}" pid="86" name="Modified By">
    <vt:lpwstr>LAN_KNESSET\hok_dafna</vt:lpwstr>
  </property>
  <property fmtid="{D5CDD505-2E9C-101B-9397-08002B2CF9AE}" pid="87" name="_dlc_DocIdItemGuid">
    <vt:lpwstr>9209de2f-499d-420e-8200-cfa2fe2b59a0</vt:lpwstr>
  </property>
  <property fmtid="{D5CDD505-2E9C-101B-9397-08002B2CF9AE}" pid="88" name="_docset_NoMedatataSyncRequired">
    <vt:lpwstr>False</vt:lpwstr>
  </property>
  <property fmtid="{D5CDD505-2E9C-101B-9397-08002B2CF9AE}" pid="89" name="SanhedrinDocumentType">
    <vt:r8>88</vt:r8>
  </property>
  <property fmtid="{D5CDD505-2E9C-101B-9397-08002B2CF9AE}" pid="90" name="SanhedrinItemID">
    <vt:r8>2022793</vt:r8>
  </property>
</Properties>
</file>