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637DB9" w:rsidP="00C913B2">
      <w:pPr>
        <w:pStyle w:val="HeadMitparsemetBaze"/>
        <w:rPr>
          <w:color w:val="auto"/>
          <w:rtl/>
        </w:rPr>
      </w:pPr>
      <w:r w:rsidRPr="0075592E">
        <w:rPr>
          <w:rFonts w:hint="cs"/>
          <w:color w:val="auto"/>
          <w:rtl/>
        </w:rPr>
        <w:t>מתפרסמת בזה הצעת חוק</w:t>
      </w:r>
      <w:r w:rsidR="00123F23">
        <w:rPr>
          <w:rFonts w:hint="cs"/>
          <w:color w:val="auto"/>
          <w:rtl/>
        </w:rPr>
        <w:t xml:space="preserve"> </w:t>
      </w:r>
      <w:bookmarkStart w:id="0" w:name="By"/>
      <w:r>
        <w:rPr>
          <w:rFonts w:hint="cs"/>
          <w:color w:val="auto"/>
          <w:rtl/>
        </w:rPr>
        <w:t>של חבר הכנסת מטעם ועדת הפנים והגנת הסביבה של הכנסת</w:t>
      </w:r>
      <w:bookmarkEnd w:id="0"/>
      <w:r w:rsidR="00C81CC8">
        <w:rPr>
          <w:rFonts w:hint="cs"/>
          <w:color w:val="auto"/>
          <w:rtl/>
        </w:rPr>
        <w:t>:</w:t>
      </w:r>
    </w:p>
    <w:p w:rsidR="00117F26" w:rsidRDefault="0069174C" w:rsidP="00933442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הצעת חוק סדר הדין הפלילי (תיקון </w:t>
      </w:r>
      <w:r w:rsidR="00117F26">
        <w:rPr>
          <w:rFonts w:hint="cs"/>
          <w:rtl/>
        </w:rPr>
        <w:t>מס' ) (</w:t>
      </w:r>
      <w:r w:rsidR="00933442">
        <w:rPr>
          <w:rFonts w:hint="cs"/>
          <w:rtl/>
        </w:rPr>
        <w:t>הוראות לעניין סיכום חקירה של</w:t>
      </w:r>
      <w:r w:rsidR="0093344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של</w:t>
      </w:r>
      <w:proofErr w:type="spellEnd"/>
      <w:r>
        <w:rPr>
          <w:rFonts w:hint="cs"/>
          <w:rtl/>
        </w:rPr>
        <w:t xml:space="preserve"> רשות חוקרת), </w:t>
      </w:r>
    </w:p>
    <w:p w:rsidR="00637DB9" w:rsidRDefault="0069174C" w:rsidP="00117F26">
      <w:pPr>
        <w:pStyle w:val="HeadHatzaotHok"/>
        <w:spacing w:before="0"/>
        <w:rPr>
          <w:rStyle w:val="a8"/>
          <w:rtl/>
        </w:rPr>
      </w:pPr>
      <w:proofErr w:type="spellStart"/>
      <w:r>
        <w:rPr>
          <w:rFonts w:hint="cs"/>
          <w:rtl/>
        </w:rPr>
        <w:t>התשע"ח</w:t>
      </w:r>
      <w:proofErr w:type="spellEnd"/>
      <w:r w:rsidR="00117F26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1"/>
      <w:r w:rsidR="00637DB9">
        <w:rPr>
          <w:rStyle w:val="a8"/>
          <w:rFonts w:hint="cs"/>
          <w:rtl/>
        </w:rPr>
        <w:footnoteReference w:customMarkFollows="1" w:id="1"/>
        <w:t>*</w:t>
      </w:r>
    </w:p>
    <w:p w:rsidR="00933442" w:rsidRDefault="00933442" w:rsidP="00117F26">
      <w:pPr>
        <w:pStyle w:val="HeadHatzaotHok"/>
        <w:spacing w:before="0"/>
        <w:rPr>
          <w:rStyle w:val="a8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5897"/>
      </w:tblGrid>
      <w:tr w:rsidR="00933442" w:rsidTr="00EA38E4">
        <w:trPr>
          <w:cantSplit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 xml:space="preserve">תיקון סעיף 60 </w:t>
            </w:r>
          </w:p>
        </w:tc>
        <w:tc>
          <w:tcPr>
            <w:tcW w:w="624" w:type="dxa"/>
          </w:tcPr>
          <w:p w:rsidR="00933442" w:rsidRPr="00987370" w:rsidRDefault="00933442" w:rsidP="00EA38E4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5" w:type="dxa"/>
            <w:gridSpan w:val="3"/>
          </w:tcPr>
          <w:p w:rsidR="00933442" w:rsidRDefault="00933442" w:rsidP="00EA38E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בחוק סדר הדין הפלילי [נוסח משולב], </w:t>
            </w:r>
            <w:proofErr w:type="spellStart"/>
            <w:r>
              <w:rPr>
                <w:rFonts w:hint="cs"/>
                <w:rtl/>
              </w:rPr>
              <w:t>התשמ"ב</w:t>
            </w:r>
            <w:proofErr w:type="spellEnd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1982,</w:t>
            </w:r>
            <w:r>
              <w:rPr>
                <w:rStyle w:val="a8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 בסעיף 60, אחרי סעיף קטן (ה) יבוא: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  <w:r>
              <w:rPr>
                <w:rFonts w:hint="cs"/>
                <w:rtl/>
              </w:rPr>
              <w:t>"(ה1)</w:t>
            </w:r>
          </w:p>
        </w:tc>
        <w:tc>
          <w:tcPr>
            <w:tcW w:w="6521" w:type="dxa"/>
            <w:gridSpan w:val="2"/>
          </w:tcPr>
          <w:p w:rsidR="00933442" w:rsidRPr="00CE10D5" w:rsidRDefault="00933442" w:rsidP="00EA38E4">
            <w:pPr>
              <w:pStyle w:val="TableBlock"/>
            </w:pPr>
            <w:r w:rsidRPr="00CE10D5">
              <w:rPr>
                <w:rFonts w:hint="cs"/>
                <w:rtl/>
              </w:rPr>
              <w:t>(1)</w:t>
            </w:r>
            <w:r w:rsidRPr="00CE10D5">
              <w:rPr>
                <w:rtl/>
              </w:rPr>
              <w:tab/>
            </w:r>
            <w:r w:rsidRPr="00CE10D5">
              <w:rPr>
                <w:rFonts w:hint="cs"/>
                <w:rtl/>
              </w:rPr>
              <w:t>ניהלה רשות חוקרת חקירה בליווי פרקליט מלווה, והחליטה על  העברת החומר שהושג בחקירה לפרקליט המדינה או לפרקליט המחוז, לטיפולו של פרקליט, תעבירו ללא סיכום חקירה.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2"/>
          </w:tcPr>
          <w:p w:rsidR="00933442" w:rsidRPr="00CE10D5" w:rsidRDefault="00933442" w:rsidP="00EA38E4">
            <w:pPr>
              <w:pStyle w:val="TableBlock"/>
              <w:rPr>
                <w:rtl/>
              </w:rPr>
            </w:pPr>
            <w:r w:rsidRPr="00CE10D5">
              <w:rPr>
                <w:rFonts w:hint="cs"/>
                <w:rtl/>
              </w:rPr>
              <w:t xml:space="preserve">(2) </w:t>
            </w:r>
            <w:r w:rsidRPr="00CE10D5">
              <w:rPr>
                <w:rtl/>
              </w:rPr>
              <w:tab/>
            </w:r>
            <w:r w:rsidRPr="00CE10D5">
              <w:rPr>
                <w:rFonts w:hint="cs"/>
                <w:rtl/>
              </w:rPr>
              <w:t>ניהלה רשות חוקרת חקירה ללא ליווי של פרקליט מלווה והחליטה על  העברת החומר שהושג בחקירה לפרקליט המדינה או לפרקליט המחוז, תעבירו עם סיכום חקירה.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521" w:type="dxa"/>
            <w:gridSpan w:val="2"/>
          </w:tcPr>
          <w:p w:rsidR="00933442" w:rsidRPr="00CE10D5" w:rsidRDefault="00933442" w:rsidP="00EA38E4">
            <w:pPr>
              <w:pStyle w:val="TableBlock"/>
            </w:pPr>
            <w:r w:rsidRPr="00CE10D5">
              <w:rPr>
                <w:rFonts w:hint="cs"/>
                <w:rtl/>
              </w:rPr>
              <w:t>(</w:t>
            </w:r>
            <w:r w:rsidRPr="00CE10D5">
              <w:rPr>
                <w:rFonts w:hint="cs"/>
                <w:rtl/>
              </w:rPr>
              <w:t>3</w:t>
            </w:r>
            <w:r w:rsidRPr="00CE10D5">
              <w:rPr>
                <w:rFonts w:hint="cs"/>
                <w:rtl/>
              </w:rPr>
              <w:t>)</w:t>
            </w:r>
            <w:r w:rsidRPr="00CE10D5">
              <w:rPr>
                <w:rtl/>
              </w:rPr>
              <w:tab/>
            </w:r>
            <w:r w:rsidRPr="00CE10D5">
              <w:rPr>
                <w:rFonts w:hint="cs"/>
                <w:rtl/>
              </w:rPr>
              <w:t xml:space="preserve">בסעיף קטן זה </w:t>
            </w:r>
            <w:r w:rsidRPr="00CE10D5">
              <w:rPr>
                <w:rtl/>
              </w:rPr>
              <w:t>–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Pr="00CE10D5" w:rsidRDefault="00933442" w:rsidP="00EA38E4">
            <w:pPr>
              <w:pStyle w:val="TableText"/>
            </w:pPr>
          </w:p>
        </w:tc>
        <w:tc>
          <w:tcPr>
            <w:tcW w:w="5897" w:type="dxa"/>
          </w:tcPr>
          <w:p w:rsidR="00933442" w:rsidRPr="00CE10D5" w:rsidRDefault="00933442" w:rsidP="00CE10D5">
            <w:pPr>
              <w:pStyle w:val="TableBlockOutdent"/>
            </w:pPr>
            <w:r w:rsidRPr="00CE10D5">
              <w:rPr>
                <w:rFonts w:hint="cs"/>
                <w:rtl/>
              </w:rPr>
              <w:t xml:space="preserve">"סיכום חקירה" </w:t>
            </w:r>
            <w:r w:rsidRPr="00CE10D5">
              <w:rPr>
                <w:rtl/>
              </w:rPr>
              <w:t>–</w:t>
            </w:r>
            <w:r w:rsidRPr="00CE10D5">
              <w:rPr>
                <w:rFonts w:hint="cs"/>
                <w:rtl/>
              </w:rPr>
              <w:t xml:space="preserve"> עמדת הרשות החוקרת לעניין התשתית הראייתית לביסוס האשמה כנגד החשודים בחקירה ועמדתה לעניין הגשת כתב אישום;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Pr="00CE10D5" w:rsidRDefault="00933442" w:rsidP="00EA38E4">
            <w:pPr>
              <w:pStyle w:val="TableText"/>
            </w:pPr>
          </w:p>
        </w:tc>
        <w:tc>
          <w:tcPr>
            <w:tcW w:w="5897" w:type="dxa"/>
          </w:tcPr>
          <w:p w:rsidR="00933442" w:rsidRPr="00CE10D5" w:rsidRDefault="00933442" w:rsidP="00CE10D5">
            <w:pPr>
              <w:pStyle w:val="TableBlockOutdent"/>
              <w:rPr>
                <w:rtl/>
              </w:rPr>
            </w:pPr>
            <w:r w:rsidRPr="00CE10D5">
              <w:rPr>
                <w:rFonts w:hint="cs"/>
                <w:rtl/>
              </w:rPr>
              <w:t>"פרקליט מלווה" - פרקליט המלווה את רוב חקירה;</w:t>
            </w:r>
          </w:p>
          <w:p w:rsidR="00933442" w:rsidRPr="00CE10D5" w:rsidRDefault="00933442" w:rsidP="00EA38E4">
            <w:pPr>
              <w:pStyle w:val="TableBlock"/>
              <w:rPr>
                <w:rFonts w:ascii="Aharoni" w:hAnsi="Aharoni" w:cs="Guttman Yad-Brush"/>
                <w:sz w:val="22"/>
                <w:szCs w:val="22"/>
                <w:rtl/>
              </w:rPr>
            </w:pPr>
          </w:p>
          <w:p w:rsidR="00933442" w:rsidRPr="00CE10D5" w:rsidRDefault="00933442" w:rsidP="00EA38E4">
            <w:pPr>
              <w:pStyle w:val="TableBlock"/>
              <w:rPr>
                <w:rFonts w:ascii="Aharoni" w:hAnsi="Aharoni" w:cs="Guttman Yad-Brush"/>
                <w:sz w:val="22"/>
                <w:szCs w:val="22"/>
                <w:rtl/>
              </w:rPr>
            </w:pPr>
            <w:r w:rsidRPr="00CE10D5">
              <w:rPr>
                <w:rFonts w:ascii="Aharoni" w:hAnsi="Aharoni" w:cs="Guttman Yad-Brush" w:hint="cs"/>
                <w:sz w:val="22"/>
                <w:szCs w:val="22"/>
                <w:rtl/>
              </w:rPr>
              <w:t xml:space="preserve">המונח פרקליט מוגדר בסעיף 60: ""פרקליט" </w:t>
            </w:r>
            <w:r w:rsidRPr="00CE10D5">
              <w:rPr>
                <w:rFonts w:ascii="Aharoni" w:hAnsi="Aharoni" w:cs="Guttman Yad-Brush"/>
                <w:sz w:val="22"/>
                <w:szCs w:val="22"/>
                <w:rtl/>
              </w:rPr>
              <w:t>–</w:t>
            </w:r>
            <w:r w:rsidRPr="00CE10D5">
              <w:rPr>
                <w:rFonts w:ascii="Aharoni" w:hAnsi="Aharoni" w:cs="Guttman Yad-Brush" w:hint="cs"/>
                <w:sz w:val="22"/>
                <w:szCs w:val="22"/>
                <w:rtl/>
              </w:rPr>
              <w:t xml:space="preserve"> פרקליט כאמור בסעיף 12(א)(1)(א)";</w:t>
            </w:r>
          </w:p>
          <w:p w:rsidR="00933442" w:rsidRPr="00CE10D5" w:rsidRDefault="00933442" w:rsidP="00EA38E4">
            <w:pPr>
              <w:pStyle w:val="P22"/>
              <w:spacing w:before="72"/>
              <w:ind w:left="0" w:right="1134"/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</w:pPr>
          </w:p>
          <w:p w:rsidR="00933442" w:rsidRPr="00CE10D5" w:rsidRDefault="00933442" w:rsidP="00EA38E4">
            <w:pPr>
              <w:pStyle w:val="P22"/>
              <w:spacing w:before="72"/>
              <w:ind w:left="0" w:right="1134"/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</w:pPr>
            <w:r w:rsidRPr="00CE10D5"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  <w:t xml:space="preserve">[סעיף 12(א)(1)(א) קובע:  </w:t>
            </w:r>
          </w:p>
          <w:p w:rsidR="00933442" w:rsidRPr="00CE10D5" w:rsidRDefault="00933442" w:rsidP="00EA38E4">
            <w:pPr>
              <w:pStyle w:val="P22"/>
              <w:spacing w:before="72"/>
              <w:ind w:left="0" w:right="1134"/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</w:pPr>
            <w:r w:rsidRPr="00CE10D5"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  <w:t>"היועץ המשפטי לממשלה ונציגיו, ואלה הם:</w:t>
            </w:r>
          </w:p>
          <w:p w:rsidR="00933442" w:rsidRPr="00CE10D5" w:rsidRDefault="00933442" w:rsidP="00EA38E4">
            <w:pPr>
              <w:pStyle w:val="P33"/>
              <w:spacing w:before="72"/>
              <w:ind w:left="0" w:right="1134"/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</w:pPr>
            <w:r w:rsidRPr="00CE10D5"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  <w:t xml:space="preserve">פרקליט המדינה, משנהו, פרקליטי המחוז ופרקליטים אחרים מפרקליטות המדינה ששר המשפטים קבע את </w:t>
            </w:r>
            <w:proofErr w:type="spellStart"/>
            <w:r w:rsidRPr="00CE10D5"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  <w:t>תאר</w:t>
            </w:r>
            <w:r w:rsidRPr="00CE10D5">
              <w:rPr>
                <w:rFonts w:ascii="Aharoni" w:eastAsia="Arial Unicode MS" w:hAnsi="Aharoni" w:cs="Guttman Yad-Brush" w:hint="cs"/>
                <w:snapToGrid w:val="0"/>
                <w:color w:val="000000"/>
                <w:rtl/>
                <w:lang w:eastAsia="ja-JP"/>
              </w:rPr>
              <w:t>י</w:t>
            </w:r>
            <w:r w:rsidRPr="00CE10D5"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  <w:t>הם</w:t>
            </w:r>
            <w:proofErr w:type="spellEnd"/>
            <w:r w:rsidRPr="00CE10D5">
              <w:rPr>
                <w:rFonts w:ascii="Aharoni" w:eastAsia="Arial Unicode MS" w:hAnsi="Aharoni" w:cs="Guttman Yad-Brush"/>
                <w:snapToGrid w:val="0"/>
                <w:color w:val="000000"/>
                <w:rtl/>
                <w:lang w:eastAsia="ja-JP"/>
              </w:rPr>
              <w:t xml:space="preserve"> בצו שפורסם ברשומות;"]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</w:p>
        </w:tc>
        <w:tc>
          <w:tcPr>
            <w:tcW w:w="5897" w:type="dxa"/>
          </w:tcPr>
          <w:p w:rsidR="00933442" w:rsidRDefault="00933442" w:rsidP="00EA38E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"רשות חוקרת"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רשות המוסמכת על פי דין לחקור עבירה."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תיקון סעיף 241</w:t>
            </w: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5" w:type="dxa"/>
            <w:gridSpan w:val="3"/>
          </w:tcPr>
          <w:p w:rsidR="00933442" w:rsidRPr="000A3E1E" w:rsidRDefault="00933442" w:rsidP="00EA38E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בסעיף 241(ב) לחוק העיקרי, אחרי "חוקר כאמור יעביר" יבוא "בכפוף להוראות סעיף 60(ה1)". 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</w:pPr>
            <w:r>
              <w:rPr>
                <w:rFonts w:hint="cs"/>
                <w:rtl/>
              </w:rPr>
              <w:t xml:space="preserve">תיקון </w:t>
            </w:r>
            <w:r w:rsidRPr="000A3E1E">
              <w:rPr>
                <w:rFonts w:hint="cs"/>
                <w:rtl/>
              </w:rPr>
              <w:t>חוק סדר הדין הפלילי (חקירת חשודים)</w:t>
            </w: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5" w:type="dxa"/>
            <w:gridSpan w:val="3"/>
          </w:tcPr>
          <w:p w:rsidR="00933442" w:rsidRDefault="00933442" w:rsidP="00EA38E4">
            <w:pPr>
              <w:pStyle w:val="TableBlock"/>
              <w:rPr>
                <w:rtl/>
              </w:rPr>
            </w:pPr>
            <w:r w:rsidRPr="000A3E1E">
              <w:rPr>
                <w:rFonts w:hint="cs"/>
                <w:rtl/>
              </w:rPr>
              <w:t xml:space="preserve">בחוק סדר הדין הפלילי (חקירת חשודים), תשס"ב-2002, בסעיף </w:t>
            </w:r>
            <w:r>
              <w:rPr>
                <w:rFonts w:hint="cs"/>
                <w:rtl/>
              </w:rPr>
              <w:t>13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3"/>
          </w:tcPr>
          <w:p w:rsidR="00933442" w:rsidRPr="000A3E1E" w:rsidRDefault="00933442" w:rsidP="00EA38E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כותרת הסעיף יבוא "עונשין";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3"/>
          </w:tcPr>
          <w:p w:rsidR="00933442" w:rsidRDefault="00933442" w:rsidP="00EA38E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האמור בו יסומן "(א)", ובסופו יבוא: 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933442" w:rsidRPr="004B3F5A" w:rsidRDefault="00933442" w:rsidP="00EA38E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2"/>
          </w:tcPr>
          <w:p w:rsidR="00933442" w:rsidRPr="004B3F5A" w:rsidRDefault="00933442" w:rsidP="00CE10D5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0A3E1E">
              <w:rPr>
                <w:rFonts w:hint="cs"/>
                <w:rtl/>
              </w:rPr>
              <w:t>(ב)</w:t>
            </w:r>
            <w:r w:rsidRPr="000A3E1E">
              <w:rPr>
                <w:rtl/>
              </w:rPr>
              <w:tab/>
              <w:t>המ</w:t>
            </w:r>
            <w:r w:rsidRPr="000A3E1E">
              <w:rPr>
                <w:rFonts w:hint="cs"/>
                <w:rtl/>
              </w:rPr>
              <w:t xml:space="preserve">פרסם מידע מחומר חקירה </w:t>
            </w:r>
            <w:r>
              <w:rPr>
                <w:rFonts w:hint="cs"/>
                <w:rtl/>
              </w:rPr>
              <w:t xml:space="preserve">או המוסר חומר כאמור </w:t>
            </w:r>
            <w:r w:rsidRPr="000A3E1E">
              <w:rPr>
                <w:rFonts w:hint="cs"/>
                <w:rtl/>
              </w:rPr>
              <w:t xml:space="preserve">לאדם שאינו מוסמך לקבלו, בלא רשות בית משפט, דינו </w:t>
            </w:r>
            <w:r w:rsidRPr="000A3E1E">
              <w:rPr>
                <w:rtl/>
              </w:rPr>
              <w:t>–</w:t>
            </w:r>
            <w:r w:rsidRPr="000A3E1E">
              <w:rPr>
                <w:rFonts w:hint="cs"/>
                <w:rtl/>
              </w:rPr>
              <w:t xml:space="preserve"> מאסר שנה</w:t>
            </w:r>
            <w:r>
              <w:rPr>
                <w:rFonts w:hint="cs"/>
                <w:rtl/>
              </w:rPr>
              <w:t>;</w:t>
            </w:r>
          </w:p>
        </w:tc>
      </w:tr>
      <w:tr w:rsidR="00933442" w:rsidTr="00EA38E4">
        <w:trPr>
          <w:cantSplit/>
          <w:trHeight w:val="60"/>
        </w:trPr>
        <w:tc>
          <w:tcPr>
            <w:tcW w:w="1869" w:type="dxa"/>
          </w:tcPr>
          <w:p w:rsidR="00933442" w:rsidRDefault="00933442" w:rsidP="00EA38E4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933442" w:rsidRDefault="00933442" w:rsidP="00EA38E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933442" w:rsidRPr="004B3F5A" w:rsidRDefault="00933442" w:rsidP="00EA38E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2"/>
          </w:tcPr>
          <w:p w:rsidR="00933442" w:rsidRDefault="00933442" w:rsidP="00EA38E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נודע ליועץ המשפטי לממשלה על ביצוע עבירה לפי הוראת סעיף קטן (ב), יורה היועץ המשפטי לממשלה או מי שהוא הסמיך לכך על פתיחת חקירה."</w:t>
            </w:r>
          </w:p>
        </w:tc>
      </w:tr>
    </w:tbl>
    <w:p w:rsidR="00933442" w:rsidRPr="00933442" w:rsidRDefault="00933442" w:rsidP="00117F26">
      <w:pPr>
        <w:pStyle w:val="HeadHatzaotHok"/>
        <w:spacing w:before="0"/>
        <w:rPr>
          <w:rtl/>
        </w:rPr>
      </w:pPr>
    </w:p>
    <w:p w:rsidR="00637DB9" w:rsidRDefault="00637DB9" w:rsidP="00637DB9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ED0C38" w:rsidRDefault="00ED0C38" w:rsidP="00117F26">
      <w:pPr>
        <w:pStyle w:val="HesberHeading"/>
        <w:rPr>
          <w:rtl/>
        </w:rPr>
      </w:pPr>
      <w:bookmarkStart w:id="5" w:name="ChildrenRight"/>
    </w:p>
    <w:p w:rsidR="00ED0C38" w:rsidRDefault="00ED0C38" w:rsidP="00117F26">
      <w:pPr>
        <w:pStyle w:val="HesberHeading"/>
        <w:rPr>
          <w:rtl/>
        </w:rPr>
      </w:pPr>
    </w:p>
    <w:p w:rsidR="0069174C" w:rsidRDefault="0069174C" w:rsidP="00117F26">
      <w:pPr>
        <w:pStyle w:val="HesberHeading"/>
        <w:rPr>
          <w:rtl/>
        </w:rPr>
      </w:pPr>
      <w:r>
        <w:rPr>
          <w:rFonts w:hint="cs"/>
          <w:rtl/>
        </w:rPr>
        <w:t xml:space="preserve"> </w:t>
      </w:r>
      <w:bookmarkStart w:id="6" w:name="AffectCost"/>
      <w:bookmarkEnd w:id="5"/>
      <w:r>
        <w:rPr>
          <w:rFonts w:hint="cs"/>
          <w:rtl/>
        </w:rPr>
        <w:t xml:space="preserve"> </w:t>
      </w:r>
      <w:bookmarkEnd w:id="6"/>
    </w:p>
    <w:p w:rsidR="00AC4CCE" w:rsidRPr="00ED0C38" w:rsidRDefault="0069174C" w:rsidP="00ED0C38">
      <w:pPr>
        <w:pStyle w:val="HesberWriters"/>
        <w:spacing w:after="0"/>
        <w:rPr>
          <w:b w:val="0"/>
          <w:bCs w:val="0"/>
          <w:szCs w:val="20"/>
          <w:rtl/>
        </w:rPr>
      </w:pPr>
      <w:bookmarkStart w:id="7" w:name="LGSInitiators"/>
      <w:r>
        <w:rPr>
          <w:rFonts w:hint="cs"/>
          <w:rtl/>
        </w:rPr>
        <w:t>יוזם: חבר הכנסת דוד אמסלם</w:t>
      </w:r>
      <w:bookmarkEnd w:id="7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8" w:name="LGSSugestions"/>
      <w:r>
        <w:rPr>
          <w:rFonts w:hint="cs"/>
          <w:b w:val="0"/>
          <w:bCs w:val="0"/>
          <w:rtl/>
        </w:rPr>
        <w:t xml:space="preserve"> </w:t>
      </w:r>
      <w:bookmarkEnd w:id="8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sectPr w:rsidR="00AC4CCE" w:rsidRPr="00ED0C38" w:rsidSect="003D61FD">
      <w:footerReference w:type="even" r:id="rId13"/>
      <w:footerReference w:type="default" r:id="rId14"/>
      <w:headerReference w:type="first" r:id="rId15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765" w:rsidRDefault="00A56765" w:rsidP="003D61FD">
      <w:pPr>
        <w:pStyle w:val="HeadHatzaotHok"/>
      </w:pPr>
      <w:r>
        <w:separator/>
      </w:r>
    </w:p>
  </w:endnote>
  <w:endnote w:type="continuationSeparator" w:id="0">
    <w:p w:rsidR="00A56765" w:rsidRDefault="00A56765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CE10D5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765" w:rsidRDefault="00A56765" w:rsidP="003D61FD">
      <w:pPr>
        <w:pStyle w:val="HeadHatzaotHok"/>
        <w:jc w:val="both"/>
      </w:pPr>
      <w:r>
        <w:separator/>
      </w:r>
    </w:p>
  </w:footnote>
  <w:footnote w:type="continuationSeparator" w:id="0">
    <w:p w:rsidR="00A56765" w:rsidRDefault="00A56765" w:rsidP="003D61FD">
      <w:pPr>
        <w:pStyle w:val="HeadHatzaotHok"/>
      </w:pPr>
      <w:r>
        <w:continuationSeparator/>
      </w:r>
    </w:p>
  </w:footnote>
  <w:footnote w:id="1">
    <w:p w:rsidR="00637DB9" w:rsidRDefault="00637DB9" w:rsidP="00117F26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2" w:name="LGS_PrivateNum"/>
      <w:r>
        <w:rPr>
          <w:rFonts w:hint="cs"/>
          <w:rtl/>
        </w:rPr>
        <w:t>פ/4653/20</w:t>
      </w:r>
      <w:bookmarkEnd w:id="2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3" w:name="LGS_Internal_ID"/>
      <w:r>
        <w:rPr>
          <w:rFonts w:hint="cs"/>
          <w:rtl/>
        </w:rPr>
        <w:t>2021344</w:t>
      </w:r>
      <w:bookmarkEnd w:id="3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4" w:name="PreDate"/>
      <w:r>
        <w:rPr>
          <w:rFonts w:hint="cs"/>
          <w:rtl/>
        </w:rPr>
        <w:t xml:space="preserve">י"ט בחשוון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 (8 בנובמבר 2017)</w:t>
      </w:r>
      <w:bookmarkEnd w:id="4"/>
      <w:r w:rsidR="00337103">
        <w:rPr>
          <w:rFonts w:hint="cs"/>
          <w:rtl/>
        </w:rPr>
        <w:t>.</w:t>
      </w:r>
    </w:p>
  </w:footnote>
  <w:footnote w:id="2">
    <w:p w:rsidR="00933442" w:rsidRDefault="00933442" w:rsidP="00933442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 xml:space="preserve">ס"ח </w:t>
      </w:r>
      <w:proofErr w:type="spellStart"/>
      <w:r>
        <w:rPr>
          <w:sz w:val="20"/>
          <w:rtl/>
        </w:rPr>
        <w:t>התשמ"ב</w:t>
      </w:r>
      <w:proofErr w:type="spellEnd"/>
      <w:r>
        <w:rPr>
          <w:sz w:val="20"/>
          <w:rtl/>
        </w:rPr>
        <w:t>, עמ' 43</w:t>
      </w:r>
      <w:r>
        <w:rPr>
          <w:rFonts w:hint="cs"/>
          <w:sz w:val="20"/>
          <w:rtl/>
        </w:rPr>
        <w:t xml:space="preserve">; ס"ח </w:t>
      </w:r>
      <w:proofErr w:type="spellStart"/>
      <w:r>
        <w:rPr>
          <w:rFonts w:hint="cs"/>
          <w:sz w:val="20"/>
          <w:rtl/>
        </w:rPr>
        <w:t>התשע"ז</w:t>
      </w:r>
      <w:proofErr w:type="spellEnd"/>
      <w:r>
        <w:rPr>
          <w:rFonts w:hint="cs"/>
          <w:sz w:val="20"/>
          <w:rtl/>
        </w:rPr>
        <w:t>, עמ' 1200.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A3D" w:rsidRPr="002D6A3D" w:rsidRDefault="00933442" w:rsidP="00CE10D5">
    <w:pPr>
      <w:pStyle w:val="ab"/>
      <w:jc w:val="right"/>
      <w:rPr>
        <w:rFonts w:asciiTheme="minorBidi" w:hAnsiTheme="minorBidi" w:cstheme="minorBidi"/>
        <w:b/>
        <w:bCs/>
        <w:color w:val="FF0000"/>
        <w:sz w:val="22"/>
        <w:szCs w:val="22"/>
      </w:rPr>
    </w:pPr>
    <w:r>
      <w:rPr>
        <w:rFonts w:asciiTheme="minorBidi" w:hAnsiTheme="minorBidi" w:cstheme="minorBidi" w:hint="cs"/>
        <w:b/>
        <w:bCs/>
        <w:color w:val="FF0000"/>
        <w:sz w:val="22"/>
        <w:szCs w:val="22"/>
        <w:rtl/>
      </w:rPr>
      <w:t xml:space="preserve">נוסח </w:t>
    </w:r>
    <w:r w:rsidR="00CE10D5">
      <w:rPr>
        <w:rFonts w:asciiTheme="minorBidi" w:hAnsiTheme="minorBidi" w:cstheme="minorBidi" w:hint="cs"/>
        <w:b/>
        <w:bCs/>
        <w:color w:val="FF0000"/>
        <w:sz w:val="22"/>
        <w:szCs w:val="22"/>
        <w:rtl/>
      </w:rPr>
      <w:t>להפצה</w:t>
    </w:r>
    <w:r>
      <w:rPr>
        <w:rFonts w:asciiTheme="minorBidi" w:hAnsiTheme="minorBidi" w:cstheme="minorBidi" w:hint="cs"/>
        <w:b/>
        <w:bCs/>
        <w:color w:val="FF0000"/>
        <w:sz w:val="22"/>
        <w:szCs w:val="22"/>
        <w:rtl/>
      </w:rPr>
      <w:t xml:space="preserve"> 16/11/17 שעה </w:t>
    </w:r>
    <w:r w:rsidR="00CE10D5">
      <w:rPr>
        <w:rFonts w:asciiTheme="minorBidi" w:hAnsiTheme="minorBidi" w:cstheme="minorBidi" w:hint="cs"/>
        <w:b/>
        <w:bCs/>
        <w:color w:val="FF0000"/>
        <w:sz w:val="22"/>
        <w:szCs w:val="22"/>
        <w:rtl/>
      </w:rPr>
      <w:t>14:00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A0E2F"/>
    <w:rsid w:val="000E3B18"/>
    <w:rsid w:val="000E4563"/>
    <w:rsid w:val="000E7E08"/>
    <w:rsid w:val="000F6D7C"/>
    <w:rsid w:val="00117F26"/>
    <w:rsid w:val="00123F23"/>
    <w:rsid w:val="001253F6"/>
    <w:rsid w:val="00185E46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6F65"/>
    <w:rsid w:val="002C4285"/>
    <w:rsid w:val="002D6A3D"/>
    <w:rsid w:val="002E1F11"/>
    <w:rsid w:val="002E6458"/>
    <w:rsid w:val="00331786"/>
    <w:rsid w:val="00337103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72FCA"/>
    <w:rsid w:val="004B1418"/>
    <w:rsid w:val="004B1FDD"/>
    <w:rsid w:val="004C68A2"/>
    <w:rsid w:val="004E5E15"/>
    <w:rsid w:val="004F4E19"/>
    <w:rsid w:val="0052521E"/>
    <w:rsid w:val="005527D3"/>
    <w:rsid w:val="005652C2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6301"/>
    <w:rsid w:val="0069174C"/>
    <w:rsid w:val="00696BF6"/>
    <w:rsid w:val="006B2680"/>
    <w:rsid w:val="006B4B3F"/>
    <w:rsid w:val="006C2108"/>
    <w:rsid w:val="006D0910"/>
    <w:rsid w:val="006F219C"/>
    <w:rsid w:val="00710237"/>
    <w:rsid w:val="00720C48"/>
    <w:rsid w:val="00732EFC"/>
    <w:rsid w:val="007428E7"/>
    <w:rsid w:val="00747481"/>
    <w:rsid w:val="00765153"/>
    <w:rsid w:val="00787D9C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A5C70"/>
    <w:rsid w:val="008D3386"/>
    <w:rsid w:val="00933442"/>
    <w:rsid w:val="009579F7"/>
    <w:rsid w:val="009636A6"/>
    <w:rsid w:val="009A757B"/>
    <w:rsid w:val="009B1679"/>
    <w:rsid w:val="009C37CC"/>
    <w:rsid w:val="009C7FC7"/>
    <w:rsid w:val="009D0269"/>
    <w:rsid w:val="009E19BF"/>
    <w:rsid w:val="009E4059"/>
    <w:rsid w:val="009F0EF8"/>
    <w:rsid w:val="00A15945"/>
    <w:rsid w:val="00A42EF5"/>
    <w:rsid w:val="00A54DE5"/>
    <w:rsid w:val="00A56765"/>
    <w:rsid w:val="00A9474C"/>
    <w:rsid w:val="00AA1665"/>
    <w:rsid w:val="00AA5399"/>
    <w:rsid w:val="00AC4CCE"/>
    <w:rsid w:val="00AD65CC"/>
    <w:rsid w:val="00AD7837"/>
    <w:rsid w:val="00B02BDB"/>
    <w:rsid w:val="00B93F34"/>
    <w:rsid w:val="00B97F97"/>
    <w:rsid w:val="00BA09A3"/>
    <w:rsid w:val="00BA2FCA"/>
    <w:rsid w:val="00BD0880"/>
    <w:rsid w:val="00BE32F2"/>
    <w:rsid w:val="00BE71CC"/>
    <w:rsid w:val="00C0211F"/>
    <w:rsid w:val="00C35CC5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CE10D5"/>
    <w:rsid w:val="00D11073"/>
    <w:rsid w:val="00D15B56"/>
    <w:rsid w:val="00D24673"/>
    <w:rsid w:val="00D31A49"/>
    <w:rsid w:val="00D4588A"/>
    <w:rsid w:val="00D82284"/>
    <w:rsid w:val="00D86F30"/>
    <w:rsid w:val="00D925C9"/>
    <w:rsid w:val="00D92FDC"/>
    <w:rsid w:val="00D9552D"/>
    <w:rsid w:val="00DE4310"/>
    <w:rsid w:val="00DF5CB6"/>
    <w:rsid w:val="00E36A7E"/>
    <w:rsid w:val="00E449A1"/>
    <w:rsid w:val="00E61062"/>
    <w:rsid w:val="00E9738E"/>
    <w:rsid w:val="00EC7688"/>
    <w:rsid w:val="00EC7E05"/>
    <w:rsid w:val="00ED0C38"/>
    <w:rsid w:val="00EE492B"/>
    <w:rsid w:val="00F05158"/>
    <w:rsid w:val="00F450B0"/>
    <w:rsid w:val="00F50EED"/>
    <w:rsid w:val="00F752D4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A676B6"/>
  <w15:docId w15:val="{ECC8CB76-7046-4F84-B3D7-BAE9D7772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F2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117F2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17F26"/>
    <w:rPr>
      <w:sz w:val="36"/>
      <w:szCs w:val="52"/>
    </w:rPr>
  </w:style>
  <w:style w:type="paragraph" w:customStyle="1" w:styleId="Cover3-Haknesset">
    <w:name w:val="Cover 3-Haknesset"/>
    <w:basedOn w:val="Cover1-Reshumot"/>
    <w:rsid w:val="00117F26"/>
    <w:rPr>
      <w:b/>
      <w:bCs/>
      <w:spacing w:val="60"/>
    </w:rPr>
  </w:style>
  <w:style w:type="paragraph" w:customStyle="1" w:styleId="Cover4-Date">
    <w:name w:val="Cover 4-Date"/>
    <w:basedOn w:val="a"/>
    <w:rsid w:val="00117F2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5">
    <w:name w:val="endnote reference"/>
    <w:basedOn w:val="a0"/>
    <w:semiHidden/>
    <w:rsid w:val="00117F26"/>
    <w:rPr>
      <w:vertAlign w:val="superscript"/>
    </w:rPr>
  </w:style>
  <w:style w:type="paragraph" w:customStyle="1" w:styleId="Ragil">
    <w:name w:val="Ragil"/>
    <w:basedOn w:val="a"/>
    <w:rsid w:val="00117F2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6">
    <w:name w:val="endnote text"/>
    <w:basedOn w:val="a"/>
    <w:semiHidden/>
    <w:rsid w:val="00117F26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117F26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basedOn w:val="a0"/>
    <w:rsid w:val="00117F26"/>
    <w:rPr>
      <w:vertAlign w:val="superscript"/>
    </w:rPr>
  </w:style>
  <w:style w:type="paragraph" w:styleId="a9">
    <w:name w:val="footnote text"/>
    <w:basedOn w:val="a"/>
    <w:link w:val="aa"/>
    <w:autoRedefine/>
    <w:rsid w:val="00117F2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117F2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117F2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117F26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117F2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b">
    <w:name w:val="header"/>
    <w:basedOn w:val="a"/>
    <w:link w:val="ac"/>
    <w:rsid w:val="00117F26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117F2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117F26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117F26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117F26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117F26"/>
  </w:style>
  <w:style w:type="paragraph" w:customStyle="1" w:styleId="TableText">
    <w:name w:val="Table Text"/>
    <w:basedOn w:val="a"/>
    <w:rsid w:val="00117F2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117F26"/>
    <w:pPr>
      <w:ind w:right="0"/>
      <w:jc w:val="both"/>
    </w:pPr>
  </w:style>
  <w:style w:type="paragraph" w:customStyle="1" w:styleId="TableBlockOutdent">
    <w:name w:val="Table BlockOutdent"/>
    <w:basedOn w:val="TableBlock"/>
    <w:rsid w:val="00117F26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117F26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117F26"/>
  </w:style>
  <w:style w:type="paragraph" w:customStyle="1" w:styleId="TableInnerSideHeading">
    <w:name w:val="Table InnerSideHeading"/>
    <w:basedOn w:val="TableSideHeading"/>
    <w:rsid w:val="00117F26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P22">
    <w:name w:val="P22"/>
    <w:basedOn w:val="a"/>
    <w:rsid w:val="00933442"/>
    <w:pPr>
      <w:widowControl/>
      <w:adjustRightInd/>
      <w:spacing w:before="60" w:line="240" w:lineRule="auto"/>
      <w:ind w:left="2835" w:right="1021" w:firstLine="0"/>
      <w:textAlignment w:val="auto"/>
    </w:pPr>
    <w:rPr>
      <w:rFonts w:ascii="Calibri" w:eastAsiaTheme="minorHAnsi" w:hAnsi="Calibri" w:cs="Calibri"/>
      <w:color w:val="auto"/>
      <w:spacing w:val="0"/>
      <w:sz w:val="22"/>
      <w:szCs w:val="22"/>
      <w:lang w:eastAsia="he-IL"/>
    </w:rPr>
  </w:style>
  <w:style w:type="paragraph" w:customStyle="1" w:styleId="P33">
    <w:name w:val="P33"/>
    <w:basedOn w:val="a"/>
    <w:rsid w:val="00933442"/>
    <w:pPr>
      <w:widowControl/>
      <w:adjustRightInd/>
      <w:spacing w:before="60" w:line="240" w:lineRule="auto"/>
      <w:ind w:left="2835" w:right="1474" w:firstLine="0"/>
      <w:textAlignment w:val="auto"/>
    </w:pPr>
    <w:rPr>
      <w:rFonts w:ascii="Calibri" w:eastAsiaTheme="minorHAnsi" w:hAnsi="Calibri" w:cs="Calibri"/>
      <w:color w:val="auto"/>
      <w:spacing w:val="0"/>
      <w:sz w:val="22"/>
      <w:szCs w:val="22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0A68E5-88CC-4A1E-AEA4-959C79833597}"/>
</file>

<file path=customXml/itemProps4.xml><?xml version="1.0" encoding="utf-8"?>
<ds:datastoreItem xmlns:ds="http://schemas.openxmlformats.org/officeDocument/2006/customXml" ds:itemID="{02CCB004-C83C-45AF-A477-FE402CF1B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6295D1D2-2085-4EBD-A9CC-B67F02298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עידו בן יצחק</cp:lastModifiedBy>
  <cp:revision>3</cp:revision>
  <cp:lastPrinted>2015-02-24T08:03:00Z</cp:lastPrinted>
  <dcterms:created xsi:type="dcterms:W3CDTF">2017-11-16T11:58:00Z</dcterms:created>
  <dcterms:modified xsi:type="dcterms:W3CDTF">2017-11-16T12:00:00Z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ee2a91f6-f8b9-4442-8fd0-2bf0d9302c97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2023305</vt:r8>
  </property>
</Properties>
</file>