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564219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FA2128">
      <w:pPr>
        <w:spacing w:line="360" w:lineRule="auto"/>
        <w:rPr>
          <w:rFonts w:cs="David"/>
          <w:b/>
          <w:bCs/>
          <w:sz w:val="26"/>
          <w:szCs w:val="26"/>
          <w:rtl/>
        </w:rPr>
      </w:pPr>
    </w:p>
    <w:p w14:paraId="7F6961A6" w14:textId="77777777" w:rsidR="00E13C27" w:rsidRDefault="008F6665" w:rsidP="001E7E87">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משה גפני</w:t>
      </w:r>
      <w:r>
        <w:br/>
      </w:r>
      <w:r>
        <w:rPr>
          <w:rFonts w:hint="cs"/>
          <w:b/>
          <w:bCs/>
          <w:rtl/>
        </w:rPr>
        <w:t xml:space="preserve"> </w:t>
      </w:r>
      <w:r>
        <w:tab/>
      </w:r>
      <w:r>
        <w:tab/>
      </w:r>
      <w:r>
        <w:tab/>
      </w:r>
      <w:r>
        <w:tab/>
      </w:r>
      <w:r>
        <w:rPr>
          <w:rFonts w:hint="cs"/>
          <w:b/>
          <w:bCs/>
          <w:rtl/>
        </w:rPr>
        <w:t>אורי מקלב</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C" w14:textId="768AC045" w:rsidR="00E13C27" w:rsidRDefault="0014195F" w:rsidP="00C021C4">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55D85A5"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פ/1383/20</w:t>
      </w:r>
      <w:bookmarkEnd w:id="7"/>
      <w:r w:rsidR="00E13C27" w:rsidRPr="00E06736">
        <w:rPr>
          <w:rFonts w:hint="cs"/>
          <w:rtl/>
        </w:rPr>
        <w:tab/>
      </w:r>
      <w:r w:rsidR="00E13C27" w:rsidRPr="00E06736">
        <w:rPr>
          <w:rFonts w:hint="cs"/>
          <w:rtl/>
        </w:rPr>
        <w:tab/>
      </w:r>
      <w:r w:rsidR="00E13C27" w:rsidRPr="00E06736">
        <w:rPr>
          <w:rFonts w:hint="cs"/>
          <w:rtl/>
        </w:rPr>
        <w:tab/>
      </w:r>
    </w:p>
    <w:p w14:paraId="4184F257" w14:textId="77777777" w:rsidR="00C021C4" w:rsidRDefault="00C021C4" w:rsidP="00C021C4">
      <w:pPr>
        <w:spacing w:before="0" w:line="360" w:lineRule="auto"/>
        <w:ind w:left="2880" w:firstLine="720"/>
        <w:rPr>
          <w:rFonts w:cs="David"/>
          <w:sz w:val="26"/>
          <w:szCs w:val="26"/>
          <w:rtl/>
        </w:rPr>
      </w:pPr>
    </w:p>
    <w:p w14:paraId="2451C4C1" w14:textId="5AFFDEEF" w:rsidR="00C021C4" w:rsidRDefault="00C021C4" w:rsidP="001E7E87">
      <w:pPr>
        <w:pStyle w:val="HeadHatzaotHok"/>
        <w:tabs>
          <w:tab w:val="left" w:pos="4071"/>
          <w:tab w:val="center" w:pos="4819"/>
        </w:tabs>
        <w:spacing w:before="0"/>
        <w:rPr>
          <w:sz w:val="26"/>
          <w:rtl/>
        </w:rPr>
      </w:pPr>
      <w:bookmarkStart w:id="8" w:name="Title"/>
      <w:r>
        <w:rPr>
          <w:sz w:val="26"/>
          <w:rtl/>
        </w:rPr>
        <w:t>הצע</w:t>
      </w:r>
      <w:r>
        <w:rPr>
          <w:rFonts w:hint="cs"/>
          <w:sz w:val="26"/>
          <w:rtl/>
        </w:rPr>
        <w:t xml:space="preserve">ת חוק איסור הונאה בכשרות (תיקון </w:t>
      </w:r>
      <w:r>
        <w:rPr>
          <w:sz w:val="26"/>
          <w:rtl/>
        </w:rPr>
        <w:t>–</w:t>
      </w:r>
      <w:r>
        <w:rPr>
          <w:rFonts w:hint="cs"/>
          <w:sz w:val="26"/>
          <w:rtl/>
        </w:rPr>
        <w:t xml:space="preserve"> הגדרת המינוח כשר לעניין הטעיה)</w:t>
      </w:r>
      <w:r w:rsidRPr="000F0A84">
        <w:rPr>
          <w:sz w:val="26"/>
          <w:rtl/>
        </w:rPr>
        <w:t xml:space="preserve">, </w:t>
      </w:r>
      <w:proofErr w:type="spellStart"/>
      <w:r w:rsidRPr="003C2A99">
        <w:rPr>
          <w:sz w:val="26"/>
          <w:rtl/>
        </w:rPr>
        <w:t>התשע"ה</w:t>
      </w:r>
      <w:proofErr w:type="spellEnd"/>
      <w:r>
        <w:rPr>
          <w:rFonts w:hint="cs"/>
          <w:sz w:val="26"/>
          <w:rtl/>
        </w:rPr>
        <w:t>–</w:t>
      </w:r>
      <w:bookmarkEnd w:id="8"/>
      <w:r>
        <w:rPr>
          <w:rFonts w:hint="cs"/>
          <w:sz w:val="26"/>
          <w:rtl/>
        </w:rPr>
        <w:t>2015</w:t>
      </w:r>
    </w:p>
    <w:p w14:paraId="6FF5EF16" w14:textId="77777777" w:rsidR="00C021C4" w:rsidRDefault="00C021C4" w:rsidP="00C021C4">
      <w:pPr>
        <w:pStyle w:val="HeadHatzaotHok"/>
        <w:tabs>
          <w:tab w:val="left" w:pos="4071"/>
          <w:tab w:val="center" w:pos="4819"/>
        </w:tabs>
        <w:spacing w:before="0"/>
        <w:rPr>
          <w:sz w:val="26"/>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C021C4" w14:paraId="43C54B7B" w14:textId="77777777" w:rsidTr="000F0A84">
        <w:trPr>
          <w:cantSplit/>
        </w:trPr>
        <w:tc>
          <w:tcPr>
            <w:tcW w:w="1872" w:type="dxa"/>
            <w:hideMark/>
          </w:tcPr>
          <w:p w14:paraId="48E20A11" w14:textId="77777777" w:rsidR="00C021C4" w:rsidRPr="002B5372" w:rsidRDefault="00C021C4" w:rsidP="005C2E97">
            <w:pPr>
              <w:pStyle w:val="TableSideHeading"/>
              <w:rPr>
                <w:sz w:val="26"/>
              </w:rPr>
            </w:pPr>
            <w:r>
              <w:rPr>
                <w:rFonts w:hint="cs"/>
                <w:sz w:val="26"/>
                <w:rtl/>
              </w:rPr>
              <w:t>תיקון סעיף 1</w:t>
            </w:r>
          </w:p>
        </w:tc>
        <w:tc>
          <w:tcPr>
            <w:tcW w:w="624" w:type="dxa"/>
            <w:hideMark/>
          </w:tcPr>
          <w:p w14:paraId="22A8F762" w14:textId="77777777" w:rsidR="00C021C4" w:rsidRDefault="00C021C4" w:rsidP="005C2E97">
            <w:pPr>
              <w:pStyle w:val="TableText"/>
            </w:pPr>
            <w:r>
              <w:rPr>
                <w:rFonts w:hint="cs"/>
                <w:sz w:val="26"/>
                <w:rtl/>
              </w:rPr>
              <w:t>1.</w:t>
            </w:r>
          </w:p>
        </w:tc>
        <w:tc>
          <w:tcPr>
            <w:tcW w:w="7143" w:type="dxa"/>
            <w:hideMark/>
          </w:tcPr>
          <w:p w14:paraId="1192B20D" w14:textId="75A31F89" w:rsidR="00C021C4" w:rsidRPr="00327CCD" w:rsidRDefault="00C021C4" w:rsidP="00525E82">
            <w:pPr>
              <w:pStyle w:val="TableBlock"/>
              <w:rPr>
                <w:sz w:val="26"/>
              </w:rPr>
            </w:pPr>
            <w:r>
              <w:rPr>
                <w:rFonts w:hint="cs"/>
                <w:sz w:val="26"/>
                <w:rtl/>
              </w:rPr>
              <w:t xml:space="preserve">בחוק איסור הונאה בכשרות, </w:t>
            </w:r>
            <w:proofErr w:type="spellStart"/>
            <w:r w:rsidR="00525E82">
              <w:rPr>
                <w:rFonts w:hint="cs"/>
                <w:sz w:val="26"/>
                <w:rtl/>
              </w:rPr>
              <w:t>ה</w:t>
            </w:r>
            <w:r>
              <w:rPr>
                <w:rFonts w:hint="cs"/>
                <w:sz w:val="26"/>
                <w:rtl/>
              </w:rPr>
              <w:t>תשמ"ג</w:t>
            </w:r>
            <w:proofErr w:type="spellEnd"/>
            <w:r w:rsidR="00525E82">
              <w:rPr>
                <w:rFonts w:hint="eastAsia"/>
                <w:sz w:val="26"/>
                <w:rtl/>
              </w:rPr>
              <w:t>–</w:t>
            </w:r>
            <w:r>
              <w:rPr>
                <w:rFonts w:hint="cs"/>
                <w:sz w:val="26"/>
                <w:rtl/>
              </w:rPr>
              <w:t>1983</w:t>
            </w:r>
            <w:r w:rsidR="00525E82" w:rsidRPr="000F0A84">
              <w:rPr>
                <w:rStyle w:val="a5"/>
                <w:szCs w:val="20"/>
                <w:rtl/>
              </w:rPr>
              <w:footnoteReference w:id="2"/>
            </w:r>
            <w:r>
              <w:rPr>
                <w:rFonts w:hint="cs"/>
                <w:sz w:val="26"/>
                <w:rtl/>
              </w:rPr>
              <w:t xml:space="preserve">, בסעיף 1, בסופו יבוא: </w:t>
            </w:r>
          </w:p>
        </w:tc>
      </w:tr>
      <w:tr w:rsidR="00327CCD" w14:paraId="36699927" w14:textId="77777777" w:rsidTr="000F0A84">
        <w:trPr>
          <w:cantSplit/>
        </w:trPr>
        <w:tc>
          <w:tcPr>
            <w:tcW w:w="1872" w:type="dxa"/>
          </w:tcPr>
          <w:p w14:paraId="111ADB0E" w14:textId="77777777" w:rsidR="00327CCD" w:rsidRDefault="00327CCD" w:rsidP="005C2E97">
            <w:pPr>
              <w:pStyle w:val="TableSideHeading"/>
              <w:rPr>
                <w:sz w:val="26"/>
                <w:rtl/>
              </w:rPr>
            </w:pPr>
          </w:p>
        </w:tc>
        <w:tc>
          <w:tcPr>
            <w:tcW w:w="624" w:type="dxa"/>
          </w:tcPr>
          <w:p w14:paraId="4E526AC6" w14:textId="77777777" w:rsidR="00327CCD" w:rsidRDefault="00327CCD" w:rsidP="00327CCD">
            <w:pPr>
              <w:pStyle w:val="TableText"/>
              <w:rPr>
                <w:rtl/>
              </w:rPr>
            </w:pPr>
          </w:p>
        </w:tc>
        <w:tc>
          <w:tcPr>
            <w:tcW w:w="7143" w:type="dxa"/>
          </w:tcPr>
          <w:p w14:paraId="4AD70863" w14:textId="073AE32C" w:rsidR="00327CCD" w:rsidRPr="00525E82" w:rsidRDefault="00C635CE" w:rsidP="00525E82">
            <w:pPr>
              <w:pStyle w:val="TableBlockOutdent"/>
              <w:rPr>
                <w:rtl/>
              </w:rPr>
            </w:pPr>
            <w:r w:rsidRPr="00525E82">
              <w:rPr>
                <w:rFonts w:hint="cs"/>
                <w:rtl/>
              </w:rPr>
              <w:t>"</w:t>
            </w:r>
            <w:r w:rsidR="00327CCD" w:rsidRPr="00525E82">
              <w:rPr>
                <w:rFonts w:hint="cs"/>
                <w:rtl/>
              </w:rPr>
              <w:t xml:space="preserve">"כשר" </w:t>
            </w:r>
            <w:r w:rsidR="00327CCD" w:rsidRPr="00525E82">
              <w:rPr>
                <w:rtl/>
              </w:rPr>
              <w:t>–</w:t>
            </w:r>
            <w:r w:rsidR="00327CCD" w:rsidRPr="00525E82">
              <w:rPr>
                <w:rFonts w:hint="cs"/>
                <w:rtl/>
              </w:rPr>
              <w:t xml:space="preserve"> לרבות תעודה, סימון או פרסום שעלולים לגרום לצרכן להניח שדיני הכשרות נשמרים, אף אם צוין במפורש בתעודה, בסימון או ב</w:t>
            </w:r>
            <w:r w:rsidRPr="00525E82">
              <w:rPr>
                <w:rFonts w:hint="cs"/>
                <w:rtl/>
              </w:rPr>
              <w:t>פרסום</w:t>
            </w:r>
            <w:r w:rsidR="00327CCD" w:rsidRPr="00525E82">
              <w:rPr>
                <w:rFonts w:hint="cs"/>
                <w:rtl/>
              </w:rPr>
              <w:t xml:space="preserve"> שלא מדובר בתעודת </w:t>
            </w:r>
            <w:r w:rsidR="008213F2" w:rsidRPr="00525E82">
              <w:rPr>
                <w:rFonts w:hint="cs"/>
                <w:rtl/>
              </w:rPr>
              <w:t>הכשר</w:t>
            </w:r>
            <w:r w:rsidRPr="00525E82">
              <w:rPr>
                <w:rFonts w:hint="cs"/>
                <w:rtl/>
              </w:rPr>
              <w:t xml:space="preserve"> לפי סעיף 2</w:t>
            </w:r>
            <w:r w:rsidR="00327CCD" w:rsidRPr="00525E82">
              <w:rPr>
                <w:rFonts w:hint="cs"/>
                <w:rtl/>
              </w:rPr>
              <w:t>.</w:t>
            </w:r>
            <w:r w:rsidRPr="00525E82">
              <w:rPr>
                <w:rFonts w:hint="cs"/>
                <w:rtl/>
              </w:rPr>
              <w:t>"</w:t>
            </w:r>
          </w:p>
        </w:tc>
      </w:tr>
    </w:tbl>
    <w:p w14:paraId="02ED79DA" w14:textId="77777777" w:rsidR="00C021C4" w:rsidRDefault="00C021C4" w:rsidP="00C021C4">
      <w:pPr>
        <w:pStyle w:val="HeadDivreiHesber"/>
        <w:rPr>
          <w:rtl/>
        </w:rPr>
      </w:pPr>
      <w:r>
        <w:rPr>
          <w:rFonts w:hint="cs"/>
          <w:rtl/>
        </w:rPr>
        <w:t>דברי הסבר</w:t>
      </w:r>
    </w:p>
    <w:p w14:paraId="6B6858FD" w14:textId="3A343BF7" w:rsidR="00C021C4" w:rsidRPr="00511620" w:rsidRDefault="00C021C4" w:rsidP="003D2B00">
      <w:pPr>
        <w:pStyle w:val="Hesber"/>
        <w:rPr>
          <w:rtl/>
        </w:rPr>
      </w:pPr>
      <w:r w:rsidRPr="00511620">
        <w:rPr>
          <w:rFonts w:hint="eastAsia"/>
          <w:rtl/>
        </w:rPr>
        <w:t>מטרתו</w:t>
      </w:r>
      <w:r w:rsidRPr="00511620">
        <w:rPr>
          <w:rtl/>
        </w:rPr>
        <w:t xml:space="preserve"> </w:t>
      </w:r>
      <w:r w:rsidRPr="00511620">
        <w:rPr>
          <w:rFonts w:hint="eastAsia"/>
          <w:rtl/>
        </w:rPr>
        <w:t>של</w:t>
      </w:r>
      <w:r w:rsidRPr="00511620">
        <w:rPr>
          <w:rtl/>
        </w:rPr>
        <w:t xml:space="preserve"> </w:t>
      </w:r>
      <w:r w:rsidRPr="00511620">
        <w:rPr>
          <w:rFonts w:hint="eastAsia"/>
          <w:rtl/>
        </w:rPr>
        <w:t>חוק</w:t>
      </w:r>
      <w:r w:rsidRPr="00511620">
        <w:rPr>
          <w:rtl/>
        </w:rPr>
        <w:t xml:space="preserve"> </w:t>
      </w:r>
      <w:r w:rsidRPr="00511620">
        <w:rPr>
          <w:rFonts w:hint="eastAsia"/>
          <w:rtl/>
        </w:rPr>
        <w:t>איסור</w:t>
      </w:r>
      <w:r w:rsidRPr="00511620">
        <w:rPr>
          <w:rtl/>
        </w:rPr>
        <w:t xml:space="preserve"> </w:t>
      </w:r>
      <w:r w:rsidRPr="00511620">
        <w:rPr>
          <w:rFonts w:hint="eastAsia"/>
          <w:rtl/>
        </w:rPr>
        <w:t>הונאה</w:t>
      </w:r>
      <w:r w:rsidRPr="00511620">
        <w:rPr>
          <w:rtl/>
        </w:rPr>
        <w:t xml:space="preserve"> </w:t>
      </w:r>
      <w:r w:rsidRPr="00511620">
        <w:rPr>
          <w:rFonts w:hint="eastAsia"/>
          <w:rtl/>
        </w:rPr>
        <w:t>בכשרות</w:t>
      </w:r>
      <w:r w:rsidRPr="00511620">
        <w:rPr>
          <w:rtl/>
        </w:rPr>
        <w:t xml:space="preserve">, </w:t>
      </w:r>
      <w:proofErr w:type="spellStart"/>
      <w:r w:rsidR="00525E82">
        <w:rPr>
          <w:rFonts w:hint="cs"/>
          <w:rtl/>
        </w:rPr>
        <w:t>ה</w:t>
      </w:r>
      <w:r w:rsidRPr="00511620">
        <w:rPr>
          <w:rFonts w:hint="eastAsia"/>
          <w:rtl/>
        </w:rPr>
        <w:t>תשמ</w:t>
      </w:r>
      <w:r w:rsidRPr="00511620">
        <w:rPr>
          <w:rtl/>
        </w:rPr>
        <w:t>"ג</w:t>
      </w:r>
      <w:proofErr w:type="spellEnd"/>
      <w:r w:rsidR="00525E82">
        <w:rPr>
          <w:rFonts w:hint="cs"/>
          <w:rtl/>
        </w:rPr>
        <w:t>–</w:t>
      </w:r>
      <w:r w:rsidR="004B1E59">
        <w:rPr>
          <w:rtl/>
        </w:rPr>
        <w:t>1983 (</w:t>
      </w:r>
      <w:r w:rsidR="00525E82">
        <w:rPr>
          <w:rFonts w:hint="cs"/>
          <w:rtl/>
        </w:rPr>
        <w:t>להלן</w:t>
      </w:r>
      <w:r w:rsidR="003D2B00">
        <w:rPr>
          <w:rFonts w:hint="cs"/>
          <w:rtl/>
        </w:rPr>
        <w:t xml:space="preserve"> </w:t>
      </w:r>
      <w:r w:rsidR="003D2B00">
        <w:rPr>
          <w:rFonts w:hint="eastAsia"/>
          <w:rtl/>
        </w:rPr>
        <w:t>–</w:t>
      </w:r>
      <w:r w:rsidR="003D2B00">
        <w:rPr>
          <w:rFonts w:hint="cs"/>
          <w:rtl/>
        </w:rPr>
        <w:t xml:space="preserve"> </w:t>
      </w:r>
      <w:r w:rsidR="004B1E59">
        <w:rPr>
          <w:rtl/>
        </w:rPr>
        <w:t>החוק</w:t>
      </w:r>
      <w:r w:rsidRPr="00511620">
        <w:rPr>
          <w:rtl/>
        </w:rPr>
        <w:t xml:space="preserve">), </w:t>
      </w:r>
      <w:r w:rsidRPr="00511620">
        <w:rPr>
          <w:rFonts w:hint="eastAsia"/>
          <w:rtl/>
        </w:rPr>
        <w:t>היא</w:t>
      </w:r>
      <w:r w:rsidRPr="00511620">
        <w:rPr>
          <w:rtl/>
        </w:rPr>
        <w:t xml:space="preserve"> </w:t>
      </w:r>
      <w:r w:rsidRPr="00511620">
        <w:rPr>
          <w:rFonts w:hint="eastAsia"/>
          <w:rtl/>
        </w:rPr>
        <w:t>להגן</w:t>
      </w:r>
      <w:r w:rsidRPr="00511620">
        <w:rPr>
          <w:rtl/>
        </w:rPr>
        <w:t xml:space="preserve"> </w:t>
      </w:r>
      <w:r w:rsidRPr="00511620">
        <w:rPr>
          <w:rFonts w:hint="eastAsia"/>
          <w:rtl/>
        </w:rPr>
        <w:t>ולמנוע</w:t>
      </w:r>
      <w:r w:rsidRPr="00511620">
        <w:rPr>
          <w:rtl/>
        </w:rPr>
        <w:t xml:space="preserve"> </w:t>
      </w:r>
      <w:r w:rsidRPr="00511620">
        <w:rPr>
          <w:rFonts w:hint="eastAsia"/>
          <w:rtl/>
        </w:rPr>
        <w:t>הטעיה</w:t>
      </w:r>
      <w:r w:rsidRPr="00511620">
        <w:rPr>
          <w:rtl/>
        </w:rPr>
        <w:t xml:space="preserve"> </w:t>
      </w:r>
      <w:r w:rsidRPr="00511620">
        <w:rPr>
          <w:rFonts w:hint="eastAsia"/>
          <w:rtl/>
        </w:rPr>
        <w:t>של</w:t>
      </w:r>
      <w:r w:rsidRPr="00511620">
        <w:rPr>
          <w:rtl/>
        </w:rPr>
        <w:t xml:space="preserve"> </w:t>
      </w:r>
      <w:r w:rsidRPr="00511620">
        <w:rPr>
          <w:rFonts w:hint="eastAsia"/>
          <w:rtl/>
        </w:rPr>
        <w:t>צרכני</w:t>
      </w:r>
      <w:r w:rsidRPr="00511620">
        <w:rPr>
          <w:rtl/>
        </w:rPr>
        <w:t xml:space="preserve"> </w:t>
      </w:r>
      <w:r w:rsidRPr="00511620">
        <w:rPr>
          <w:rFonts w:hint="eastAsia"/>
          <w:rtl/>
        </w:rPr>
        <w:t>הכשרות</w:t>
      </w:r>
      <w:r w:rsidRPr="00511620">
        <w:rPr>
          <w:rtl/>
        </w:rPr>
        <w:t xml:space="preserve">. </w:t>
      </w:r>
      <w:r w:rsidRPr="00511620">
        <w:rPr>
          <w:rFonts w:hint="eastAsia"/>
          <w:rtl/>
        </w:rPr>
        <w:t>החוק</w:t>
      </w:r>
      <w:r w:rsidRPr="00511620">
        <w:rPr>
          <w:rtl/>
        </w:rPr>
        <w:t xml:space="preserve"> </w:t>
      </w:r>
      <w:r w:rsidRPr="00511620">
        <w:rPr>
          <w:rFonts w:hint="eastAsia"/>
          <w:rtl/>
        </w:rPr>
        <w:t>קובע</w:t>
      </w:r>
      <w:r w:rsidRPr="00511620">
        <w:rPr>
          <w:rtl/>
        </w:rPr>
        <w:t xml:space="preserve"> </w:t>
      </w:r>
      <w:r w:rsidRPr="00511620">
        <w:rPr>
          <w:rFonts w:hint="eastAsia"/>
          <w:rtl/>
        </w:rPr>
        <w:t>כי</w:t>
      </w:r>
      <w:r w:rsidRPr="00511620">
        <w:rPr>
          <w:rtl/>
        </w:rPr>
        <w:t xml:space="preserve"> </w:t>
      </w:r>
      <w:r w:rsidRPr="00511620">
        <w:rPr>
          <w:rFonts w:hint="eastAsia"/>
          <w:rtl/>
        </w:rPr>
        <w:t>הצגת</w:t>
      </w:r>
      <w:r w:rsidRPr="00511620">
        <w:rPr>
          <w:rtl/>
        </w:rPr>
        <w:t xml:space="preserve"> </w:t>
      </w:r>
      <w:r w:rsidRPr="00511620">
        <w:rPr>
          <w:rFonts w:hint="eastAsia"/>
          <w:rtl/>
        </w:rPr>
        <w:t>מוצר</w:t>
      </w:r>
      <w:r w:rsidRPr="00511620">
        <w:rPr>
          <w:rtl/>
        </w:rPr>
        <w:t xml:space="preserve"> </w:t>
      </w:r>
      <w:r w:rsidRPr="00511620">
        <w:rPr>
          <w:rFonts w:hint="eastAsia"/>
          <w:rtl/>
        </w:rPr>
        <w:t>או</w:t>
      </w:r>
      <w:r w:rsidRPr="00511620">
        <w:rPr>
          <w:rtl/>
        </w:rPr>
        <w:t xml:space="preserve"> </w:t>
      </w:r>
      <w:r w:rsidRPr="00511620">
        <w:rPr>
          <w:rFonts w:hint="eastAsia"/>
          <w:rtl/>
        </w:rPr>
        <w:t>מקום</w:t>
      </w:r>
      <w:r w:rsidRPr="00511620">
        <w:rPr>
          <w:rtl/>
        </w:rPr>
        <w:t xml:space="preserve"> </w:t>
      </w:r>
      <w:r w:rsidRPr="00511620">
        <w:rPr>
          <w:rFonts w:hint="eastAsia"/>
          <w:rtl/>
        </w:rPr>
        <w:t>ככשר</w:t>
      </w:r>
      <w:r w:rsidRPr="00511620">
        <w:rPr>
          <w:rtl/>
        </w:rPr>
        <w:t xml:space="preserve"> </w:t>
      </w:r>
      <w:r w:rsidRPr="00511620">
        <w:rPr>
          <w:rFonts w:hint="eastAsia"/>
          <w:rtl/>
        </w:rPr>
        <w:t>תתאפשר</w:t>
      </w:r>
      <w:r w:rsidRPr="00511620">
        <w:rPr>
          <w:rtl/>
        </w:rPr>
        <w:t xml:space="preserve"> </w:t>
      </w:r>
      <w:r w:rsidRPr="00511620">
        <w:rPr>
          <w:rFonts w:hint="eastAsia"/>
          <w:rtl/>
        </w:rPr>
        <w:t>רק</w:t>
      </w:r>
      <w:r w:rsidRPr="00511620">
        <w:rPr>
          <w:rtl/>
        </w:rPr>
        <w:t xml:space="preserve"> </w:t>
      </w:r>
      <w:r w:rsidRPr="00511620">
        <w:rPr>
          <w:rFonts w:hint="eastAsia"/>
          <w:rtl/>
        </w:rPr>
        <w:t>כאשר</w:t>
      </w:r>
      <w:r w:rsidRPr="00511620">
        <w:rPr>
          <w:rtl/>
        </w:rPr>
        <w:t xml:space="preserve"> </w:t>
      </w:r>
      <w:r w:rsidRPr="00511620">
        <w:rPr>
          <w:rFonts w:hint="eastAsia"/>
          <w:rtl/>
        </w:rPr>
        <w:t>הפיקוח</w:t>
      </w:r>
      <w:r w:rsidRPr="00511620">
        <w:rPr>
          <w:rtl/>
        </w:rPr>
        <w:t xml:space="preserve"> </w:t>
      </w:r>
      <w:r w:rsidRPr="00511620">
        <w:rPr>
          <w:rFonts w:hint="eastAsia"/>
          <w:rtl/>
        </w:rPr>
        <w:t>על</w:t>
      </w:r>
      <w:r w:rsidRPr="00511620">
        <w:rPr>
          <w:rtl/>
        </w:rPr>
        <w:t xml:space="preserve"> </w:t>
      </w:r>
      <w:r w:rsidRPr="00511620">
        <w:rPr>
          <w:rFonts w:hint="eastAsia"/>
          <w:rtl/>
        </w:rPr>
        <w:t>הכשרות</w:t>
      </w:r>
      <w:r w:rsidRPr="00511620">
        <w:rPr>
          <w:rtl/>
        </w:rPr>
        <w:t xml:space="preserve"> </w:t>
      </w:r>
      <w:r w:rsidRPr="00511620">
        <w:rPr>
          <w:rFonts w:hint="eastAsia"/>
          <w:rtl/>
        </w:rPr>
        <w:t>הוא</w:t>
      </w:r>
      <w:r w:rsidRPr="00511620">
        <w:rPr>
          <w:rtl/>
        </w:rPr>
        <w:t xml:space="preserve"> </w:t>
      </w:r>
      <w:r w:rsidRPr="00511620">
        <w:rPr>
          <w:rFonts w:hint="eastAsia"/>
          <w:rtl/>
        </w:rPr>
        <w:t>מטעם</w:t>
      </w:r>
      <w:r w:rsidRPr="00511620">
        <w:rPr>
          <w:rtl/>
        </w:rPr>
        <w:t xml:space="preserve"> </w:t>
      </w:r>
      <w:r w:rsidRPr="00511620">
        <w:rPr>
          <w:rFonts w:hint="eastAsia"/>
          <w:rtl/>
        </w:rPr>
        <w:t>גורמים</w:t>
      </w:r>
      <w:r w:rsidRPr="00511620">
        <w:rPr>
          <w:rtl/>
        </w:rPr>
        <w:t xml:space="preserve"> </w:t>
      </w:r>
      <w:r w:rsidRPr="00511620">
        <w:rPr>
          <w:rFonts w:hint="eastAsia"/>
          <w:rtl/>
        </w:rPr>
        <w:t>מוסמכים</w:t>
      </w:r>
      <w:r w:rsidRPr="00511620">
        <w:rPr>
          <w:rtl/>
        </w:rPr>
        <w:t xml:space="preserve">. </w:t>
      </w:r>
      <w:r w:rsidRPr="00511620">
        <w:rPr>
          <w:rFonts w:hint="eastAsia"/>
          <w:rtl/>
        </w:rPr>
        <w:t>בדומה</w:t>
      </w:r>
      <w:r w:rsidRPr="00511620">
        <w:rPr>
          <w:rtl/>
        </w:rPr>
        <w:t xml:space="preserve"> </w:t>
      </w:r>
      <w:r w:rsidRPr="00511620">
        <w:rPr>
          <w:rFonts w:hint="eastAsia"/>
          <w:rtl/>
        </w:rPr>
        <w:t>לשירותים</w:t>
      </w:r>
      <w:r w:rsidRPr="00511620">
        <w:rPr>
          <w:rtl/>
        </w:rPr>
        <w:t xml:space="preserve"> </w:t>
      </w:r>
      <w:r w:rsidRPr="00511620">
        <w:rPr>
          <w:rFonts w:hint="eastAsia"/>
          <w:rtl/>
        </w:rPr>
        <w:t>שונים</w:t>
      </w:r>
      <w:r w:rsidRPr="00511620">
        <w:rPr>
          <w:rtl/>
        </w:rPr>
        <w:t xml:space="preserve"> </w:t>
      </w:r>
      <w:r w:rsidR="00525E82">
        <w:rPr>
          <w:rFonts w:hint="cs"/>
          <w:rtl/>
        </w:rPr>
        <w:t>ש</w:t>
      </w:r>
      <w:r w:rsidRPr="00511620">
        <w:rPr>
          <w:rFonts w:hint="eastAsia"/>
          <w:rtl/>
        </w:rPr>
        <w:t>בהם</w:t>
      </w:r>
      <w:r w:rsidRPr="00511620">
        <w:rPr>
          <w:rtl/>
        </w:rPr>
        <w:t xml:space="preserve"> </w:t>
      </w:r>
      <w:r w:rsidRPr="00511620">
        <w:rPr>
          <w:rFonts w:hint="eastAsia"/>
          <w:rtl/>
        </w:rPr>
        <w:t>קבע</w:t>
      </w:r>
      <w:r w:rsidRPr="00511620">
        <w:rPr>
          <w:rtl/>
        </w:rPr>
        <w:t xml:space="preserve"> </w:t>
      </w:r>
      <w:r w:rsidRPr="00511620">
        <w:rPr>
          <w:rFonts w:hint="eastAsia"/>
          <w:rtl/>
        </w:rPr>
        <w:t>המחוקק</w:t>
      </w:r>
      <w:r w:rsidRPr="00511620">
        <w:rPr>
          <w:rtl/>
        </w:rPr>
        <w:t xml:space="preserve"> </w:t>
      </w:r>
      <w:r w:rsidRPr="00511620">
        <w:rPr>
          <w:rFonts w:hint="eastAsia"/>
          <w:rtl/>
        </w:rPr>
        <w:t>רגולטור</w:t>
      </w:r>
      <w:r w:rsidRPr="00511620">
        <w:rPr>
          <w:rtl/>
        </w:rPr>
        <w:t xml:space="preserve"> </w:t>
      </w:r>
      <w:r w:rsidRPr="00511620">
        <w:rPr>
          <w:rFonts w:hint="eastAsia"/>
          <w:rtl/>
        </w:rPr>
        <w:t>שמוסמך</w:t>
      </w:r>
      <w:r w:rsidRPr="00511620">
        <w:rPr>
          <w:rtl/>
        </w:rPr>
        <w:t xml:space="preserve"> </w:t>
      </w:r>
      <w:r w:rsidRPr="00511620">
        <w:rPr>
          <w:rFonts w:hint="eastAsia"/>
          <w:rtl/>
        </w:rPr>
        <w:t>לתת</w:t>
      </w:r>
      <w:r w:rsidRPr="00511620">
        <w:rPr>
          <w:rtl/>
        </w:rPr>
        <w:t xml:space="preserve"> </w:t>
      </w:r>
      <w:r w:rsidRPr="00511620">
        <w:rPr>
          <w:rFonts w:hint="eastAsia"/>
          <w:rtl/>
        </w:rPr>
        <w:t>אישורים</w:t>
      </w:r>
      <w:r w:rsidRPr="00511620">
        <w:rPr>
          <w:rtl/>
        </w:rPr>
        <w:t xml:space="preserve">, </w:t>
      </w:r>
      <w:r w:rsidRPr="00511620">
        <w:rPr>
          <w:rFonts w:hint="eastAsia"/>
          <w:rtl/>
        </w:rPr>
        <w:t>כדוגמת</w:t>
      </w:r>
      <w:r w:rsidRPr="00511620">
        <w:rPr>
          <w:rtl/>
        </w:rPr>
        <w:t xml:space="preserve"> </w:t>
      </w:r>
      <w:r w:rsidRPr="00511620">
        <w:rPr>
          <w:rFonts w:hint="eastAsia"/>
          <w:rtl/>
        </w:rPr>
        <w:t>תרופות</w:t>
      </w:r>
      <w:r w:rsidRPr="00511620">
        <w:rPr>
          <w:rtl/>
        </w:rPr>
        <w:t xml:space="preserve"> </w:t>
      </w:r>
      <w:r w:rsidRPr="00511620">
        <w:rPr>
          <w:rFonts w:hint="eastAsia"/>
          <w:rtl/>
        </w:rPr>
        <w:t>ואישורי</w:t>
      </w:r>
      <w:r w:rsidRPr="00511620">
        <w:rPr>
          <w:rtl/>
        </w:rPr>
        <w:t xml:space="preserve"> </w:t>
      </w:r>
      <w:r w:rsidRPr="00511620">
        <w:rPr>
          <w:rFonts w:hint="eastAsia"/>
          <w:rtl/>
        </w:rPr>
        <w:t>תקן</w:t>
      </w:r>
      <w:r w:rsidRPr="00511620">
        <w:rPr>
          <w:rtl/>
        </w:rPr>
        <w:t xml:space="preserve"> </w:t>
      </w:r>
      <w:r w:rsidRPr="00511620">
        <w:rPr>
          <w:rFonts w:hint="eastAsia"/>
          <w:rtl/>
        </w:rPr>
        <w:t>למוצרים</w:t>
      </w:r>
      <w:r w:rsidRPr="00511620">
        <w:rPr>
          <w:rtl/>
        </w:rPr>
        <w:t xml:space="preserve"> </w:t>
      </w:r>
      <w:r w:rsidRPr="00511620">
        <w:rPr>
          <w:rFonts w:hint="eastAsia"/>
          <w:rtl/>
        </w:rPr>
        <w:t>שניתנים</w:t>
      </w:r>
      <w:r w:rsidRPr="00511620">
        <w:rPr>
          <w:rtl/>
        </w:rPr>
        <w:t xml:space="preserve"> </w:t>
      </w:r>
      <w:r w:rsidRPr="00511620">
        <w:rPr>
          <w:rFonts w:hint="eastAsia"/>
          <w:rtl/>
        </w:rPr>
        <w:t>לפי</w:t>
      </w:r>
      <w:r w:rsidRPr="00511620">
        <w:rPr>
          <w:rtl/>
        </w:rPr>
        <w:t xml:space="preserve"> </w:t>
      </w:r>
      <w:r w:rsidRPr="00511620">
        <w:rPr>
          <w:rFonts w:hint="eastAsia"/>
          <w:rtl/>
        </w:rPr>
        <w:t>החוק</w:t>
      </w:r>
      <w:r w:rsidRPr="00511620">
        <w:rPr>
          <w:rtl/>
        </w:rPr>
        <w:t xml:space="preserve"> </w:t>
      </w:r>
      <w:r w:rsidRPr="00511620">
        <w:rPr>
          <w:rFonts w:hint="eastAsia"/>
          <w:rtl/>
        </w:rPr>
        <w:t>רק</w:t>
      </w:r>
      <w:r w:rsidRPr="00511620">
        <w:rPr>
          <w:rtl/>
        </w:rPr>
        <w:t xml:space="preserve"> </w:t>
      </w:r>
      <w:r w:rsidRPr="00511620">
        <w:rPr>
          <w:rFonts w:hint="eastAsia"/>
          <w:rtl/>
        </w:rPr>
        <w:t>על</w:t>
      </w:r>
      <w:r w:rsidRPr="00511620">
        <w:rPr>
          <w:rtl/>
        </w:rPr>
        <w:t xml:space="preserve"> </w:t>
      </w:r>
      <w:r w:rsidRPr="00511620">
        <w:rPr>
          <w:rFonts w:hint="eastAsia"/>
          <w:rtl/>
        </w:rPr>
        <w:t>ידי</w:t>
      </w:r>
      <w:r w:rsidRPr="00511620">
        <w:rPr>
          <w:rtl/>
        </w:rPr>
        <w:t xml:space="preserve"> </w:t>
      </w:r>
      <w:r w:rsidRPr="00511620">
        <w:rPr>
          <w:rFonts w:hint="eastAsia"/>
          <w:rtl/>
        </w:rPr>
        <w:t>הגורם</w:t>
      </w:r>
      <w:r w:rsidRPr="00511620">
        <w:rPr>
          <w:rtl/>
        </w:rPr>
        <w:t xml:space="preserve"> </w:t>
      </w:r>
      <w:r w:rsidRPr="00511620">
        <w:rPr>
          <w:rFonts w:hint="eastAsia"/>
          <w:rtl/>
        </w:rPr>
        <w:t>המוסמך</w:t>
      </w:r>
      <w:r w:rsidRPr="00511620">
        <w:rPr>
          <w:rtl/>
        </w:rPr>
        <w:t xml:space="preserve">, </w:t>
      </w:r>
      <w:r w:rsidRPr="00511620">
        <w:rPr>
          <w:rFonts w:hint="eastAsia"/>
          <w:rtl/>
        </w:rPr>
        <w:t>כדי</w:t>
      </w:r>
      <w:r w:rsidRPr="00511620">
        <w:rPr>
          <w:rtl/>
        </w:rPr>
        <w:t xml:space="preserve"> </w:t>
      </w:r>
      <w:r w:rsidRPr="00511620">
        <w:rPr>
          <w:rFonts w:hint="eastAsia"/>
          <w:rtl/>
        </w:rPr>
        <w:t>למנוע</w:t>
      </w:r>
      <w:r w:rsidRPr="00511620">
        <w:rPr>
          <w:rtl/>
        </w:rPr>
        <w:t xml:space="preserve"> </w:t>
      </w:r>
      <w:r w:rsidRPr="00511620">
        <w:rPr>
          <w:rFonts w:hint="eastAsia"/>
          <w:rtl/>
        </w:rPr>
        <w:t>הטעיית</w:t>
      </w:r>
      <w:r w:rsidRPr="00511620">
        <w:rPr>
          <w:rtl/>
        </w:rPr>
        <w:t xml:space="preserve"> </w:t>
      </w:r>
      <w:r w:rsidRPr="00511620">
        <w:rPr>
          <w:rFonts w:hint="eastAsia"/>
          <w:rtl/>
        </w:rPr>
        <w:t>צרכנים</w:t>
      </w:r>
      <w:r w:rsidRPr="00511620">
        <w:rPr>
          <w:rtl/>
        </w:rPr>
        <w:t>.</w:t>
      </w:r>
    </w:p>
    <w:p w14:paraId="1D2AD5FB" w14:textId="20DC861B" w:rsidR="00C021C4" w:rsidRPr="00511620" w:rsidRDefault="00C021C4" w:rsidP="00FA2128">
      <w:pPr>
        <w:pStyle w:val="Hesber"/>
        <w:rPr>
          <w:rtl/>
        </w:rPr>
      </w:pPr>
      <w:r w:rsidRPr="00511620">
        <w:rPr>
          <w:rFonts w:hint="eastAsia"/>
          <w:rtl/>
        </w:rPr>
        <w:t>כיום</w:t>
      </w:r>
      <w:r w:rsidRPr="00511620">
        <w:rPr>
          <w:rtl/>
        </w:rPr>
        <w:t xml:space="preserve">, הגופים המנויים בסעיף 2 לחוק, הם ורק הם, מוסמכים להעניק תעודות כשרות, בהתאם להנחיות מועצת הרבנות הראשית לישראל. </w:t>
      </w:r>
    </w:p>
    <w:p w14:paraId="0F5FB02A" w14:textId="1154090A" w:rsidR="00C021C4" w:rsidRPr="00511620" w:rsidRDefault="00C021C4" w:rsidP="00525E82">
      <w:pPr>
        <w:pStyle w:val="Hesber"/>
        <w:rPr>
          <w:rtl/>
        </w:rPr>
      </w:pPr>
      <w:r w:rsidRPr="00511620">
        <w:rPr>
          <w:rFonts w:hint="eastAsia"/>
          <w:rtl/>
        </w:rPr>
        <w:t>לפי</w:t>
      </w:r>
      <w:r w:rsidRPr="00511620">
        <w:rPr>
          <w:rtl/>
        </w:rPr>
        <w:t xml:space="preserve"> הפרקטיקה שנהגה עד כה, החוק נאכף גם במקרים </w:t>
      </w:r>
      <w:r w:rsidR="00525E82">
        <w:rPr>
          <w:rFonts w:hint="cs"/>
          <w:rtl/>
        </w:rPr>
        <w:t>ש</w:t>
      </w:r>
      <w:r w:rsidRPr="00511620">
        <w:rPr>
          <w:rtl/>
        </w:rPr>
        <w:t xml:space="preserve">בהם לא נכתב בפירוש המינוח "כשר" על הטיותיו השונות, אלא נעשה שימוש במילים נרדפות לכשרות דוגמת "בהשגחת" "בפיקוח", "באישור" וכדומה. מתוך הנחה שהצרכן רואה </w:t>
      </w:r>
      <w:proofErr w:type="spellStart"/>
      <w:r w:rsidR="00525E82">
        <w:rPr>
          <w:rFonts w:hint="cs"/>
          <w:rtl/>
        </w:rPr>
        <w:t>ב</w:t>
      </w:r>
      <w:r w:rsidRPr="00511620">
        <w:rPr>
          <w:rFonts w:hint="eastAsia"/>
          <w:rtl/>
        </w:rPr>
        <w:t>מינוחים</w:t>
      </w:r>
      <w:proofErr w:type="spellEnd"/>
      <w:r w:rsidRPr="00511620">
        <w:rPr>
          <w:rtl/>
        </w:rPr>
        <w:t xml:space="preserve"> אלו אישור המעיד על כשרות המוצרים או המקום.</w:t>
      </w:r>
    </w:p>
    <w:p w14:paraId="64F5F4A7" w14:textId="7929CED2" w:rsidR="00C021C4" w:rsidRPr="00511620" w:rsidRDefault="00C021C4" w:rsidP="00C635CE">
      <w:pPr>
        <w:pStyle w:val="Hesber"/>
        <w:rPr>
          <w:rtl/>
        </w:rPr>
      </w:pPr>
      <w:r w:rsidRPr="00511620">
        <w:rPr>
          <w:rFonts w:hint="eastAsia"/>
          <w:rtl/>
        </w:rPr>
        <w:t>במסגרת</w:t>
      </w:r>
      <w:r w:rsidRPr="00511620">
        <w:rPr>
          <w:rtl/>
        </w:rPr>
        <w:t xml:space="preserve"> </w:t>
      </w:r>
      <w:r w:rsidRPr="00511620">
        <w:rPr>
          <w:rFonts w:hint="eastAsia"/>
          <w:rtl/>
        </w:rPr>
        <w:t>עתירה</w:t>
      </w:r>
      <w:r w:rsidRPr="00511620">
        <w:rPr>
          <w:rtl/>
        </w:rPr>
        <w:t xml:space="preserve"> </w:t>
      </w:r>
      <w:r w:rsidRPr="00511620">
        <w:rPr>
          <w:rFonts w:hint="eastAsia"/>
          <w:rtl/>
        </w:rPr>
        <w:t>שהוגשה</w:t>
      </w:r>
      <w:r w:rsidRPr="00511620">
        <w:rPr>
          <w:rtl/>
        </w:rPr>
        <w:t xml:space="preserve"> </w:t>
      </w:r>
      <w:r w:rsidRPr="00511620">
        <w:rPr>
          <w:rFonts w:hint="eastAsia"/>
          <w:rtl/>
        </w:rPr>
        <w:t>לבג</w:t>
      </w:r>
      <w:r w:rsidRPr="00511620">
        <w:rPr>
          <w:rtl/>
        </w:rPr>
        <w:t xml:space="preserve">"ץ (בג"ץ 6494/14), </w:t>
      </w:r>
      <w:r w:rsidRPr="00511620">
        <w:rPr>
          <w:rFonts w:hint="eastAsia"/>
          <w:rtl/>
        </w:rPr>
        <w:t>טענו</w:t>
      </w:r>
      <w:r w:rsidRPr="00511620">
        <w:rPr>
          <w:rtl/>
        </w:rPr>
        <w:t xml:space="preserve"> </w:t>
      </w:r>
      <w:r w:rsidRPr="00511620">
        <w:rPr>
          <w:rFonts w:hint="eastAsia"/>
          <w:rtl/>
        </w:rPr>
        <w:t>העותרים</w:t>
      </w:r>
      <w:r w:rsidRPr="00511620">
        <w:rPr>
          <w:rtl/>
        </w:rPr>
        <w:t xml:space="preserve">, </w:t>
      </w:r>
      <w:r w:rsidRPr="00511620">
        <w:rPr>
          <w:rFonts w:hint="eastAsia"/>
          <w:rtl/>
        </w:rPr>
        <w:t>כי</w:t>
      </w:r>
      <w:r w:rsidRPr="00511620">
        <w:rPr>
          <w:rtl/>
        </w:rPr>
        <w:t xml:space="preserve"> </w:t>
      </w:r>
      <w:r w:rsidRPr="00511620">
        <w:rPr>
          <w:rFonts w:hint="eastAsia"/>
          <w:rtl/>
        </w:rPr>
        <w:t>יש</w:t>
      </w:r>
      <w:r w:rsidRPr="00511620">
        <w:rPr>
          <w:rtl/>
        </w:rPr>
        <w:t xml:space="preserve"> </w:t>
      </w:r>
      <w:r w:rsidRPr="00511620">
        <w:rPr>
          <w:rFonts w:hint="eastAsia"/>
          <w:rtl/>
        </w:rPr>
        <w:t>לפרש</w:t>
      </w:r>
      <w:r w:rsidRPr="00511620">
        <w:rPr>
          <w:rtl/>
        </w:rPr>
        <w:t xml:space="preserve"> </w:t>
      </w:r>
      <w:r w:rsidRPr="00511620">
        <w:rPr>
          <w:rFonts w:hint="eastAsia"/>
          <w:rtl/>
        </w:rPr>
        <w:t>את</w:t>
      </w:r>
      <w:r w:rsidRPr="00511620">
        <w:rPr>
          <w:rtl/>
        </w:rPr>
        <w:t xml:space="preserve"> </w:t>
      </w:r>
      <w:r w:rsidRPr="00511620">
        <w:rPr>
          <w:rFonts w:hint="eastAsia"/>
          <w:rtl/>
        </w:rPr>
        <w:t>החוק</w:t>
      </w:r>
      <w:r w:rsidRPr="00511620">
        <w:rPr>
          <w:rtl/>
        </w:rPr>
        <w:t xml:space="preserve"> </w:t>
      </w:r>
      <w:r w:rsidRPr="00511620">
        <w:rPr>
          <w:rFonts w:hint="eastAsia"/>
          <w:rtl/>
        </w:rPr>
        <w:t>בפרשנות</w:t>
      </w:r>
      <w:r w:rsidRPr="00511620">
        <w:rPr>
          <w:rtl/>
        </w:rPr>
        <w:t xml:space="preserve"> </w:t>
      </w:r>
      <w:r w:rsidRPr="00511620">
        <w:rPr>
          <w:rFonts w:hint="eastAsia"/>
          <w:rtl/>
        </w:rPr>
        <w:t>המתירה</w:t>
      </w:r>
      <w:r w:rsidRPr="00511620">
        <w:rPr>
          <w:rtl/>
        </w:rPr>
        <w:t xml:space="preserve"> </w:t>
      </w:r>
      <w:r w:rsidRPr="00511620">
        <w:rPr>
          <w:rFonts w:hint="eastAsia"/>
          <w:rtl/>
        </w:rPr>
        <w:t>להם</w:t>
      </w:r>
      <w:r w:rsidRPr="00511620">
        <w:rPr>
          <w:rtl/>
        </w:rPr>
        <w:t xml:space="preserve"> </w:t>
      </w:r>
      <w:r w:rsidRPr="00511620">
        <w:rPr>
          <w:rFonts w:hint="eastAsia"/>
          <w:rtl/>
        </w:rPr>
        <w:t>להציג</w:t>
      </w:r>
      <w:r w:rsidRPr="00511620">
        <w:rPr>
          <w:rtl/>
        </w:rPr>
        <w:t xml:space="preserve"> </w:t>
      </w:r>
      <w:r w:rsidRPr="00511620">
        <w:rPr>
          <w:rFonts w:hint="eastAsia"/>
          <w:rtl/>
        </w:rPr>
        <w:t>את</w:t>
      </w:r>
      <w:r w:rsidRPr="00511620">
        <w:rPr>
          <w:rtl/>
        </w:rPr>
        <w:t xml:space="preserve"> </w:t>
      </w:r>
      <w:r w:rsidRPr="00511620">
        <w:rPr>
          <w:rFonts w:hint="eastAsia"/>
          <w:rtl/>
        </w:rPr>
        <w:t>העסק</w:t>
      </w:r>
      <w:r w:rsidRPr="00511620">
        <w:rPr>
          <w:rtl/>
        </w:rPr>
        <w:t xml:space="preserve"> </w:t>
      </w:r>
      <w:r w:rsidRPr="00511620">
        <w:rPr>
          <w:rFonts w:hint="eastAsia"/>
          <w:rtl/>
        </w:rPr>
        <w:t>שברשותם</w:t>
      </w:r>
      <w:r w:rsidRPr="00511620">
        <w:rPr>
          <w:rtl/>
        </w:rPr>
        <w:t xml:space="preserve"> </w:t>
      </w:r>
      <w:r w:rsidRPr="00511620">
        <w:rPr>
          <w:rFonts w:hint="eastAsia"/>
          <w:rtl/>
        </w:rPr>
        <w:t>כנחזה</w:t>
      </w:r>
      <w:r w:rsidRPr="00511620">
        <w:rPr>
          <w:rtl/>
        </w:rPr>
        <w:t xml:space="preserve"> </w:t>
      </w:r>
      <w:r w:rsidRPr="00511620">
        <w:rPr>
          <w:rFonts w:hint="eastAsia"/>
          <w:rtl/>
        </w:rPr>
        <w:t>להיות</w:t>
      </w:r>
      <w:r w:rsidRPr="00511620">
        <w:rPr>
          <w:rtl/>
        </w:rPr>
        <w:t xml:space="preserve"> </w:t>
      </w:r>
      <w:r w:rsidRPr="00511620">
        <w:rPr>
          <w:rFonts w:hint="eastAsia"/>
          <w:rtl/>
        </w:rPr>
        <w:t>תחת</w:t>
      </w:r>
      <w:r w:rsidRPr="00511620">
        <w:rPr>
          <w:rtl/>
        </w:rPr>
        <w:t xml:space="preserve"> </w:t>
      </w:r>
      <w:r w:rsidRPr="00511620">
        <w:rPr>
          <w:rFonts w:hint="eastAsia"/>
          <w:rtl/>
        </w:rPr>
        <w:t>פיקוח</w:t>
      </w:r>
      <w:r w:rsidRPr="00511620">
        <w:rPr>
          <w:rtl/>
        </w:rPr>
        <w:t xml:space="preserve"> </w:t>
      </w:r>
      <w:r w:rsidRPr="00511620">
        <w:rPr>
          <w:rFonts w:hint="eastAsia"/>
          <w:rtl/>
        </w:rPr>
        <w:t>כשרותי</w:t>
      </w:r>
      <w:r w:rsidRPr="00511620">
        <w:rPr>
          <w:rtl/>
        </w:rPr>
        <w:t xml:space="preserve">, </w:t>
      </w:r>
      <w:r w:rsidRPr="00511620">
        <w:rPr>
          <w:rFonts w:hint="eastAsia"/>
          <w:rtl/>
        </w:rPr>
        <w:t>למרות</w:t>
      </w:r>
      <w:r w:rsidRPr="00511620">
        <w:rPr>
          <w:rtl/>
        </w:rPr>
        <w:t xml:space="preserve"> </w:t>
      </w:r>
      <w:r w:rsidRPr="00511620">
        <w:rPr>
          <w:rFonts w:hint="eastAsia"/>
          <w:rtl/>
        </w:rPr>
        <w:t>שלא</w:t>
      </w:r>
      <w:r w:rsidRPr="00511620">
        <w:rPr>
          <w:rtl/>
        </w:rPr>
        <w:t xml:space="preserve"> </w:t>
      </w:r>
      <w:r w:rsidRPr="00511620">
        <w:rPr>
          <w:rFonts w:hint="eastAsia"/>
          <w:rtl/>
        </w:rPr>
        <w:t>קיבלו</w:t>
      </w:r>
      <w:r w:rsidRPr="00511620">
        <w:rPr>
          <w:rtl/>
        </w:rPr>
        <w:t xml:space="preserve"> </w:t>
      </w:r>
      <w:r w:rsidRPr="00511620">
        <w:rPr>
          <w:rFonts w:hint="eastAsia"/>
          <w:rtl/>
        </w:rPr>
        <w:t>תעודת</w:t>
      </w:r>
      <w:r w:rsidRPr="00511620">
        <w:rPr>
          <w:rtl/>
        </w:rPr>
        <w:t xml:space="preserve"> </w:t>
      </w:r>
      <w:r w:rsidRPr="00511620">
        <w:rPr>
          <w:rFonts w:hint="eastAsia"/>
          <w:rtl/>
        </w:rPr>
        <w:t>הכשר</w:t>
      </w:r>
      <w:r w:rsidRPr="00511620">
        <w:rPr>
          <w:rtl/>
        </w:rPr>
        <w:t xml:space="preserve"> </w:t>
      </w:r>
      <w:r w:rsidRPr="00511620">
        <w:rPr>
          <w:rFonts w:hint="eastAsia"/>
          <w:rtl/>
        </w:rPr>
        <w:t>לפי</w:t>
      </w:r>
      <w:r w:rsidRPr="00511620">
        <w:rPr>
          <w:rtl/>
        </w:rPr>
        <w:t xml:space="preserve"> </w:t>
      </w:r>
      <w:r w:rsidRPr="00511620">
        <w:rPr>
          <w:rFonts w:hint="eastAsia"/>
          <w:rtl/>
        </w:rPr>
        <w:t>סעיף</w:t>
      </w:r>
      <w:r w:rsidRPr="00511620">
        <w:rPr>
          <w:rtl/>
        </w:rPr>
        <w:t xml:space="preserve"> 2 </w:t>
      </w:r>
      <w:r w:rsidRPr="00511620">
        <w:rPr>
          <w:rFonts w:hint="eastAsia"/>
          <w:rtl/>
        </w:rPr>
        <w:t>לחוק</w:t>
      </w:r>
      <w:r w:rsidRPr="00511620">
        <w:rPr>
          <w:rtl/>
        </w:rPr>
        <w:t>.</w:t>
      </w:r>
    </w:p>
    <w:p w14:paraId="4AB789C0" w14:textId="2C5FAAAC" w:rsidR="00C021C4" w:rsidRPr="00511620" w:rsidRDefault="00C021C4" w:rsidP="00525E82">
      <w:pPr>
        <w:pStyle w:val="Hesber"/>
        <w:rPr>
          <w:rtl/>
        </w:rPr>
      </w:pPr>
      <w:r w:rsidRPr="00511620">
        <w:rPr>
          <w:rFonts w:hint="eastAsia"/>
          <w:rtl/>
        </w:rPr>
        <w:t>בתגובתו</w:t>
      </w:r>
      <w:r w:rsidRPr="00511620">
        <w:rPr>
          <w:rtl/>
        </w:rPr>
        <w:t xml:space="preserve"> לעתירה טען היוע</w:t>
      </w:r>
      <w:r w:rsidR="00525E82">
        <w:rPr>
          <w:rFonts w:hint="cs"/>
          <w:rtl/>
        </w:rPr>
        <w:t xml:space="preserve">ץ המשפטי </w:t>
      </w:r>
      <w:r w:rsidRPr="00511620">
        <w:rPr>
          <w:rtl/>
        </w:rPr>
        <w:t xml:space="preserve">לממשלה, כי לפי פרשנותו את החוק כיום, לא ניתן להעמיד לדין את המציגים עצמם כמקומות בעלי הכשר או </w:t>
      </w:r>
      <w:proofErr w:type="spellStart"/>
      <w:r w:rsidRPr="00511620">
        <w:rPr>
          <w:rFonts w:hint="eastAsia"/>
          <w:rtl/>
        </w:rPr>
        <w:t>במינוחים</w:t>
      </w:r>
      <w:proofErr w:type="spellEnd"/>
      <w:r w:rsidRPr="00511620">
        <w:rPr>
          <w:rtl/>
        </w:rPr>
        <w:t xml:space="preserve"> שונים מתחום ההשגחה וכדומה</w:t>
      </w:r>
      <w:r w:rsidR="00525E82">
        <w:rPr>
          <w:rFonts w:hint="cs"/>
          <w:rtl/>
        </w:rPr>
        <w:t>,</w:t>
      </w:r>
      <w:r w:rsidRPr="00511620">
        <w:rPr>
          <w:rtl/>
        </w:rPr>
        <w:t xml:space="preserve"> ובלבד שלא יכללו את המינוח כשר ובתעודה תירשם הסתייגות שלא מדובר בכשרות של הרבנות. פרשנות זו משנה הלכה למעשה את הדין הנהוג ועלולה לגרום להגדלת הטעיית הצרכנים בתחום הכשרות. </w:t>
      </w:r>
    </w:p>
    <w:p w14:paraId="7E2C77D8" w14:textId="77777777" w:rsidR="00C021C4" w:rsidRDefault="00C021C4" w:rsidP="00FA2128">
      <w:pPr>
        <w:pStyle w:val="Hesber"/>
        <w:rPr>
          <w:rtl/>
        </w:rPr>
      </w:pPr>
      <w:r w:rsidRPr="00511620">
        <w:rPr>
          <w:rFonts w:hint="eastAsia"/>
          <w:rtl/>
        </w:rPr>
        <w:lastRenderedPageBreak/>
        <w:t>מטרת</w:t>
      </w:r>
      <w:r w:rsidRPr="00511620">
        <w:rPr>
          <w:rtl/>
        </w:rPr>
        <w:t xml:space="preserve"> התיקון לחוק הוא להגן על הצרכן שומר הכשרות מהטעייה, על ידי הבהרת כוונת המחוקק </w:t>
      </w:r>
      <w:r w:rsidRPr="00511620">
        <w:rPr>
          <w:rFonts w:hint="eastAsia"/>
          <w:rtl/>
        </w:rPr>
        <w:t>באמצעות</w:t>
      </w:r>
      <w:r w:rsidRPr="00511620">
        <w:rPr>
          <w:rtl/>
        </w:rPr>
        <w:t xml:space="preserve"> קביעה מפורשת, שהמינוח "כשר" כולל את כל </w:t>
      </w:r>
      <w:proofErr w:type="spellStart"/>
      <w:r w:rsidRPr="00511620">
        <w:rPr>
          <w:rFonts w:hint="eastAsia"/>
          <w:rtl/>
        </w:rPr>
        <w:t>המינוחים</w:t>
      </w:r>
      <w:proofErr w:type="spellEnd"/>
      <w:r w:rsidRPr="00511620">
        <w:rPr>
          <w:rtl/>
        </w:rPr>
        <w:t xml:space="preserve"> והמילים הנרדפות לכשרות, אשר הצרכן יכול לטעות ולהסיק מהן, שמדובר במוצר כשר. וכי הגוף המוסמך במדינת ישראל על מתן "תו תקן" של כשרות בכל וריאציה לשונית כלשהיא, הם הגופים המנויים בחוק.</w:t>
      </w:r>
    </w:p>
    <w:p w14:paraId="546539B4" w14:textId="77777777" w:rsidR="004B1E59" w:rsidRDefault="00764A8B" w:rsidP="004B1E59">
      <w:pPr>
        <w:pStyle w:val="Hesber"/>
        <w:rPr>
          <w:rtl/>
        </w:rPr>
      </w:pPr>
      <w:r>
        <w:rPr>
          <w:rFonts w:hint="cs"/>
          <w:rtl/>
        </w:rPr>
        <w:t>הצעת חוק דומה בעיקרה הונחה על שולחן הכנסת העשרים על ידי חבר הכנסת יואב בן צור וקבוצת חברי הכנסת</w:t>
      </w:r>
      <w:r w:rsidR="004B1E59">
        <w:rPr>
          <w:rFonts w:hint="cs"/>
          <w:rtl/>
        </w:rPr>
        <w:t xml:space="preserve"> </w:t>
      </w:r>
      <w:r>
        <w:rPr>
          <w:rFonts w:hint="cs"/>
          <w:rtl/>
        </w:rPr>
        <w:t>(פ/</w:t>
      </w:r>
      <w:r w:rsidR="004B1E59">
        <w:rPr>
          <w:rFonts w:hint="cs"/>
          <w:rtl/>
        </w:rPr>
        <w:t>1382/20).</w:t>
      </w:r>
    </w:p>
    <w:p w14:paraId="6B818228" w14:textId="77777777" w:rsidR="004B1E59" w:rsidRDefault="004B1E59" w:rsidP="004B1E59">
      <w:pPr>
        <w:pStyle w:val="Hesber"/>
        <w:rPr>
          <w:rtl/>
        </w:rPr>
      </w:pPr>
    </w:p>
    <w:p w14:paraId="626B3882" w14:textId="77777777" w:rsidR="004B1E59" w:rsidRDefault="004B1E59" w:rsidP="004B1E59">
      <w:pPr>
        <w:pStyle w:val="Hesber"/>
        <w:rPr>
          <w:rtl/>
        </w:rPr>
      </w:pPr>
    </w:p>
    <w:p w14:paraId="4663B65B" w14:textId="77777777" w:rsidR="004B1E59" w:rsidRDefault="004B1E59" w:rsidP="004B1E59">
      <w:pPr>
        <w:pStyle w:val="Hesber"/>
        <w:rPr>
          <w:rtl/>
        </w:rPr>
      </w:pPr>
    </w:p>
    <w:p w14:paraId="7A57A6CF" w14:textId="77777777" w:rsidR="004B1E59" w:rsidRDefault="004B1E59" w:rsidP="004B1E59">
      <w:pPr>
        <w:pStyle w:val="Hesber"/>
        <w:rPr>
          <w:rtl/>
        </w:rPr>
      </w:pPr>
    </w:p>
    <w:p w14:paraId="0FA746AB" w14:textId="77777777" w:rsidR="004B1E59" w:rsidRDefault="004B1E59" w:rsidP="004B1E59">
      <w:pPr>
        <w:pStyle w:val="Hesber"/>
        <w:rPr>
          <w:rtl/>
        </w:rPr>
      </w:pPr>
    </w:p>
    <w:p w14:paraId="718CF535" w14:textId="4A63A36E" w:rsidR="001E7E87" w:rsidRDefault="001E7E87" w:rsidP="004B1E59">
      <w:pPr>
        <w:pStyle w:val="Hesber"/>
      </w:pPr>
      <w:r>
        <w:rPr>
          <w:rFonts w:hint="cs"/>
          <w:rtl/>
        </w:rPr>
        <w:t>---------------------------------</w:t>
      </w:r>
    </w:p>
    <w:p w14:paraId="47A7F873" w14:textId="77777777" w:rsidR="001E7E87" w:rsidRDefault="001E7E87"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11F339E8" w14:textId="77777777" w:rsidR="001E7E87" w:rsidRDefault="001E7E87"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7F6961CB" w14:textId="7DF5B6C3" w:rsidR="00E13C27" w:rsidRPr="001E7E87" w:rsidRDefault="001E7E87" w:rsidP="001E7E87">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כ"ח בסיוון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15.6.15</w:t>
      </w:r>
    </w:p>
    <w:sectPr w:rsidR="00E13C27" w:rsidRPr="001E7E8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DAE37" w14:textId="77777777" w:rsidR="000751A7" w:rsidRDefault="000751A7">
      <w:r>
        <w:separator/>
      </w:r>
    </w:p>
  </w:endnote>
  <w:endnote w:type="continuationSeparator" w:id="0">
    <w:p w14:paraId="24B54508" w14:textId="77777777" w:rsidR="000751A7" w:rsidRDefault="0007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382E6D">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066DA" w14:textId="77777777" w:rsidR="000751A7" w:rsidRDefault="000751A7">
      <w:r>
        <w:separator/>
      </w:r>
    </w:p>
  </w:footnote>
  <w:footnote w:type="continuationSeparator" w:id="0">
    <w:p w14:paraId="6205A490" w14:textId="77777777" w:rsidR="000751A7" w:rsidRDefault="000751A7">
      <w:r>
        <w:continuationSeparator/>
      </w:r>
    </w:p>
  </w:footnote>
  <w:footnote w:type="continuationNotice" w:id="1">
    <w:p w14:paraId="1210C552" w14:textId="77777777" w:rsidR="000751A7" w:rsidRDefault="000751A7"/>
  </w:footnote>
  <w:footnote w:id="2">
    <w:p w14:paraId="0DFDC116" w14:textId="6D235CED" w:rsidR="00525E82" w:rsidRDefault="00525E82" w:rsidP="00525E82">
      <w:pPr>
        <w:pStyle w:val="a4"/>
        <w:rPr>
          <w:rtl/>
        </w:rPr>
      </w:pPr>
      <w:r>
        <w:rPr>
          <w:rStyle w:val="a5"/>
        </w:rPr>
        <w:footnoteRef/>
      </w:r>
      <w:r>
        <w:rPr>
          <w:rtl/>
        </w:rPr>
        <w:t xml:space="preserve"> </w:t>
      </w:r>
      <w:r>
        <w:rPr>
          <w:rFonts w:hint="cs"/>
          <w:rtl/>
        </w:rPr>
        <w:t xml:space="preserve">ס"ח </w:t>
      </w:r>
      <w:proofErr w:type="spellStart"/>
      <w:r>
        <w:rPr>
          <w:rFonts w:hint="cs"/>
          <w:rtl/>
        </w:rPr>
        <w:t>התשמ"ג</w:t>
      </w:r>
      <w:proofErr w:type="spellEnd"/>
      <w:r>
        <w:rPr>
          <w:rFonts w:hint="cs"/>
          <w:rtl/>
        </w:rPr>
        <w:t>, עמ' 128.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51A7"/>
    <w:rsid w:val="0007681A"/>
    <w:rsid w:val="000A542E"/>
    <w:rsid w:val="000F0A84"/>
    <w:rsid w:val="00102B6B"/>
    <w:rsid w:val="001052D4"/>
    <w:rsid w:val="0010644B"/>
    <w:rsid w:val="001207F8"/>
    <w:rsid w:val="00121924"/>
    <w:rsid w:val="001279A8"/>
    <w:rsid w:val="0014195F"/>
    <w:rsid w:val="00152609"/>
    <w:rsid w:val="00153E1B"/>
    <w:rsid w:val="001A0623"/>
    <w:rsid w:val="001C23B0"/>
    <w:rsid w:val="001E7E87"/>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27CCD"/>
    <w:rsid w:val="003710F6"/>
    <w:rsid w:val="00382E6D"/>
    <w:rsid w:val="00386E88"/>
    <w:rsid w:val="00396585"/>
    <w:rsid w:val="003B11C1"/>
    <w:rsid w:val="003D2B00"/>
    <w:rsid w:val="003D74A0"/>
    <w:rsid w:val="004033D8"/>
    <w:rsid w:val="004073F0"/>
    <w:rsid w:val="00412A7D"/>
    <w:rsid w:val="00416B4D"/>
    <w:rsid w:val="00417CFC"/>
    <w:rsid w:val="004B1E59"/>
    <w:rsid w:val="004B24ED"/>
    <w:rsid w:val="004D1A51"/>
    <w:rsid w:val="004D2D82"/>
    <w:rsid w:val="004D31F3"/>
    <w:rsid w:val="004D3876"/>
    <w:rsid w:val="004E4552"/>
    <w:rsid w:val="00511620"/>
    <w:rsid w:val="00525E82"/>
    <w:rsid w:val="00542519"/>
    <w:rsid w:val="00553C9D"/>
    <w:rsid w:val="00562A66"/>
    <w:rsid w:val="005B064E"/>
    <w:rsid w:val="005D51AE"/>
    <w:rsid w:val="0062674B"/>
    <w:rsid w:val="006363B2"/>
    <w:rsid w:val="00644940"/>
    <w:rsid w:val="006818A9"/>
    <w:rsid w:val="006A2D81"/>
    <w:rsid w:val="006C0886"/>
    <w:rsid w:val="006C1D0D"/>
    <w:rsid w:val="0070601E"/>
    <w:rsid w:val="00712C72"/>
    <w:rsid w:val="00735FE9"/>
    <w:rsid w:val="00763CAA"/>
    <w:rsid w:val="00764A8B"/>
    <w:rsid w:val="00765F66"/>
    <w:rsid w:val="007C3FA6"/>
    <w:rsid w:val="007D585A"/>
    <w:rsid w:val="007D5A12"/>
    <w:rsid w:val="007E59F9"/>
    <w:rsid w:val="00810BCD"/>
    <w:rsid w:val="00812C98"/>
    <w:rsid w:val="00814D92"/>
    <w:rsid w:val="008213F2"/>
    <w:rsid w:val="0083181D"/>
    <w:rsid w:val="00874BBC"/>
    <w:rsid w:val="00892135"/>
    <w:rsid w:val="00895449"/>
    <w:rsid w:val="00897879"/>
    <w:rsid w:val="008A6870"/>
    <w:rsid w:val="008C2DDC"/>
    <w:rsid w:val="008C7516"/>
    <w:rsid w:val="008E483E"/>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021C4"/>
    <w:rsid w:val="00C23B1A"/>
    <w:rsid w:val="00C310EB"/>
    <w:rsid w:val="00C635CE"/>
    <w:rsid w:val="00C73613"/>
    <w:rsid w:val="00C9176A"/>
    <w:rsid w:val="00CF1AA2"/>
    <w:rsid w:val="00D43F50"/>
    <w:rsid w:val="00D60E7E"/>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933FC"/>
    <w:rsid w:val="00FA2128"/>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1D53E8E-1D56-4F1B-B31B-98E365C25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F5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43F5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3F50"/>
    <w:rPr>
      <w:sz w:val="36"/>
      <w:szCs w:val="52"/>
    </w:rPr>
  </w:style>
  <w:style w:type="paragraph" w:customStyle="1" w:styleId="Cover3-Haknesset">
    <w:name w:val="Cover 3-Haknesset"/>
    <w:basedOn w:val="Cover1-Reshumot"/>
    <w:rsid w:val="00D43F50"/>
    <w:rPr>
      <w:b/>
      <w:bCs/>
      <w:spacing w:val="60"/>
    </w:rPr>
  </w:style>
  <w:style w:type="paragraph" w:customStyle="1" w:styleId="Cover4-Date">
    <w:name w:val="Cover 4-Date"/>
    <w:basedOn w:val="a"/>
    <w:rsid w:val="00D43F5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43F5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43F5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43F50"/>
    <w:pPr>
      <w:spacing w:before="120" w:after="120"/>
    </w:pPr>
    <w:rPr>
      <w:color w:val="FF0000"/>
      <w:w w:val="80"/>
    </w:rPr>
  </w:style>
  <w:style w:type="paragraph" w:styleId="a3">
    <w:name w:val="endnote text"/>
    <w:basedOn w:val="a"/>
    <w:semiHidden/>
    <w:rsid w:val="00D43F50"/>
    <w:pPr>
      <w:ind w:left="227" w:hanging="227"/>
    </w:pPr>
    <w:rPr>
      <w:sz w:val="14"/>
      <w:szCs w:val="22"/>
    </w:rPr>
  </w:style>
  <w:style w:type="paragraph" w:customStyle="1" w:styleId="TableText">
    <w:name w:val="Table Text"/>
    <w:basedOn w:val="a"/>
    <w:rsid w:val="00D43F5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43F50"/>
  </w:style>
  <w:style w:type="paragraph" w:customStyle="1" w:styleId="TableBlock">
    <w:name w:val="Table Block"/>
    <w:basedOn w:val="TableText"/>
    <w:rsid w:val="00D43F50"/>
    <w:pPr>
      <w:ind w:right="0"/>
      <w:jc w:val="both"/>
    </w:pPr>
  </w:style>
  <w:style w:type="paragraph" w:customStyle="1" w:styleId="TableHead">
    <w:name w:val="Table Head"/>
    <w:basedOn w:val="TableText"/>
    <w:rsid w:val="00D43F5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43F50"/>
  </w:style>
  <w:style w:type="paragraph" w:customStyle="1" w:styleId="Hesber">
    <w:name w:val="Hesber"/>
    <w:basedOn w:val="a"/>
    <w:rsid w:val="00D43F5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D43F5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D43F50"/>
    <w:rPr>
      <w:vertAlign w:val="superscript"/>
    </w:rPr>
  </w:style>
  <w:style w:type="paragraph" w:customStyle="1" w:styleId="HesberHeading">
    <w:name w:val="Hesber Heading"/>
    <w:basedOn w:val="Hesber"/>
    <w:rsid w:val="00D43F50"/>
    <w:pPr>
      <w:tabs>
        <w:tab w:val="left" w:pos="624"/>
        <w:tab w:val="left" w:pos="1247"/>
      </w:tabs>
      <w:ind w:firstLine="0"/>
    </w:pPr>
    <w:rPr>
      <w:b/>
      <w:bCs/>
    </w:rPr>
  </w:style>
  <w:style w:type="paragraph" w:customStyle="1" w:styleId="HesberWriters">
    <w:name w:val="Hesber Writers"/>
    <w:basedOn w:val="Hesber"/>
    <w:rsid w:val="00D43F50"/>
    <w:pPr>
      <w:spacing w:before="120" w:after="6000"/>
      <w:ind w:left="1418" w:firstLine="0"/>
      <w:jc w:val="right"/>
    </w:pPr>
    <w:rPr>
      <w:b/>
      <w:bCs/>
    </w:rPr>
  </w:style>
  <w:style w:type="paragraph" w:customStyle="1" w:styleId="Hesber1st">
    <w:name w:val="Hesber 1st"/>
    <w:basedOn w:val="Hesber"/>
    <w:rsid w:val="00D43F50"/>
    <w:pPr>
      <w:tabs>
        <w:tab w:val="left" w:pos="680"/>
        <w:tab w:val="left" w:pos="1020"/>
      </w:tabs>
      <w:ind w:firstLine="0"/>
    </w:pPr>
  </w:style>
  <w:style w:type="character" w:styleId="a6">
    <w:name w:val="endnote reference"/>
    <w:basedOn w:val="a0"/>
    <w:semiHidden/>
    <w:rsid w:val="00D43F50"/>
    <w:rPr>
      <w:vertAlign w:val="superscript"/>
    </w:rPr>
  </w:style>
  <w:style w:type="paragraph" w:customStyle="1" w:styleId="TableBlockOutdent">
    <w:name w:val="Table BlockOutdent"/>
    <w:basedOn w:val="TableBlock"/>
    <w:rsid w:val="00D43F50"/>
    <w:pPr>
      <w:ind w:left="624" w:hanging="624"/>
    </w:pPr>
  </w:style>
  <w:style w:type="paragraph" w:styleId="a7">
    <w:name w:val="header"/>
    <w:basedOn w:val="a"/>
    <w:rsid w:val="00D43F50"/>
    <w:pPr>
      <w:tabs>
        <w:tab w:val="center" w:pos="4153"/>
        <w:tab w:val="right" w:pos="8306"/>
      </w:tabs>
    </w:pPr>
  </w:style>
  <w:style w:type="paragraph" w:styleId="a8">
    <w:name w:val="footer"/>
    <w:basedOn w:val="a"/>
    <w:rsid w:val="00D43F50"/>
    <w:pPr>
      <w:tabs>
        <w:tab w:val="center" w:pos="4153"/>
        <w:tab w:val="right" w:pos="8306"/>
      </w:tabs>
    </w:pPr>
  </w:style>
  <w:style w:type="paragraph" w:customStyle="1" w:styleId="HeadDivreiHesber">
    <w:name w:val="Head DivreiHesber"/>
    <w:basedOn w:val="a"/>
    <w:rsid w:val="00D43F5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43F50"/>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D43F5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1D3336-152D-4B2D-B552-47C2FB0D6644}"/>
</file>

<file path=customXml/itemProps4.xml><?xml version="1.0" encoding="utf-8"?>
<ds:datastoreItem xmlns:ds="http://schemas.openxmlformats.org/officeDocument/2006/customXml" ds:itemID="{A1C51BEF-4A36-4C7D-8ACE-909C588ED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372</Words>
  <Characters>1863</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2015-06-09T11:57:00Z</cp:lastPrinted>
  <dcterms:created xsi:type="dcterms:W3CDTF">2017-11-16T13:12:00Z</dcterms:created>
  <dcterms:modified xsi:type="dcterms:W3CDTF">2017-11-16T13:12:00Z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2023402</vt:r8>
  </property>
</Properties>
</file>