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563941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DA5B5C">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בן צור</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בצלאל סמוטריץ'</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D3B983"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פ/1382/20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DA5B5C">
      <w:pPr>
        <w:pStyle w:val="HeadHatzaotHok"/>
        <w:rPr>
          <w:rtl/>
        </w:rPr>
      </w:pPr>
      <w:bookmarkStart w:id="8" w:name="LGS_Subject"/>
      <w:r>
        <w:rPr>
          <w:rFonts w:hint="cs"/>
          <w:rtl/>
        </w:rPr>
        <w:t xml:space="preserve">הצעת חוק איסור הונאה בכשרות (תיקון – הבהרת מצג כשרותי אסור),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222AF1" w14:paraId="22A78320" w14:textId="77777777" w:rsidTr="00710E26">
        <w:trPr>
          <w:cantSplit/>
        </w:trPr>
        <w:tc>
          <w:tcPr>
            <w:tcW w:w="1870" w:type="dxa"/>
            <w:hideMark/>
          </w:tcPr>
          <w:p w14:paraId="394D3E64" w14:textId="5EF14875" w:rsidR="00222AF1" w:rsidRPr="00187FF3" w:rsidRDefault="00222AF1" w:rsidP="00A82F4D">
            <w:pPr>
              <w:pStyle w:val="TableSideHeading"/>
              <w:ind w:right="0"/>
            </w:pPr>
            <w:r w:rsidRPr="00187FF3">
              <w:rPr>
                <w:rFonts w:hint="cs"/>
                <w:rtl/>
              </w:rPr>
              <w:t xml:space="preserve">תיקון סעיף </w:t>
            </w:r>
            <w:r w:rsidR="00A82F4D">
              <w:rPr>
                <w:rFonts w:hint="cs"/>
                <w:rtl/>
              </w:rPr>
              <w:t>1</w:t>
            </w:r>
          </w:p>
        </w:tc>
        <w:tc>
          <w:tcPr>
            <w:tcW w:w="624" w:type="dxa"/>
            <w:hideMark/>
          </w:tcPr>
          <w:p w14:paraId="635F4E4E" w14:textId="77777777" w:rsidR="00222AF1" w:rsidRDefault="00222AF1" w:rsidP="00187FF3">
            <w:pPr>
              <w:pStyle w:val="TableText"/>
              <w:ind w:right="0"/>
              <w:jc w:val="both"/>
            </w:pPr>
            <w:r>
              <w:rPr>
                <w:rFonts w:hint="cs"/>
                <w:rtl/>
              </w:rPr>
              <w:t>1.</w:t>
            </w:r>
          </w:p>
        </w:tc>
        <w:tc>
          <w:tcPr>
            <w:tcW w:w="7144" w:type="dxa"/>
            <w:gridSpan w:val="2"/>
            <w:hideMark/>
          </w:tcPr>
          <w:p w14:paraId="77E83789" w14:textId="7890DD4D" w:rsidR="00222AF1" w:rsidRPr="00187FF3" w:rsidRDefault="00222AF1" w:rsidP="00AB01D5">
            <w:pPr>
              <w:pStyle w:val="TableBlock"/>
            </w:pPr>
            <w:r w:rsidRPr="00187FF3">
              <w:rPr>
                <w:rFonts w:hint="cs"/>
                <w:rtl/>
              </w:rPr>
              <w:t xml:space="preserve">בחוק איסור הונאה בכשרות, </w:t>
            </w:r>
            <w:proofErr w:type="spellStart"/>
            <w:r w:rsidR="00187FF3" w:rsidRPr="00187FF3">
              <w:rPr>
                <w:rFonts w:hint="cs"/>
                <w:rtl/>
              </w:rPr>
              <w:t>ה</w:t>
            </w:r>
            <w:r w:rsidRPr="00187FF3">
              <w:rPr>
                <w:rFonts w:hint="cs"/>
                <w:rtl/>
              </w:rPr>
              <w:t>תשמ"ג</w:t>
            </w:r>
            <w:proofErr w:type="spellEnd"/>
            <w:r w:rsidR="00187FF3" w:rsidRPr="00187FF3">
              <w:rPr>
                <w:rFonts w:hint="eastAsia"/>
                <w:rtl/>
              </w:rPr>
              <w:t>–</w:t>
            </w:r>
            <w:r w:rsidRPr="00187FF3">
              <w:rPr>
                <w:rFonts w:hint="cs"/>
                <w:rtl/>
              </w:rPr>
              <w:t>1983</w:t>
            </w:r>
            <w:r w:rsidR="00187FF3" w:rsidRPr="00083986">
              <w:rPr>
                <w:szCs w:val="20"/>
                <w:rtl/>
              </w:rPr>
              <w:footnoteReference w:id="2"/>
            </w:r>
            <w:r w:rsidRPr="00187FF3">
              <w:rPr>
                <w:rFonts w:hint="cs"/>
                <w:rtl/>
              </w:rPr>
              <w:t xml:space="preserve">, בסעיף 1, בסופו יבוא: </w:t>
            </w:r>
          </w:p>
        </w:tc>
      </w:tr>
      <w:tr w:rsidR="006E0071" w14:paraId="0E6A061E" w14:textId="77777777" w:rsidTr="00710E26">
        <w:trPr>
          <w:cantSplit/>
        </w:trPr>
        <w:tc>
          <w:tcPr>
            <w:tcW w:w="1870" w:type="dxa"/>
          </w:tcPr>
          <w:p w14:paraId="2DAB6A57" w14:textId="77777777" w:rsidR="006E0071" w:rsidRDefault="006E0071" w:rsidP="00C6787C">
            <w:pPr>
              <w:pStyle w:val="TableSideHeading"/>
              <w:rPr>
                <w:sz w:val="26"/>
                <w:rtl/>
              </w:rPr>
            </w:pPr>
          </w:p>
        </w:tc>
        <w:tc>
          <w:tcPr>
            <w:tcW w:w="624" w:type="dxa"/>
          </w:tcPr>
          <w:p w14:paraId="241B6393" w14:textId="77777777" w:rsidR="006E0071" w:rsidRDefault="006E0071" w:rsidP="006E0071">
            <w:pPr>
              <w:pStyle w:val="TableText"/>
              <w:rPr>
                <w:rtl/>
              </w:rPr>
            </w:pPr>
          </w:p>
        </w:tc>
        <w:tc>
          <w:tcPr>
            <w:tcW w:w="7144" w:type="dxa"/>
            <w:gridSpan w:val="2"/>
          </w:tcPr>
          <w:p w14:paraId="49C7BB52" w14:textId="77F43932" w:rsidR="006E0071" w:rsidRDefault="00187FF3" w:rsidP="00AB01D5">
            <w:pPr>
              <w:pStyle w:val="TableBlockOutdent"/>
              <w:rPr>
                <w:sz w:val="26"/>
                <w:rtl/>
              </w:rPr>
            </w:pPr>
            <w:r w:rsidRPr="00187FF3">
              <w:rPr>
                <w:rFonts w:hint="cs"/>
                <w:rtl/>
              </w:rPr>
              <w:t>"</w:t>
            </w:r>
            <w:r w:rsidR="0054003E">
              <w:rPr>
                <w:rFonts w:hint="cs"/>
                <w:rtl/>
              </w:rPr>
              <w:t>"</w:t>
            </w:r>
            <w:r w:rsidRPr="00F04A45">
              <w:rPr>
                <w:rFonts w:hint="eastAsia"/>
                <w:rtl/>
              </w:rPr>
              <w:t>כשר</w:t>
            </w:r>
            <w:r w:rsidRPr="00F04A45">
              <w:rPr>
                <w:rtl/>
              </w:rPr>
              <w:t>"</w:t>
            </w:r>
            <w:r w:rsidRPr="00187FF3">
              <w:rPr>
                <w:rFonts w:hint="cs"/>
                <w:rtl/>
              </w:rPr>
              <w:t xml:space="preserve"> </w:t>
            </w:r>
            <w:r w:rsidRPr="00187FF3">
              <w:rPr>
                <w:rFonts w:hint="eastAsia"/>
                <w:rtl/>
              </w:rPr>
              <w:t>–</w:t>
            </w:r>
            <w:r w:rsidRPr="00187FF3">
              <w:rPr>
                <w:rFonts w:hint="cs"/>
                <w:rtl/>
              </w:rPr>
              <w:t xml:space="preserve"> לרבות </w:t>
            </w:r>
            <w:r w:rsidRPr="00F04A45">
              <w:rPr>
                <w:rFonts w:hint="eastAsia"/>
                <w:rtl/>
              </w:rPr>
              <w:t>מצג</w:t>
            </w:r>
            <w:r w:rsidRPr="00187FF3">
              <w:rPr>
                <w:rFonts w:hint="cs"/>
                <w:rtl/>
              </w:rPr>
              <w:t xml:space="preserve"> או סימון המעיד כי נשמרים דיני כשרות, </w:t>
            </w:r>
            <w:r w:rsidR="0006212A">
              <w:rPr>
                <w:rFonts w:hint="cs"/>
                <w:rtl/>
              </w:rPr>
              <w:t xml:space="preserve">ובכלל זה </w:t>
            </w:r>
            <w:r w:rsidR="00D4205A">
              <w:rPr>
                <w:rFonts w:hint="cs"/>
                <w:rtl/>
              </w:rPr>
              <w:t xml:space="preserve">מצג או סימון כאמור </w:t>
            </w:r>
            <w:r w:rsidR="00806EF4">
              <w:rPr>
                <w:rFonts w:hint="cs"/>
                <w:rtl/>
              </w:rPr>
              <w:t xml:space="preserve">אף אם </w:t>
            </w:r>
            <w:r w:rsidR="00D4205A">
              <w:rPr>
                <w:rFonts w:hint="cs"/>
                <w:rtl/>
              </w:rPr>
              <w:t xml:space="preserve">מתקיים בהם אחד </w:t>
            </w:r>
            <w:r w:rsidR="00806EF4">
              <w:rPr>
                <w:rFonts w:hint="cs"/>
                <w:rtl/>
              </w:rPr>
              <w:t xml:space="preserve">או יותר </w:t>
            </w:r>
            <w:r w:rsidR="00D4205A">
              <w:rPr>
                <w:rFonts w:hint="cs"/>
                <w:rtl/>
              </w:rPr>
              <w:t>מאלה:</w:t>
            </w:r>
            <w:r w:rsidR="00AB01D5">
              <w:rPr>
                <w:sz w:val="26"/>
                <w:rtl/>
              </w:rPr>
              <w:t xml:space="preserve">  </w:t>
            </w:r>
          </w:p>
        </w:tc>
      </w:tr>
      <w:tr w:rsidR="00DC16A1" w14:paraId="20146A2E" w14:textId="77777777" w:rsidTr="006F17E5">
        <w:trPr>
          <w:cantSplit/>
          <w:trHeight w:val="60"/>
        </w:trPr>
        <w:tc>
          <w:tcPr>
            <w:tcW w:w="1870" w:type="dxa"/>
          </w:tcPr>
          <w:p w14:paraId="5B6C3BDA" w14:textId="77777777" w:rsidR="00DC16A1" w:rsidRDefault="00DC16A1">
            <w:pPr>
              <w:pStyle w:val="TableSideHeading"/>
            </w:pPr>
          </w:p>
        </w:tc>
        <w:tc>
          <w:tcPr>
            <w:tcW w:w="624" w:type="dxa"/>
          </w:tcPr>
          <w:p w14:paraId="6240F4DB" w14:textId="77777777" w:rsidR="00DC16A1" w:rsidRDefault="00DC16A1">
            <w:pPr>
              <w:pStyle w:val="TableText"/>
            </w:pPr>
          </w:p>
        </w:tc>
        <w:tc>
          <w:tcPr>
            <w:tcW w:w="624" w:type="dxa"/>
          </w:tcPr>
          <w:p w14:paraId="70FE6D84" w14:textId="77777777" w:rsidR="00DC16A1" w:rsidRDefault="00DC16A1">
            <w:pPr>
              <w:pStyle w:val="TableText"/>
            </w:pPr>
          </w:p>
        </w:tc>
        <w:tc>
          <w:tcPr>
            <w:tcW w:w="6520" w:type="dxa"/>
          </w:tcPr>
          <w:p w14:paraId="33CB7A02" w14:textId="4C314395" w:rsidR="00DC16A1" w:rsidRPr="00DC16A1" w:rsidRDefault="00DC16A1" w:rsidP="00DC16A1">
            <w:pPr>
              <w:pStyle w:val="TableBlock"/>
            </w:pPr>
            <w:r w:rsidRPr="00DC16A1">
              <w:rPr>
                <w:rFonts w:hint="cs"/>
                <w:rtl/>
              </w:rPr>
              <w:t>(1)</w:t>
            </w:r>
            <w:r w:rsidRPr="00DC16A1">
              <w:rPr>
                <w:rtl/>
              </w:rPr>
              <w:tab/>
            </w:r>
            <w:r w:rsidRPr="00DC16A1">
              <w:rPr>
                <w:rFonts w:hint="cs"/>
                <w:rtl/>
              </w:rPr>
              <w:t>לא נעשה שימוש בביטוי כשר;</w:t>
            </w:r>
          </w:p>
        </w:tc>
      </w:tr>
      <w:tr w:rsidR="00DC16A1" w14:paraId="63FFC33D" w14:textId="77777777" w:rsidTr="00507496">
        <w:trPr>
          <w:cantSplit/>
          <w:trHeight w:val="60"/>
        </w:trPr>
        <w:tc>
          <w:tcPr>
            <w:tcW w:w="1870" w:type="dxa"/>
          </w:tcPr>
          <w:p w14:paraId="682B63EC" w14:textId="77777777" w:rsidR="00DC16A1" w:rsidRDefault="00DC16A1">
            <w:pPr>
              <w:pStyle w:val="TableSideHeading"/>
            </w:pPr>
          </w:p>
        </w:tc>
        <w:tc>
          <w:tcPr>
            <w:tcW w:w="624" w:type="dxa"/>
          </w:tcPr>
          <w:p w14:paraId="63A535FD" w14:textId="77777777" w:rsidR="00DC16A1" w:rsidRDefault="00DC16A1">
            <w:pPr>
              <w:pStyle w:val="TableText"/>
            </w:pPr>
          </w:p>
        </w:tc>
        <w:tc>
          <w:tcPr>
            <w:tcW w:w="624" w:type="dxa"/>
          </w:tcPr>
          <w:p w14:paraId="54152245" w14:textId="77777777" w:rsidR="00DC16A1" w:rsidRDefault="00DC16A1">
            <w:pPr>
              <w:pStyle w:val="TableText"/>
            </w:pPr>
          </w:p>
        </w:tc>
        <w:tc>
          <w:tcPr>
            <w:tcW w:w="6520" w:type="dxa"/>
          </w:tcPr>
          <w:p w14:paraId="6276008B" w14:textId="7764C828" w:rsidR="00DC16A1" w:rsidRDefault="00DC16A1" w:rsidP="00DC16A1">
            <w:pPr>
              <w:pStyle w:val="TableBlock"/>
            </w:pPr>
            <w:r>
              <w:rPr>
                <w:rFonts w:hint="cs"/>
                <w:rtl/>
              </w:rPr>
              <w:t>(2)</w:t>
            </w:r>
            <w:r>
              <w:rPr>
                <w:rtl/>
              </w:rPr>
              <w:tab/>
            </w:r>
            <w:r>
              <w:rPr>
                <w:rFonts w:hint="cs"/>
                <w:rtl/>
              </w:rPr>
              <w:t>צוין במפורש כי מצג או סימון זה אינו מטעם הגורם הרשאי לתת תעודת הכשר לפי סעיף 2;</w:t>
            </w:r>
          </w:p>
        </w:tc>
      </w:tr>
      <w:tr w:rsidR="00DC16A1" w14:paraId="50988107" w14:textId="77777777" w:rsidTr="000D0D93">
        <w:trPr>
          <w:cantSplit/>
          <w:trHeight w:val="60"/>
        </w:trPr>
        <w:tc>
          <w:tcPr>
            <w:tcW w:w="1870" w:type="dxa"/>
          </w:tcPr>
          <w:p w14:paraId="2539444A" w14:textId="77777777" w:rsidR="00DC16A1" w:rsidRDefault="00DC16A1">
            <w:pPr>
              <w:pStyle w:val="TableSideHeading"/>
            </w:pPr>
          </w:p>
        </w:tc>
        <w:tc>
          <w:tcPr>
            <w:tcW w:w="624" w:type="dxa"/>
          </w:tcPr>
          <w:p w14:paraId="20FD948A" w14:textId="77777777" w:rsidR="00DC16A1" w:rsidRDefault="00DC16A1">
            <w:pPr>
              <w:pStyle w:val="TableText"/>
            </w:pPr>
          </w:p>
        </w:tc>
        <w:tc>
          <w:tcPr>
            <w:tcW w:w="624" w:type="dxa"/>
          </w:tcPr>
          <w:p w14:paraId="3B383AD0" w14:textId="77777777" w:rsidR="00DC16A1" w:rsidRDefault="00DC16A1">
            <w:pPr>
              <w:pStyle w:val="TableText"/>
            </w:pPr>
          </w:p>
        </w:tc>
        <w:tc>
          <w:tcPr>
            <w:tcW w:w="6520" w:type="dxa"/>
          </w:tcPr>
          <w:p w14:paraId="4BE94F6A" w14:textId="1437B3FE" w:rsidR="00DC16A1" w:rsidRDefault="00DC16A1" w:rsidP="00DC16A1">
            <w:pPr>
              <w:pStyle w:val="TableBlock"/>
            </w:pPr>
            <w:r>
              <w:rPr>
                <w:rFonts w:hint="cs"/>
                <w:rtl/>
              </w:rPr>
              <w:t>(3)</w:t>
            </w:r>
            <w:r>
              <w:rPr>
                <w:rtl/>
              </w:rPr>
              <w:tab/>
            </w:r>
            <w:r>
              <w:rPr>
                <w:rFonts w:hint="cs"/>
                <w:rtl/>
              </w:rPr>
              <w:t>צוין במפורש כי לא ניתנה תעודת הכשר לפי סעיף 2."</w:t>
            </w:r>
          </w:p>
        </w:tc>
      </w:tr>
    </w:tbl>
    <w:p w14:paraId="7F6961CA" w14:textId="2027DC7D" w:rsidR="002D1EE3" w:rsidRDefault="002D1EE3" w:rsidP="002D1EE3">
      <w:pPr>
        <w:pStyle w:val="HeadDivreiHesber"/>
        <w:rPr>
          <w:rtl/>
        </w:rPr>
      </w:pPr>
      <w:r w:rsidRPr="0027450A">
        <w:rPr>
          <w:rFonts w:hint="cs"/>
          <w:rtl/>
        </w:rPr>
        <w:t>דברי הסבר</w:t>
      </w:r>
    </w:p>
    <w:p w14:paraId="7EC63168" w14:textId="4A65BB8E" w:rsidR="00222AF1" w:rsidRPr="006618E1" w:rsidRDefault="00222AF1" w:rsidP="006618E1">
      <w:pPr>
        <w:pStyle w:val="Hesber"/>
        <w:rPr>
          <w:rtl/>
        </w:rPr>
      </w:pPr>
      <w:r w:rsidRPr="006618E1">
        <w:rPr>
          <w:rFonts w:hint="cs"/>
          <w:rtl/>
        </w:rPr>
        <w:t xml:space="preserve">תכליתו של חוק איסור הונאה בכשרות, </w:t>
      </w:r>
      <w:proofErr w:type="spellStart"/>
      <w:r w:rsidR="006618E1" w:rsidRPr="006618E1">
        <w:rPr>
          <w:rFonts w:hint="cs"/>
          <w:rtl/>
        </w:rPr>
        <w:t>ה</w:t>
      </w:r>
      <w:r w:rsidRPr="006618E1">
        <w:rPr>
          <w:rFonts w:hint="cs"/>
          <w:rtl/>
        </w:rPr>
        <w:t>תשמ"ג</w:t>
      </w:r>
      <w:proofErr w:type="spellEnd"/>
      <w:r w:rsidR="006618E1" w:rsidRPr="006618E1">
        <w:rPr>
          <w:rFonts w:hint="eastAsia"/>
          <w:rtl/>
        </w:rPr>
        <w:t>–</w:t>
      </w:r>
      <w:r w:rsidRPr="006618E1">
        <w:rPr>
          <w:rFonts w:hint="cs"/>
          <w:rtl/>
        </w:rPr>
        <w:t>1983</w:t>
      </w:r>
      <w:r w:rsidR="00F04A45" w:rsidRPr="006618E1">
        <w:rPr>
          <w:rFonts w:hint="cs"/>
          <w:rtl/>
        </w:rPr>
        <w:t xml:space="preserve"> (להלן</w:t>
      </w:r>
      <w:r w:rsidR="006618E1" w:rsidRPr="006618E1">
        <w:rPr>
          <w:rFonts w:hint="cs"/>
          <w:rtl/>
        </w:rPr>
        <w:t xml:space="preserve"> </w:t>
      </w:r>
      <w:r w:rsidR="006618E1" w:rsidRPr="006618E1">
        <w:rPr>
          <w:rFonts w:hint="eastAsia"/>
          <w:rtl/>
        </w:rPr>
        <w:t>–</w:t>
      </w:r>
      <w:r w:rsidR="006618E1" w:rsidRPr="006618E1">
        <w:rPr>
          <w:rFonts w:hint="cs"/>
          <w:rtl/>
        </w:rPr>
        <w:t xml:space="preserve"> </w:t>
      </w:r>
      <w:r w:rsidR="00F04A45" w:rsidRPr="006618E1">
        <w:rPr>
          <w:rFonts w:hint="cs"/>
          <w:rtl/>
        </w:rPr>
        <w:t>החוק)</w:t>
      </w:r>
      <w:r w:rsidRPr="006618E1">
        <w:rPr>
          <w:rFonts w:hint="cs"/>
          <w:rtl/>
        </w:rPr>
        <w:t xml:space="preserve">, הוא להגן על צרכני הכשרות בישראל ולמנוע את הונאתם. תכלית זו מושגת באמצעות הקביעה בחוק שמצג כשרותי לגבי בית אוכל או מצרך הוא אפשרי אך ורק אם ניתנה לבית האוכל או למצרך תעודת הכשר מטעם הגורם המוסמך. המחוקק הגן על צרכני הכשרות בכך שהעניק בלעדיות לגורמים המוסמכים על פי החוק לקבוע האם בית האוכל או מצרך מזון אכן כשר. </w:t>
      </w:r>
    </w:p>
    <w:p w14:paraId="1B70851D" w14:textId="2DC61073" w:rsidR="00222AF1" w:rsidRPr="006618E1" w:rsidRDefault="00222AF1" w:rsidP="006618E1">
      <w:pPr>
        <w:pStyle w:val="Hesber"/>
        <w:rPr>
          <w:rtl/>
        </w:rPr>
      </w:pPr>
      <w:r w:rsidRPr="006618E1">
        <w:rPr>
          <w:rFonts w:hint="cs"/>
          <w:rtl/>
        </w:rPr>
        <w:t xml:space="preserve">בהתאם לסעיף 2 לחוק, הגורמים המוסמכים </w:t>
      </w:r>
      <w:proofErr w:type="spellStart"/>
      <w:r w:rsidRPr="006618E1">
        <w:rPr>
          <w:rFonts w:hint="cs"/>
          <w:rtl/>
        </w:rPr>
        <w:t>ליתן</w:t>
      </w:r>
      <w:proofErr w:type="spellEnd"/>
      <w:r w:rsidRPr="006618E1">
        <w:rPr>
          <w:rFonts w:hint="cs"/>
          <w:rtl/>
        </w:rPr>
        <w:t xml:space="preserve"> תעודת הכשר הם מועצת הרבנות הראשית לישראל או רב שהסמיכה לכך, רב מקומי בתחום כהונתו ורב צבאי. הגורמים המוסמכים כאמור, נדרשים לפעול בהתאם </w:t>
      </w:r>
      <w:r w:rsidRPr="006618E1">
        <w:rPr>
          <w:rFonts w:hint="eastAsia"/>
          <w:rtl/>
        </w:rPr>
        <w:t>לנהלי</w:t>
      </w:r>
      <w:r w:rsidRPr="006618E1">
        <w:rPr>
          <w:rtl/>
        </w:rPr>
        <w:t xml:space="preserve"> </w:t>
      </w:r>
      <w:r w:rsidRPr="006618E1">
        <w:rPr>
          <w:rFonts w:hint="eastAsia"/>
          <w:rtl/>
        </w:rPr>
        <w:t>הכשרות</w:t>
      </w:r>
      <w:r w:rsidRPr="006618E1">
        <w:rPr>
          <w:rtl/>
        </w:rPr>
        <w:t xml:space="preserve"> </w:t>
      </w:r>
      <w:r w:rsidRPr="006618E1">
        <w:rPr>
          <w:rFonts w:hint="eastAsia"/>
          <w:rtl/>
        </w:rPr>
        <w:t>שקבעה</w:t>
      </w:r>
      <w:r w:rsidRPr="006618E1">
        <w:rPr>
          <w:rtl/>
        </w:rPr>
        <w:t xml:space="preserve"> </w:t>
      </w:r>
      <w:r w:rsidRPr="006618E1">
        <w:rPr>
          <w:rFonts w:hint="eastAsia"/>
          <w:rtl/>
        </w:rPr>
        <w:t>מועצת</w:t>
      </w:r>
      <w:r w:rsidRPr="006618E1">
        <w:rPr>
          <w:rtl/>
        </w:rPr>
        <w:t xml:space="preserve"> </w:t>
      </w:r>
      <w:r w:rsidRPr="006618E1">
        <w:rPr>
          <w:rFonts w:hint="eastAsia"/>
          <w:rtl/>
        </w:rPr>
        <w:t>הרבנות</w:t>
      </w:r>
      <w:r w:rsidRPr="006618E1">
        <w:rPr>
          <w:rtl/>
        </w:rPr>
        <w:t xml:space="preserve"> </w:t>
      </w:r>
      <w:r w:rsidRPr="006618E1">
        <w:rPr>
          <w:rFonts w:hint="eastAsia"/>
          <w:rtl/>
        </w:rPr>
        <w:t>הראשית</w:t>
      </w:r>
      <w:r w:rsidRPr="006618E1">
        <w:rPr>
          <w:rtl/>
        </w:rPr>
        <w:t xml:space="preserve"> </w:t>
      </w:r>
      <w:r w:rsidRPr="006618E1">
        <w:rPr>
          <w:rFonts w:hint="eastAsia"/>
          <w:rtl/>
        </w:rPr>
        <w:t>לישראל</w:t>
      </w:r>
      <w:r w:rsidRPr="006618E1">
        <w:rPr>
          <w:rtl/>
        </w:rPr>
        <w:t>.</w:t>
      </w:r>
      <w:r w:rsidRPr="006618E1">
        <w:rPr>
          <w:rFonts w:hint="cs"/>
          <w:rtl/>
        </w:rPr>
        <w:t xml:space="preserve"> </w:t>
      </w:r>
    </w:p>
    <w:p w14:paraId="4AF6E411" w14:textId="77777777" w:rsidR="00B832D8" w:rsidRPr="006618E1" w:rsidRDefault="00222AF1" w:rsidP="006618E1">
      <w:pPr>
        <w:pStyle w:val="Hesber"/>
        <w:rPr>
          <w:rtl/>
        </w:rPr>
      </w:pPr>
      <w:r w:rsidRPr="006618E1">
        <w:rPr>
          <w:rFonts w:hint="cs"/>
          <w:rtl/>
        </w:rPr>
        <w:lastRenderedPageBreak/>
        <w:t xml:space="preserve">בהתאם לפרשנות החוק שנהגה עד כה, החוק נאכף גם על בתי אוכל שהוצג בהם מצג כשרותי שניתן להבין ממנו כי המקום או המוצר הינם כשרים, אף אם המילה "כשר" על הטיותיה השונות, לא צוינה במסגרת מצג זה במפורש ואף אם לא צוין במסגרת המצג שהכשרות היא דווקא מטעם הרבנות הראשית או הרבנות המקומית. עצם הצגת מצג כשרותי ללא תעודת הכשר הובילה לפעולות אכיפה מצד גורמי הרבנות הראשית, מתוך רציונל שמצג שכזה נוגד את החוק ופוגע בצרכני הכשרות אף אם בבית האוכל צוין במפורש שאין בו תעודת הכשר מטעם הגורם המוסמך על פי חוק אולם הוצג לגביו מצג כשרותי ממנו ניתן להבין שדיני כשרות נשמרים בו.  </w:t>
      </w:r>
    </w:p>
    <w:p w14:paraId="54F6DB11" w14:textId="27905C32" w:rsidR="00222AF1" w:rsidRPr="006618E1" w:rsidRDefault="00222AF1" w:rsidP="006618E1">
      <w:pPr>
        <w:pStyle w:val="Hesber"/>
        <w:rPr>
          <w:rtl/>
        </w:rPr>
      </w:pPr>
      <w:r w:rsidRPr="006618E1">
        <w:rPr>
          <w:rFonts w:hint="cs"/>
          <w:rtl/>
        </w:rPr>
        <w:t xml:space="preserve">בימים אלו, מונחת לפתחו של בית המשפט </w:t>
      </w:r>
      <w:r w:rsidR="00270327" w:rsidRPr="006618E1">
        <w:rPr>
          <w:rFonts w:hint="cs"/>
          <w:rtl/>
        </w:rPr>
        <w:t xml:space="preserve">העליון בשבתו כבית המשפט גבוהה לצדק </w:t>
      </w:r>
      <w:r w:rsidRPr="006618E1">
        <w:rPr>
          <w:rFonts w:hint="cs"/>
          <w:rtl/>
        </w:rPr>
        <w:t>עתירה שהוגשה בהליך בג"ץ</w:t>
      </w:r>
      <w:r w:rsidR="000017CE" w:rsidRPr="006618E1">
        <w:rPr>
          <w:rFonts w:hint="cs"/>
          <w:rtl/>
        </w:rPr>
        <w:t>6494/14</w:t>
      </w:r>
      <w:r w:rsidR="006618E1" w:rsidRPr="006618E1">
        <w:rPr>
          <w:rFonts w:hint="cs"/>
          <w:rtl/>
        </w:rPr>
        <w:t>. עניינה של העתירה</w:t>
      </w:r>
      <w:r w:rsidRPr="006618E1">
        <w:rPr>
          <w:rFonts w:hint="cs"/>
          <w:rtl/>
        </w:rPr>
        <w:t xml:space="preserve"> הוא דרישת העותרים כי בית המשפט יורה שסעיף 3(א) לחוק 3, דינו פסלות נוכח היותו בלתי חוקתי</w:t>
      </w:r>
      <w:r w:rsidR="00270327" w:rsidRPr="006618E1">
        <w:rPr>
          <w:rFonts w:hint="cs"/>
          <w:rtl/>
        </w:rPr>
        <w:t>.</w:t>
      </w:r>
      <w:r w:rsidRPr="006618E1">
        <w:rPr>
          <w:rFonts w:hint="cs"/>
          <w:rtl/>
        </w:rPr>
        <w:t xml:space="preserve"> </w:t>
      </w:r>
      <w:r w:rsidR="00101949" w:rsidRPr="006618E1">
        <w:rPr>
          <w:rFonts w:hint="cs"/>
          <w:rtl/>
        </w:rPr>
        <w:t xml:space="preserve">זאת </w:t>
      </w:r>
      <w:r w:rsidRPr="006618E1">
        <w:rPr>
          <w:rFonts w:hint="cs"/>
          <w:rtl/>
        </w:rPr>
        <w:t xml:space="preserve">לטענתם, בשל פגיעתו בזכות לחופש העיסוק. לחלופין, מבקשים העותרים </w:t>
      </w:r>
      <w:r w:rsidRPr="006618E1">
        <w:rPr>
          <w:rtl/>
        </w:rPr>
        <w:t>–</w:t>
      </w:r>
      <w:r w:rsidRPr="006618E1">
        <w:rPr>
          <w:rFonts w:hint="cs"/>
          <w:rtl/>
        </w:rPr>
        <w:t xml:space="preserve"> בעלי בתי אוכל </w:t>
      </w:r>
      <w:r w:rsidR="006618E1" w:rsidRPr="006618E1">
        <w:rPr>
          <w:rFonts w:hint="eastAsia"/>
          <w:rtl/>
        </w:rPr>
        <w:t>–</w:t>
      </w:r>
      <w:r w:rsidRPr="006618E1">
        <w:rPr>
          <w:rFonts w:hint="cs"/>
          <w:rtl/>
        </w:rPr>
        <w:t xml:space="preserve"> </w:t>
      </w:r>
      <w:r w:rsidR="001C1A57">
        <w:rPr>
          <w:rFonts w:hint="cs"/>
          <w:rtl/>
        </w:rPr>
        <w:t xml:space="preserve"> </w:t>
      </w:r>
      <w:r w:rsidRPr="006618E1">
        <w:rPr>
          <w:rFonts w:hint="cs"/>
          <w:rtl/>
        </w:rPr>
        <w:t xml:space="preserve">כי תינתן לסעיף האמור פרשנות באופן שאינו שולל מהם להציג בכתב שבתי האוכל שבבעלותם כשרים, אף אם אין בידם תעודת הכשר של הרבנות הראשית או של רב מקומי או רב צבאי. </w:t>
      </w:r>
    </w:p>
    <w:p w14:paraId="1D3EF05F" w14:textId="39A21221" w:rsidR="00222AF1" w:rsidRPr="006618E1" w:rsidRDefault="00222AF1" w:rsidP="006618E1">
      <w:pPr>
        <w:pStyle w:val="Hesber"/>
        <w:rPr>
          <w:rtl/>
        </w:rPr>
      </w:pPr>
      <w:r w:rsidRPr="006618E1">
        <w:rPr>
          <w:rFonts w:hint="cs"/>
          <w:rtl/>
        </w:rPr>
        <w:t xml:space="preserve">מטרת התיקון הינה להבהיר את המצב המשפטי שנהג עד כה, כאמור לעיל, ולשלול את האפשרות מבעלי בתי אוכל או יצרנים להציג מצג כשרותי מכל סוג שהוא, </w:t>
      </w:r>
      <w:r w:rsidR="00B51B39" w:rsidRPr="006618E1">
        <w:rPr>
          <w:rFonts w:hint="cs"/>
          <w:rtl/>
        </w:rPr>
        <w:t>שעה</w:t>
      </w:r>
      <w:r w:rsidRPr="006618E1">
        <w:rPr>
          <w:rFonts w:hint="cs"/>
          <w:rtl/>
        </w:rPr>
        <w:t xml:space="preserve"> </w:t>
      </w:r>
      <w:r w:rsidR="00B51B39" w:rsidRPr="006618E1">
        <w:rPr>
          <w:rFonts w:hint="cs"/>
          <w:rtl/>
        </w:rPr>
        <w:t>ש</w:t>
      </w:r>
      <w:r w:rsidRPr="006618E1">
        <w:rPr>
          <w:rFonts w:hint="cs"/>
          <w:rtl/>
        </w:rPr>
        <w:t xml:space="preserve">לא ניתנה להם תעודת הכשר, וזאת על מנת להגן על הצרכן שומר הכשרות. </w:t>
      </w:r>
    </w:p>
    <w:p w14:paraId="12983425" w14:textId="071783A8" w:rsidR="00222AF1" w:rsidRPr="006618E1" w:rsidRDefault="00222AF1" w:rsidP="006618E1">
      <w:pPr>
        <w:pStyle w:val="Hesber"/>
        <w:rPr>
          <w:rtl/>
        </w:rPr>
      </w:pPr>
      <w:r w:rsidRPr="006618E1">
        <w:rPr>
          <w:rFonts w:hint="cs"/>
          <w:rtl/>
        </w:rPr>
        <w:t xml:space="preserve">יודגש, כי אין חובה שבית אוכל או מוצרי מזון יהיו כשרים, עם זאת, החוק נועד כאמור להסדיר את אופן הצגתם ככשרים, ככל שבעל בית אוכל או יצרן מעוניינים בכך.  </w:t>
      </w:r>
    </w:p>
    <w:p w14:paraId="0B268CE7" w14:textId="104F865C" w:rsidR="00280D62" w:rsidRDefault="00280D62" w:rsidP="006618E1">
      <w:pPr>
        <w:pStyle w:val="Hesber"/>
        <w:rPr>
          <w:rtl/>
        </w:rPr>
      </w:pPr>
      <w:r w:rsidRPr="006618E1">
        <w:rPr>
          <w:rFonts w:hint="cs"/>
          <w:rtl/>
        </w:rPr>
        <w:t>התיקון המוצע עומד בתנאי פסקת ההגבלה שבסעיף 4 לחוק יסוד: חופש העיסוק, שכן המדובר בחוק אשר הולם את ערכיה של מדינת ישראל ואשר נועד לתכלית ראויה, ובמידה שאינה עולה על הנדרש שכן כשם שלא יעלה על הדע</w:t>
      </w:r>
      <w:r w:rsidR="00DC16A1">
        <w:rPr>
          <w:rFonts w:hint="cs"/>
          <w:rtl/>
        </w:rPr>
        <w:t xml:space="preserve">ת האפשרות שרופא יציג עצמו </w:t>
      </w:r>
      <w:r w:rsidR="006618E1" w:rsidRPr="006618E1">
        <w:rPr>
          <w:rFonts w:hint="cs"/>
          <w:rtl/>
        </w:rPr>
        <w:t xml:space="preserve">כזה </w:t>
      </w:r>
      <w:r w:rsidRPr="006618E1">
        <w:rPr>
          <w:rFonts w:hint="cs"/>
          <w:rtl/>
        </w:rPr>
        <w:t xml:space="preserve">בלי אישור מתאים כחוק, </w:t>
      </w:r>
      <w:r w:rsidR="006618E1" w:rsidRPr="006618E1">
        <w:rPr>
          <w:rFonts w:hint="cs"/>
          <w:rtl/>
        </w:rPr>
        <w:t>כך</w:t>
      </w:r>
      <w:r w:rsidRPr="006618E1">
        <w:rPr>
          <w:rFonts w:hint="cs"/>
          <w:rtl/>
        </w:rPr>
        <w:t xml:space="preserve"> לא ניתן לאפשר לכל אזרח להכריע בשאלת כשרות המוצר ובהצגתו ככזה אלא רק על ידי הגורם המוסמך בחוק בסטנדרט אחיד ובאמצעות גורם ציבורי נטול אינטרס כלכלי.</w:t>
      </w:r>
    </w:p>
    <w:p w14:paraId="7236BBF4" w14:textId="287EEE73" w:rsidR="00DC16A1" w:rsidRDefault="00DC16A1" w:rsidP="006618E1">
      <w:pPr>
        <w:pStyle w:val="Hesber"/>
        <w:rPr>
          <w:rtl/>
        </w:rPr>
      </w:pPr>
    </w:p>
    <w:p w14:paraId="1238CF8C" w14:textId="77777777" w:rsidR="00DC16A1" w:rsidRPr="006618E1" w:rsidRDefault="00DC16A1" w:rsidP="006618E1">
      <w:pPr>
        <w:pStyle w:val="Hesber"/>
        <w:rPr>
          <w:rtl/>
        </w:rPr>
      </w:pPr>
    </w:p>
    <w:p w14:paraId="4F662135" w14:textId="77777777" w:rsidR="00DA5B5C" w:rsidRDefault="00DA5B5C" w:rsidP="007D251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1C14DE80" w14:textId="77777777" w:rsidR="00DA5B5C" w:rsidRDefault="00DA5B5C"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67A88BB8" w14:textId="77777777" w:rsidR="00DA5B5C" w:rsidRDefault="00DA5B5C"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2D96D974" w:rsidR="00E13C27" w:rsidRPr="00DA5B5C" w:rsidRDefault="00DA5B5C" w:rsidP="00DA5B5C">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כ"ח בסיוון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15.6.15</w:t>
      </w:r>
    </w:p>
    <w:sectPr w:rsidR="00E13C27" w:rsidRPr="00DA5B5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15367" w14:textId="77777777" w:rsidR="007163E0" w:rsidRDefault="007163E0">
      <w:r>
        <w:separator/>
      </w:r>
    </w:p>
  </w:endnote>
  <w:endnote w:type="continuationSeparator" w:id="0">
    <w:p w14:paraId="0CC20850" w14:textId="77777777" w:rsidR="007163E0" w:rsidRDefault="0071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DA089B">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BB233" w14:textId="77777777" w:rsidR="007163E0" w:rsidRDefault="007163E0">
      <w:r>
        <w:separator/>
      </w:r>
    </w:p>
  </w:footnote>
  <w:footnote w:type="continuationSeparator" w:id="0">
    <w:p w14:paraId="44F00D5D" w14:textId="77777777" w:rsidR="007163E0" w:rsidRDefault="007163E0">
      <w:r>
        <w:continuationSeparator/>
      </w:r>
    </w:p>
  </w:footnote>
  <w:footnote w:type="continuationNotice" w:id="1">
    <w:p w14:paraId="7A7B6949" w14:textId="77777777" w:rsidR="007163E0" w:rsidRDefault="007163E0"/>
  </w:footnote>
  <w:footnote w:id="2">
    <w:p w14:paraId="2644057F" w14:textId="04FA2498" w:rsidR="00187FF3" w:rsidRDefault="00187FF3">
      <w:pPr>
        <w:pStyle w:val="a4"/>
        <w:rPr>
          <w:rtl/>
        </w:rPr>
      </w:pPr>
      <w:r>
        <w:rPr>
          <w:rStyle w:val="a5"/>
        </w:rPr>
        <w:footnoteRef/>
      </w:r>
      <w:r>
        <w:rPr>
          <w:rtl/>
        </w:rPr>
        <w:t xml:space="preserve"> </w:t>
      </w:r>
      <w:r w:rsidR="009708A3">
        <w:rPr>
          <w:rFonts w:hint="cs"/>
          <w:rtl/>
        </w:rPr>
        <w:t xml:space="preserve">ס"ח </w:t>
      </w:r>
      <w:proofErr w:type="spellStart"/>
      <w:r w:rsidR="009708A3">
        <w:rPr>
          <w:rFonts w:hint="cs"/>
          <w:rtl/>
        </w:rPr>
        <w:t>התשמ"ג</w:t>
      </w:r>
      <w:proofErr w:type="spellEnd"/>
      <w:r w:rsidR="009708A3">
        <w:rPr>
          <w:rFonts w:hint="cs"/>
          <w:rtl/>
        </w:rPr>
        <w:t>, עמ' 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B912E3"/>
    <w:multiLevelType w:val="hybridMultilevel"/>
    <w:tmpl w:val="8940EF40"/>
    <w:lvl w:ilvl="0" w:tplc="4E3235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7F6C57"/>
    <w:multiLevelType w:val="hybridMultilevel"/>
    <w:tmpl w:val="85CA0796"/>
    <w:lvl w:ilvl="0" w:tplc="4E3235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D086282"/>
    <w:multiLevelType w:val="hybridMultilevel"/>
    <w:tmpl w:val="8B361D90"/>
    <w:lvl w:ilvl="0" w:tplc="C8920CB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1"/>
  </w:num>
  <w:num w:numId="14">
    <w:abstractNumId w:val="15"/>
  </w:num>
  <w:num w:numId="15">
    <w:abstractNumId w:val="16"/>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17CE"/>
    <w:rsid w:val="00015B27"/>
    <w:rsid w:val="0006212A"/>
    <w:rsid w:val="0007681A"/>
    <w:rsid w:val="00083986"/>
    <w:rsid w:val="000A542E"/>
    <w:rsid w:val="00101949"/>
    <w:rsid w:val="00102B6B"/>
    <w:rsid w:val="001052D4"/>
    <w:rsid w:val="0010644B"/>
    <w:rsid w:val="001207F8"/>
    <w:rsid w:val="00121924"/>
    <w:rsid w:val="001279A8"/>
    <w:rsid w:val="0014195F"/>
    <w:rsid w:val="00152609"/>
    <w:rsid w:val="00153E1B"/>
    <w:rsid w:val="00187FF3"/>
    <w:rsid w:val="001A0623"/>
    <w:rsid w:val="001C1A57"/>
    <w:rsid w:val="001C23B0"/>
    <w:rsid w:val="00203A7F"/>
    <w:rsid w:val="002200A1"/>
    <w:rsid w:val="00222AF1"/>
    <w:rsid w:val="002362BF"/>
    <w:rsid w:val="00241B97"/>
    <w:rsid w:val="00246756"/>
    <w:rsid w:val="00251E58"/>
    <w:rsid w:val="00254605"/>
    <w:rsid w:val="00270327"/>
    <w:rsid w:val="002728B4"/>
    <w:rsid w:val="0027600C"/>
    <w:rsid w:val="00280D62"/>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B7F6F"/>
    <w:rsid w:val="004D2D82"/>
    <w:rsid w:val="004D3876"/>
    <w:rsid w:val="004D5B3C"/>
    <w:rsid w:val="004E4552"/>
    <w:rsid w:val="0054003E"/>
    <w:rsid w:val="00553C9D"/>
    <w:rsid w:val="00562A66"/>
    <w:rsid w:val="005B064E"/>
    <w:rsid w:val="005D51AE"/>
    <w:rsid w:val="0062674B"/>
    <w:rsid w:val="006363B2"/>
    <w:rsid w:val="00644940"/>
    <w:rsid w:val="006618E1"/>
    <w:rsid w:val="006818A9"/>
    <w:rsid w:val="006A2D81"/>
    <w:rsid w:val="006C1D0D"/>
    <w:rsid w:val="006E0071"/>
    <w:rsid w:val="0070601E"/>
    <w:rsid w:val="00710E26"/>
    <w:rsid w:val="00712C72"/>
    <w:rsid w:val="007163E0"/>
    <w:rsid w:val="00735FE9"/>
    <w:rsid w:val="00744BC6"/>
    <w:rsid w:val="00763CAA"/>
    <w:rsid w:val="00765F66"/>
    <w:rsid w:val="007C3FA6"/>
    <w:rsid w:val="007D585A"/>
    <w:rsid w:val="007D5A12"/>
    <w:rsid w:val="007E59F9"/>
    <w:rsid w:val="00806EF4"/>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708A3"/>
    <w:rsid w:val="00982412"/>
    <w:rsid w:val="00983A8D"/>
    <w:rsid w:val="009A7257"/>
    <w:rsid w:val="009D6E0A"/>
    <w:rsid w:val="009E7AF5"/>
    <w:rsid w:val="00A14672"/>
    <w:rsid w:val="00A160E1"/>
    <w:rsid w:val="00A26BD6"/>
    <w:rsid w:val="00A443CF"/>
    <w:rsid w:val="00A6611D"/>
    <w:rsid w:val="00A82CB7"/>
    <w:rsid w:val="00A82F4D"/>
    <w:rsid w:val="00AA2F03"/>
    <w:rsid w:val="00AB01D5"/>
    <w:rsid w:val="00AC36F7"/>
    <w:rsid w:val="00AC63A4"/>
    <w:rsid w:val="00AD239E"/>
    <w:rsid w:val="00B10265"/>
    <w:rsid w:val="00B21211"/>
    <w:rsid w:val="00B35784"/>
    <w:rsid w:val="00B51B39"/>
    <w:rsid w:val="00B733A7"/>
    <w:rsid w:val="00B832D8"/>
    <w:rsid w:val="00B975AD"/>
    <w:rsid w:val="00BB39F1"/>
    <w:rsid w:val="00BC45FB"/>
    <w:rsid w:val="00BF148D"/>
    <w:rsid w:val="00C23B1A"/>
    <w:rsid w:val="00C310EB"/>
    <w:rsid w:val="00C9176A"/>
    <w:rsid w:val="00CF1AA2"/>
    <w:rsid w:val="00D4205A"/>
    <w:rsid w:val="00D63620"/>
    <w:rsid w:val="00D8410D"/>
    <w:rsid w:val="00D867D7"/>
    <w:rsid w:val="00DA089B"/>
    <w:rsid w:val="00DA5B5C"/>
    <w:rsid w:val="00DB7060"/>
    <w:rsid w:val="00DC16A1"/>
    <w:rsid w:val="00DE3153"/>
    <w:rsid w:val="00E06736"/>
    <w:rsid w:val="00E13C27"/>
    <w:rsid w:val="00E33BBD"/>
    <w:rsid w:val="00E423B0"/>
    <w:rsid w:val="00E45103"/>
    <w:rsid w:val="00E665B9"/>
    <w:rsid w:val="00EA01E6"/>
    <w:rsid w:val="00EA3DE8"/>
    <w:rsid w:val="00EA758F"/>
    <w:rsid w:val="00ED4A6F"/>
    <w:rsid w:val="00EF3A3A"/>
    <w:rsid w:val="00F04A45"/>
    <w:rsid w:val="00F628D6"/>
    <w:rsid w:val="00F67051"/>
    <w:rsid w:val="00FA29F3"/>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48A070E-2632-461E-A86C-D60CF48E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1D5"/>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B01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B01D5"/>
    <w:rPr>
      <w:sz w:val="36"/>
      <w:szCs w:val="52"/>
    </w:rPr>
  </w:style>
  <w:style w:type="paragraph" w:customStyle="1" w:styleId="Cover3-Haknesset">
    <w:name w:val="Cover 3-Haknesset"/>
    <w:basedOn w:val="Cover1-Reshumot"/>
    <w:rsid w:val="00AB01D5"/>
    <w:rPr>
      <w:b/>
      <w:bCs/>
      <w:spacing w:val="60"/>
    </w:rPr>
  </w:style>
  <w:style w:type="paragraph" w:customStyle="1" w:styleId="Cover4-Date">
    <w:name w:val="Cover 4-Date"/>
    <w:basedOn w:val="a"/>
    <w:rsid w:val="00AB01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AB01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B01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B01D5"/>
    <w:pPr>
      <w:spacing w:before="120" w:after="120"/>
    </w:pPr>
    <w:rPr>
      <w:color w:val="FF0000"/>
      <w:w w:val="80"/>
    </w:rPr>
  </w:style>
  <w:style w:type="paragraph" w:styleId="a3">
    <w:name w:val="endnote text"/>
    <w:basedOn w:val="a"/>
    <w:semiHidden/>
    <w:rsid w:val="00AB01D5"/>
    <w:pPr>
      <w:ind w:left="227" w:hanging="227"/>
    </w:pPr>
    <w:rPr>
      <w:sz w:val="14"/>
      <w:szCs w:val="22"/>
    </w:rPr>
  </w:style>
  <w:style w:type="paragraph" w:customStyle="1" w:styleId="TableText">
    <w:name w:val="Table Text"/>
    <w:basedOn w:val="a"/>
    <w:rsid w:val="00AB01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B01D5"/>
  </w:style>
  <w:style w:type="paragraph" w:customStyle="1" w:styleId="TableBlock">
    <w:name w:val="Table Block"/>
    <w:basedOn w:val="TableText"/>
    <w:rsid w:val="00AB01D5"/>
    <w:pPr>
      <w:ind w:right="0"/>
      <w:jc w:val="both"/>
    </w:pPr>
  </w:style>
  <w:style w:type="paragraph" w:customStyle="1" w:styleId="TableHead">
    <w:name w:val="Table Head"/>
    <w:basedOn w:val="TableText"/>
    <w:rsid w:val="00AB01D5"/>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AB01D5"/>
  </w:style>
  <w:style w:type="paragraph" w:customStyle="1" w:styleId="Hesber">
    <w:name w:val="Hesber"/>
    <w:basedOn w:val="a"/>
    <w:rsid w:val="00AB01D5"/>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AB01D5"/>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AB01D5"/>
    <w:rPr>
      <w:vertAlign w:val="superscript"/>
    </w:rPr>
  </w:style>
  <w:style w:type="paragraph" w:customStyle="1" w:styleId="HesberHeading">
    <w:name w:val="Hesber Heading"/>
    <w:basedOn w:val="Hesber"/>
    <w:rsid w:val="00AB01D5"/>
    <w:pPr>
      <w:tabs>
        <w:tab w:val="left" w:pos="624"/>
        <w:tab w:val="left" w:pos="1247"/>
      </w:tabs>
      <w:ind w:firstLine="0"/>
    </w:pPr>
    <w:rPr>
      <w:b/>
      <w:bCs/>
    </w:rPr>
  </w:style>
  <w:style w:type="paragraph" w:customStyle="1" w:styleId="HesberWriters">
    <w:name w:val="Hesber Writers"/>
    <w:basedOn w:val="Hesber"/>
    <w:rsid w:val="00AB01D5"/>
    <w:pPr>
      <w:spacing w:before="120" w:after="6000"/>
      <w:ind w:left="1418" w:firstLine="0"/>
      <w:jc w:val="right"/>
    </w:pPr>
    <w:rPr>
      <w:b/>
      <w:bCs/>
    </w:rPr>
  </w:style>
  <w:style w:type="paragraph" w:customStyle="1" w:styleId="Hesber1st">
    <w:name w:val="Hesber 1st"/>
    <w:basedOn w:val="Hesber"/>
    <w:rsid w:val="00AB01D5"/>
    <w:pPr>
      <w:tabs>
        <w:tab w:val="left" w:pos="680"/>
        <w:tab w:val="left" w:pos="1020"/>
      </w:tabs>
      <w:ind w:firstLine="0"/>
    </w:pPr>
  </w:style>
  <w:style w:type="character" w:styleId="a6">
    <w:name w:val="endnote reference"/>
    <w:basedOn w:val="a0"/>
    <w:semiHidden/>
    <w:rsid w:val="00AB01D5"/>
    <w:rPr>
      <w:vertAlign w:val="superscript"/>
    </w:rPr>
  </w:style>
  <w:style w:type="paragraph" w:customStyle="1" w:styleId="TableBlockOutdent">
    <w:name w:val="Table BlockOutdent"/>
    <w:basedOn w:val="TableBlock"/>
    <w:rsid w:val="00AB01D5"/>
    <w:pPr>
      <w:ind w:left="624" w:hanging="624"/>
    </w:pPr>
  </w:style>
  <w:style w:type="paragraph" w:styleId="a7">
    <w:name w:val="header"/>
    <w:basedOn w:val="a"/>
    <w:rsid w:val="00AB01D5"/>
    <w:pPr>
      <w:tabs>
        <w:tab w:val="center" w:pos="4153"/>
        <w:tab w:val="right" w:pos="8306"/>
      </w:tabs>
    </w:pPr>
  </w:style>
  <w:style w:type="paragraph" w:styleId="a8">
    <w:name w:val="footer"/>
    <w:basedOn w:val="a"/>
    <w:rsid w:val="00AB01D5"/>
    <w:pPr>
      <w:tabs>
        <w:tab w:val="center" w:pos="4153"/>
        <w:tab w:val="right" w:pos="8306"/>
      </w:tabs>
    </w:pPr>
  </w:style>
  <w:style w:type="paragraph" w:customStyle="1" w:styleId="HeadDivreiHesber">
    <w:name w:val="Head DivreiHesber"/>
    <w:basedOn w:val="a"/>
    <w:rsid w:val="00AB01D5"/>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B01D5"/>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AB01D5"/>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A9D7F2C5-5880-4A7A-9676-38F69C3E8C12}"/>
</file>

<file path=customXml/itemProps4.xml><?xml version="1.0" encoding="utf-8"?>
<ds:datastoreItem xmlns:ds="http://schemas.openxmlformats.org/officeDocument/2006/customXml" ds:itemID="{C5A3D3E1-DBB7-4626-9D83-E8FC7031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2621</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2015-06-09T11:44:00Z</cp:lastPrinted>
  <dcterms:created xsi:type="dcterms:W3CDTF">2017-11-16T12:14:00Z</dcterms:created>
  <dcterms:modified xsi:type="dcterms:W3CDTF">2017-11-16T12:14:00Z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2023402</vt:r8>
  </property>
</Properties>
</file>