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EEAF6" w:themeColor="accent1" w:themeTint="33"/>
  <w:body>
    <w:p w14:paraId="59662A28" w14:textId="265D46C1" w:rsidR="00DC1A4B" w:rsidRPr="00FD5AAC" w:rsidRDefault="00DC1A4B" w:rsidP="00473EA2">
      <w:pPr>
        <w:ind w:firstLine="720"/>
        <w:jc w:val="right"/>
        <w:rPr>
          <w:rFonts w:asciiTheme="minorBidi" w:hAnsiTheme="minorBidi"/>
          <w:b/>
          <w:bCs/>
          <w:sz w:val="24"/>
          <w:szCs w:val="24"/>
          <w:rtl/>
        </w:rPr>
      </w:pPr>
      <w:r w:rsidRPr="00FD5AAC">
        <w:rPr>
          <w:rFonts w:asciiTheme="minorBidi" w:hAnsiTheme="minorBidi"/>
          <w:b/>
          <w:bCs/>
          <w:sz w:val="24"/>
          <w:szCs w:val="24"/>
          <w:rtl/>
        </w:rPr>
        <w:tab/>
      </w:r>
      <w:r w:rsidRPr="00FD5AAC">
        <w:rPr>
          <w:rFonts w:asciiTheme="minorBidi" w:hAnsiTheme="minorBidi"/>
          <w:b/>
          <w:bCs/>
          <w:sz w:val="24"/>
          <w:szCs w:val="24"/>
          <w:rtl/>
        </w:rPr>
        <w:tab/>
      </w:r>
      <w:r w:rsidRPr="00FD5AAC">
        <w:rPr>
          <w:rFonts w:asciiTheme="minorBidi" w:hAnsiTheme="minorBidi"/>
          <w:b/>
          <w:bCs/>
          <w:sz w:val="24"/>
          <w:szCs w:val="24"/>
          <w:rtl/>
        </w:rPr>
        <w:tab/>
      </w:r>
      <w:r w:rsidRPr="00FD5AAC">
        <w:rPr>
          <w:rFonts w:asciiTheme="minorBidi" w:hAnsiTheme="minorBidi"/>
          <w:b/>
          <w:bCs/>
          <w:sz w:val="24"/>
          <w:szCs w:val="24"/>
          <w:rtl/>
        </w:rPr>
        <w:tab/>
      </w:r>
      <w:r w:rsidRPr="00FD5AAC">
        <w:rPr>
          <w:rFonts w:asciiTheme="minorBidi" w:hAnsiTheme="minorBidi"/>
          <w:b/>
          <w:bCs/>
          <w:sz w:val="24"/>
          <w:szCs w:val="24"/>
          <w:rtl/>
        </w:rPr>
        <w:tab/>
      </w:r>
      <w:r w:rsidRPr="00FD5AAC">
        <w:rPr>
          <w:rFonts w:asciiTheme="minorBidi" w:hAnsiTheme="minorBidi"/>
          <w:b/>
          <w:bCs/>
          <w:sz w:val="24"/>
          <w:szCs w:val="24"/>
          <w:rtl/>
        </w:rPr>
        <w:tab/>
      </w:r>
      <w:r w:rsidRPr="00FD5AAC">
        <w:rPr>
          <w:rFonts w:asciiTheme="minorBidi" w:hAnsiTheme="minorBidi"/>
          <w:b/>
          <w:bCs/>
          <w:sz w:val="24"/>
          <w:szCs w:val="24"/>
          <w:rtl/>
        </w:rPr>
        <w:tab/>
      </w:r>
      <w:r w:rsidRPr="00FD5AAC">
        <w:rPr>
          <w:rFonts w:asciiTheme="minorBidi" w:hAnsiTheme="minorBidi"/>
          <w:b/>
          <w:bCs/>
          <w:sz w:val="24"/>
          <w:szCs w:val="24"/>
          <w:rtl/>
        </w:rPr>
        <w:tab/>
      </w:r>
      <w:bookmarkStart w:id="0" w:name="_GoBack"/>
      <w:bookmarkEnd w:id="0"/>
      <w:r w:rsidR="00473EA2">
        <w:rPr>
          <w:rFonts w:asciiTheme="minorBidi" w:hAnsiTheme="minorBidi" w:hint="cs"/>
          <w:b/>
          <w:bCs/>
          <w:sz w:val="24"/>
          <w:szCs w:val="24"/>
          <w:rtl/>
        </w:rPr>
        <w:t>20</w:t>
      </w:r>
      <w:r w:rsidR="00FD5AAC" w:rsidRPr="00FD5AAC">
        <w:rPr>
          <w:rFonts w:asciiTheme="minorBidi" w:hAnsiTheme="minorBidi" w:hint="cs"/>
          <w:b/>
          <w:bCs/>
          <w:sz w:val="24"/>
          <w:szCs w:val="24"/>
          <w:rtl/>
        </w:rPr>
        <w:t>.</w:t>
      </w:r>
      <w:r w:rsidR="00473EA2">
        <w:rPr>
          <w:rFonts w:asciiTheme="minorBidi" w:hAnsiTheme="minorBidi" w:hint="cs"/>
          <w:b/>
          <w:bCs/>
          <w:sz w:val="24"/>
          <w:szCs w:val="24"/>
          <w:rtl/>
        </w:rPr>
        <w:t>11</w:t>
      </w:r>
      <w:r w:rsidR="00FD5AAC" w:rsidRPr="00FD5AAC">
        <w:rPr>
          <w:rFonts w:asciiTheme="minorBidi" w:hAnsiTheme="minorBidi" w:hint="cs"/>
          <w:b/>
          <w:bCs/>
          <w:sz w:val="24"/>
          <w:szCs w:val="24"/>
          <w:rtl/>
        </w:rPr>
        <w:t>.17</w:t>
      </w:r>
    </w:p>
    <w:p w14:paraId="3F6C1BDF" w14:textId="77777777" w:rsidR="00DC1A4B" w:rsidRPr="00C95978" w:rsidRDefault="00DC1A4B" w:rsidP="00FD5AAC">
      <w:pPr>
        <w:ind w:firstLine="720"/>
        <w:jc w:val="both"/>
        <w:rPr>
          <w:rFonts w:asciiTheme="minorBidi" w:hAnsiTheme="minorBidi"/>
          <w:sz w:val="24"/>
          <w:szCs w:val="24"/>
          <w:rtl/>
        </w:rPr>
      </w:pPr>
      <w:r w:rsidRPr="00C95978">
        <w:rPr>
          <w:rFonts w:asciiTheme="minorBidi" w:hAnsiTheme="minorBidi"/>
          <w:sz w:val="24"/>
          <w:szCs w:val="24"/>
          <w:rtl/>
        </w:rPr>
        <w:t>לכבוד</w:t>
      </w:r>
    </w:p>
    <w:p w14:paraId="3175FD99" w14:textId="7C19CFE0" w:rsidR="006A7C6D" w:rsidRPr="00FD5AAC" w:rsidRDefault="00473EA2" w:rsidP="00FD5AAC">
      <w:pPr>
        <w:ind w:firstLine="720"/>
        <w:jc w:val="both"/>
        <w:rPr>
          <w:rFonts w:asciiTheme="minorBidi" w:hAnsiTheme="minorBidi"/>
          <w:sz w:val="24"/>
          <w:szCs w:val="24"/>
          <w:u w:val="single"/>
          <w:rtl/>
        </w:rPr>
      </w:pPr>
      <w:r w:rsidRPr="00C95978">
        <w:rPr>
          <w:rFonts w:asciiTheme="minorBidi" w:hAnsiTheme="minorBidi" w:hint="cs"/>
          <w:sz w:val="24"/>
          <w:szCs w:val="24"/>
          <w:rtl/>
        </w:rPr>
        <w:t>ח"כ ניסן סלומינסקי</w:t>
      </w:r>
      <w:r>
        <w:rPr>
          <w:rFonts w:asciiTheme="minorBidi" w:hAnsiTheme="minorBidi" w:hint="cs"/>
          <w:sz w:val="24"/>
          <w:szCs w:val="24"/>
          <w:u w:val="single"/>
          <w:rtl/>
        </w:rPr>
        <w:t xml:space="preserve"> </w:t>
      </w:r>
    </w:p>
    <w:p w14:paraId="37CBAE7C" w14:textId="702DE3AF" w:rsidR="00DC1A4B" w:rsidRPr="00FD5AAC" w:rsidRDefault="00473EA2" w:rsidP="00FD5AAC">
      <w:pPr>
        <w:ind w:firstLine="720"/>
        <w:jc w:val="both"/>
        <w:rPr>
          <w:rFonts w:asciiTheme="minorBidi" w:hAnsiTheme="minorBidi"/>
          <w:b/>
          <w:bCs/>
          <w:sz w:val="24"/>
          <w:szCs w:val="24"/>
          <w:u w:val="single"/>
          <w:rtl/>
        </w:rPr>
      </w:pPr>
      <w:r>
        <w:rPr>
          <w:rFonts w:asciiTheme="minorBidi" w:hAnsiTheme="minorBidi" w:hint="cs"/>
          <w:b/>
          <w:bCs/>
          <w:sz w:val="24"/>
          <w:szCs w:val="24"/>
          <w:u w:val="single"/>
          <w:rtl/>
        </w:rPr>
        <w:t>יו"ר ועדת החוקה חוק ומשפט</w:t>
      </w:r>
    </w:p>
    <w:p w14:paraId="1DDCC655" w14:textId="5275752B" w:rsidR="00DC1A4B" w:rsidRPr="00FD5AAC" w:rsidRDefault="00DC1A4B" w:rsidP="00310848">
      <w:pPr>
        <w:ind w:firstLine="720"/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Pr="00FD5AAC">
        <w:rPr>
          <w:rFonts w:asciiTheme="minorBidi" w:hAnsiTheme="minorBidi"/>
          <w:sz w:val="24"/>
          <w:szCs w:val="24"/>
          <w:rtl/>
        </w:rPr>
        <w:tab/>
      </w:r>
    </w:p>
    <w:p w14:paraId="39B16DF1" w14:textId="77777777" w:rsidR="00DC1A4B" w:rsidRPr="00FD5AAC" w:rsidRDefault="00DC1A4B" w:rsidP="00FD5AAC">
      <w:pPr>
        <w:ind w:firstLine="720"/>
        <w:jc w:val="both"/>
        <w:rPr>
          <w:rFonts w:asciiTheme="minorBidi" w:hAnsiTheme="minorBidi"/>
          <w:sz w:val="24"/>
          <w:szCs w:val="24"/>
          <w:rtl/>
        </w:rPr>
      </w:pPr>
      <w:r w:rsidRPr="00FD5AAC">
        <w:rPr>
          <w:rFonts w:asciiTheme="minorBidi" w:hAnsiTheme="minorBidi"/>
          <w:sz w:val="24"/>
          <w:szCs w:val="24"/>
          <w:rtl/>
        </w:rPr>
        <w:t>א.נ.,</w:t>
      </w:r>
    </w:p>
    <w:p w14:paraId="66D37FD4" w14:textId="77777777" w:rsidR="00DC1A4B" w:rsidRPr="00FD5AAC" w:rsidRDefault="00DC1A4B" w:rsidP="00FD5AAC">
      <w:pPr>
        <w:ind w:firstLine="720"/>
        <w:jc w:val="both"/>
        <w:rPr>
          <w:rFonts w:asciiTheme="minorBidi" w:hAnsiTheme="minorBidi"/>
          <w:sz w:val="24"/>
          <w:szCs w:val="24"/>
          <w:rtl/>
        </w:rPr>
      </w:pPr>
    </w:p>
    <w:p w14:paraId="5ADBDA94" w14:textId="474B78D8" w:rsidR="00DC1A4B" w:rsidRPr="00FD5AAC" w:rsidRDefault="00DC1A4B" w:rsidP="00473EA2">
      <w:pPr>
        <w:ind w:left="1545" w:hanging="825"/>
        <w:jc w:val="both"/>
        <w:rPr>
          <w:rFonts w:asciiTheme="minorBidi" w:hAnsiTheme="minorBidi"/>
          <w:sz w:val="24"/>
          <w:szCs w:val="24"/>
          <w:rtl/>
        </w:rPr>
      </w:pPr>
      <w:r w:rsidRPr="00FD5AAC">
        <w:rPr>
          <w:rFonts w:asciiTheme="minorBidi" w:hAnsiTheme="minorBidi"/>
          <w:sz w:val="24"/>
          <w:szCs w:val="24"/>
          <w:rtl/>
        </w:rPr>
        <w:t xml:space="preserve">הנדון: </w:t>
      </w:r>
      <w:r w:rsidRPr="00FD5AAC">
        <w:rPr>
          <w:rFonts w:asciiTheme="minorBidi" w:hAnsiTheme="minorBidi"/>
          <w:sz w:val="24"/>
          <w:szCs w:val="24"/>
          <w:rtl/>
        </w:rPr>
        <w:tab/>
      </w:r>
      <w:r w:rsidR="00473EA2">
        <w:rPr>
          <w:rFonts w:asciiTheme="minorBidi" w:hAnsiTheme="minorBidi" w:hint="cs"/>
          <w:b/>
          <w:bCs/>
          <w:sz w:val="24"/>
          <w:szCs w:val="24"/>
          <w:u w:val="single"/>
          <w:rtl/>
        </w:rPr>
        <w:t xml:space="preserve">עמדת </w:t>
      </w:r>
      <w:r w:rsidR="00C95978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"</w:t>
      </w:r>
      <w:r w:rsidR="00473EA2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מרכז תמורה</w:t>
      </w:r>
      <w:r w:rsidR="00C95978">
        <w:rPr>
          <w:rFonts w:asciiTheme="minorBidi" w:hAnsiTheme="minorBidi" w:hint="cs"/>
          <w:b/>
          <w:bCs/>
          <w:sz w:val="24"/>
          <w:szCs w:val="24"/>
          <w:u w:val="single"/>
          <w:rtl/>
        </w:rPr>
        <w:t xml:space="preserve"> </w:t>
      </w:r>
      <w:r w:rsidR="00473EA2" w:rsidRPr="00473EA2">
        <w:rPr>
          <w:rFonts w:asciiTheme="minorBidi" w:hAnsiTheme="minorBidi"/>
          <w:b/>
          <w:bCs/>
          <w:sz w:val="24"/>
          <w:szCs w:val="24"/>
          <w:u w:val="single"/>
          <w:rtl/>
        </w:rPr>
        <w:t xml:space="preserve">לקידום </w:t>
      </w:r>
      <w:r w:rsidR="00C95978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ה</w:t>
      </w:r>
      <w:r w:rsidR="00473EA2" w:rsidRPr="00473EA2">
        <w:rPr>
          <w:rFonts w:asciiTheme="minorBidi" w:hAnsiTheme="minorBidi"/>
          <w:b/>
          <w:bCs/>
          <w:sz w:val="24"/>
          <w:szCs w:val="24"/>
          <w:u w:val="single"/>
          <w:rtl/>
        </w:rPr>
        <w:t>שוויון</w:t>
      </w:r>
      <w:r w:rsidR="00C95978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"</w:t>
      </w:r>
      <w:r w:rsidR="00AD5D5D" w:rsidRPr="00AD5D5D">
        <w:rPr>
          <w:rFonts w:asciiTheme="minorBidi" w:hAnsiTheme="minorBidi" w:hint="cs"/>
          <w:sz w:val="24"/>
          <w:szCs w:val="24"/>
          <w:u w:val="single"/>
          <w:rtl/>
        </w:rPr>
        <w:t xml:space="preserve"> </w:t>
      </w:r>
      <w:r w:rsidR="00AD5D5D" w:rsidRPr="00AD5D5D">
        <w:rPr>
          <w:rFonts w:asciiTheme="minorBidi" w:hAnsiTheme="minorBidi" w:hint="cs"/>
          <w:b/>
          <w:bCs/>
          <w:sz w:val="24"/>
          <w:szCs w:val="24"/>
          <w:u w:val="single"/>
          <w:rtl/>
        </w:rPr>
        <w:t>להצעה להטיל אגרות גבוהות על הגשת תביעה ייצוגית (תקנות בתי המשפט (אגרות) (תיקון), התשע"ז 2017</w:t>
      </w:r>
    </w:p>
    <w:p w14:paraId="3F5D558E" w14:textId="77777777" w:rsidR="009E2D45" w:rsidRPr="00FD5AAC" w:rsidRDefault="009E2D45" w:rsidP="00FD5AAC">
      <w:pPr>
        <w:jc w:val="both"/>
        <w:rPr>
          <w:rFonts w:asciiTheme="minorBidi" w:hAnsiTheme="minorBidi"/>
          <w:sz w:val="24"/>
          <w:szCs w:val="24"/>
          <w:rtl/>
        </w:rPr>
      </w:pPr>
    </w:p>
    <w:p w14:paraId="182282A0" w14:textId="2F1A3033" w:rsidR="009F0186" w:rsidRDefault="00A30EB5" w:rsidP="00D63399">
      <w:pPr>
        <w:jc w:val="both"/>
        <w:rPr>
          <w:rFonts w:asciiTheme="minorBidi" w:hAnsiTheme="minorBidi"/>
          <w:sz w:val="24"/>
          <w:szCs w:val="24"/>
          <w:rtl/>
        </w:rPr>
      </w:pPr>
      <w:r w:rsidRPr="00D63399">
        <w:rPr>
          <w:rFonts w:asciiTheme="minorBidi" w:hAnsiTheme="minorBidi" w:hint="cs"/>
          <w:sz w:val="24"/>
          <w:szCs w:val="24"/>
          <w:rtl/>
        </w:rPr>
        <w:t>בשמי ובשם מרכז תמורה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 </w:t>
      </w:r>
      <w:r w:rsidRPr="00D63399">
        <w:rPr>
          <w:rFonts w:asciiTheme="minorBidi" w:hAnsiTheme="minorBidi" w:hint="cs"/>
          <w:sz w:val="24"/>
          <w:szCs w:val="24"/>
          <w:rtl/>
        </w:rPr>
        <w:t>- המרכז הקליני לקידום השוויון</w:t>
      </w:r>
      <w:r w:rsidR="00C92225" w:rsidRPr="00D63399">
        <w:rPr>
          <w:rFonts w:asciiTheme="minorBidi" w:hAnsiTheme="minorBidi" w:hint="cs"/>
          <w:sz w:val="24"/>
          <w:szCs w:val="24"/>
          <w:rtl/>
        </w:rPr>
        <w:t xml:space="preserve">, </w:t>
      </w:r>
      <w:r w:rsidR="00C95978">
        <w:rPr>
          <w:rFonts w:asciiTheme="minorBidi" w:hAnsiTheme="minorBidi" w:hint="cs"/>
          <w:sz w:val="24"/>
          <w:szCs w:val="24"/>
          <w:rtl/>
        </w:rPr>
        <w:t>הנ</w:t>
      </w:r>
      <w:r w:rsidR="00C92225" w:rsidRPr="00D63399">
        <w:rPr>
          <w:rFonts w:asciiTheme="minorBidi" w:hAnsiTheme="minorBidi" w:hint="cs"/>
          <w:sz w:val="24"/>
          <w:szCs w:val="24"/>
          <w:rtl/>
        </w:rPr>
        <w:t>ני מתכבדת להגיש את עמדתנו בדבר ה</w:t>
      </w:r>
      <w:r w:rsidRPr="00D63399">
        <w:rPr>
          <w:rFonts w:asciiTheme="minorBidi" w:hAnsiTheme="minorBidi" w:hint="cs"/>
          <w:sz w:val="24"/>
          <w:szCs w:val="24"/>
          <w:rtl/>
        </w:rPr>
        <w:t>הצעה להטיל אגרו</w:t>
      </w:r>
      <w:r w:rsidR="00FC04A0" w:rsidRPr="00D63399">
        <w:rPr>
          <w:rFonts w:asciiTheme="minorBidi" w:hAnsiTheme="minorBidi" w:hint="cs"/>
          <w:sz w:val="24"/>
          <w:szCs w:val="24"/>
          <w:rtl/>
        </w:rPr>
        <w:t xml:space="preserve">ת גבוהות על הגשת תביעה ייצוגית. </w:t>
      </w:r>
      <w:r w:rsidR="00C95978">
        <w:rPr>
          <w:rFonts w:asciiTheme="minorBidi" w:hAnsiTheme="minorBidi" w:hint="cs"/>
          <w:sz w:val="24"/>
          <w:szCs w:val="24"/>
          <w:rtl/>
        </w:rPr>
        <w:t>ב</w:t>
      </w:r>
      <w:r w:rsidR="00FC04A0" w:rsidRPr="00D63399">
        <w:rPr>
          <w:rFonts w:asciiTheme="minorBidi" w:hAnsiTheme="minorBidi" w:hint="cs"/>
          <w:sz w:val="24"/>
          <w:szCs w:val="24"/>
          <w:rtl/>
        </w:rPr>
        <w:t xml:space="preserve">מסמך נציג את 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אי-ההלימה בין ההצעה ובין </w:t>
      </w:r>
      <w:r w:rsidR="00FC04A0" w:rsidRPr="00D63399">
        <w:rPr>
          <w:rFonts w:asciiTheme="minorBidi" w:hAnsiTheme="minorBidi" w:hint="cs"/>
          <w:sz w:val="24"/>
          <w:szCs w:val="24"/>
          <w:rtl/>
        </w:rPr>
        <w:t>מטרות החוק</w:t>
      </w:r>
      <w:r w:rsidR="00C95978">
        <w:rPr>
          <w:rFonts w:asciiTheme="minorBidi" w:hAnsiTheme="minorBidi" w:hint="cs"/>
          <w:sz w:val="24"/>
          <w:szCs w:val="24"/>
          <w:rtl/>
        </w:rPr>
        <w:t>,</w:t>
      </w:r>
      <w:r w:rsidR="00FC04A0" w:rsidRPr="00D63399">
        <w:rPr>
          <w:rFonts w:asciiTheme="minorBidi" w:hAnsiTheme="minorBidi" w:hint="cs"/>
          <w:sz w:val="24"/>
          <w:szCs w:val="24"/>
          <w:rtl/>
        </w:rPr>
        <w:t xml:space="preserve"> המבקשות ל</w:t>
      </w:r>
      <w:r w:rsidR="00C95978">
        <w:rPr>
          <w:rFonts w:asciiTheme="minorBidi" w:hAnsiTheme="minorBidi" w:hint="cs"/>
          <w:sz w:val="24"/>
          <w:szCs w:val="24"/>
          <w:rtl/>
        </w:rPr>
        <w:t>הרחיב את</w:t>
      </w:r>
      <w:r w:rsidR="00FC04A0" w:rsidRPr="00D63399">
        <w:rPr>
          <w:rFonts w:asciiTheme="minorBidi" w:hAnsiTheme="minorBidi" w:hint="cs"/>
          <w:sz w:val="24"/>
          <w:szCs w:val="24"/>
          <w:rtl/>
        </w:rPr>
        <w:t xml:space="preserve"> זכות </w:t>
      </w:r>
      <w:r w:rsidR="00C95978">
        <w:rPr>
          <w:rFonts w:asciiTheme="minorBidi" w:hAnsiTheme="minorBidi" w:hint="cs"/>
          <w:sz w:val="24"/>
          <w:szCs w:val="24"/>
          <w:rtl/>
        </w:rPr>
        <w:t>ה</w:t>
      </w:r>
      <w:r w:rsidR="00FC04A0" w:rsidRPr="00D63399">
        <w:rPr>
          <w:rFonts w:asciiTheme="minorBidi" w:hAnsiTheme="minorBidi" w:hint="cs"/>
          <w:sz w:val="24"/>
          <w:szCs w:val="24"/>
          <w:rtl/>
        </w:rPr>
        <w:t>גישה לערכאות</w:t>
      </w:r>
      <w:r w:rsidR="00C95978">
        <w:rPr>
          <w:rFonts w:asciiTheme="minorBidi" w:hAnsiTheme="minorBidi" w:hint="cs"/>
          <w:sz w:val="24"/>
          <w:szCs w:val="24"/>
          <w:rtl/>
        </w:rPr>
        <w:t>,</w:t>
      </w:r>
      <w:r w:rsidR="00FC04A0" w:rsidRPr="00D63399">
        <w:rPr>
          <w:rFonts w:asciiTheme="minorBidi" w:hAnsiTheme="minorBidi" w:hint="cs"/>
          <w:sz w:val="24"/>
          <w:szCs w:val="24"/>
          <w:rtl/>
        </w:rPr>
        <w:t xml:space="preserve"> בדגש על אוכלוסיות מוחלשות. </w:t>
      </w:r>
      <w:r w:rsidR="00C95978">
        <w:rPr>
          <w:rFonts w:asciiTheme="minorBidi" w:hAnsiTheme="minorBidi" w:hint="cs"/>
          <w:sz w:val="24"/>
          <w:szCs w:val="24"/>
          <w:rtl/>
        </w:rPr>
        <w:t>עוד נציג את</w:t>
      </w:r>
      <w:r w:rsidR="00D63399">
        <w:rPr>
          <w:rFonts w:asciiTheme="minorBidi" w:hAnsiTheme="minorBidi" w:hint="cs"/>
          <w:sz w:val="24"/>
          <w:szCs w:val="24"/>
          <w:rtl/>
        </w:rPr>
        <w:t xml:space="preserve"> </w:t>
      </w:r>
      <w:r w:rsidR="00FC04A0" w:rsidRPr="00D63399">
        <w:rPr>
          <w:rFonts w:asciiTheme="minorBidi" w:hAnsiTheme="minorBidi" w:hint="cs"/>
          <w:sz w:val="24"/>
          <w:szCs w:val="24"/>
          <w:rtl/>
        </w:rPr>
        <w:t>הפגיעה הקשה שמגלמת ההצעה החדשה ונ</w:t>
      </w:r>
      <w:r w:rsidR="00C92225" w:rsidRPr="00D63399">
        <w:rPr>
          <w:rFonts w:asciiTheme="minorBidi" w:hAnsiTheme="minorBidi" w:hint="cs"/>
          <w:sz w:val="24"/>
          <w:szCs w:val="24"/>
          <w:rtl/>
        </w:rPr>
        <w:t xml:space="preserve">ציע פתרון שיהלום 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אותה </w:t>
      </w:r>
      <w:r w:rsidR="00C95978">
        <w:rPr>
          <w:rFonts w:asciiTheme="minorBidi" w:hAnsiTheme="minorBidi"/>
          <w:sz w:val="24"/>
          <w:szCs w:val="24"/>
          <w:rtl/>
        </w:rPr>
        <w:t>–</w:t>
      </w:r>
      <w:r w:rsidR="00C92225" w:rsidRPr="00D63399">
        <w:rPr>
          <w:rFonts w:asciiTheme="minorBidi" w:hAnsiTheme="minorBidi" w:hint="cs"/>
          <w:sz w:val="24"/>
          <w:szCs w:val="24"/>
          <w:rtl/>
        </w:rPr>
        <w:t xml:space="preserve"> </w:t>
      </w:r>
      <w:r w:rsidR="00C95978">
        <w:rPr>
          <w:rFonts w:asciiTheme="minorBidi" w:hAnsiTheme="minorBidi" w:hint="cs"/>
          <w:sz w:val="24"/>
          <w:szCs w:val="24"/>
          <w:rtl/>
        </w:rPr>
        <w:t>כזה ש</w:t>
      </w:r>
      <w:r w:rsidR="00C92225" w:rsidRPr="00D63399">
        <w:rPr>
          <w:rFonts w:asciiTheme="minorBidi" w:hAnsiTheme="minorBidi" w:hint="cs"/>
          <w:sz w:val="24"/>
          <w:szCs w:val="24"/>
          <w:rtl/>
        </w:rPr>
        <w:t>ימנע הגשת תביעות סרק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 מחד גיסא</w:t>
      </w:r>
      <w:r w:rsidR="00C92225" w:rsidRPr="00D63399">
        <w:rPr>
          <w:rFonts w:asciiTheme="minorBidi" w:hAnsiTheme="minorBidi" w:hint="cs"/>
          <w:b/>
          <w:bCs/>
          <w:sz w:val="24"/>
          <w:szCs w:val="24"/>
          <w:rtl/>
        </w:rPr>
        <w:t>,</w:t>
      </w:r>
      <w:r w:rsidR="00C92225" w:rsidRPr="00D63399">
        <w:rPr>
          <w:rFonts w:asciiTheme="minorBidi" w:hAnsiTheme="minorBidi" w:hint="cs"/>
          <w:sz w:val="24"/>
          <w:szCs w:val="24"/>
          <w:rtl/>
        </w:rPr>
        <w:t xml:space="preserve"> </w:t>
      </w:r>
      <w:r w:rsidR="00C95978">
        <w:rPr>
          <w:rFonts w:asciiTheme="minorBidi" w:hAnsiTheme="minorBidi" w:hint="cs"/>
          <w:sz w:val="24"/>
          <w:szCs w:val="24"/>
          <w:rtl/>
        </w:rPr>
        <w:t>תוך הגשמת</w:t>
      </w:r>
      <w:r w:rsidR="00C92225" w:rsidRPr="00D63399">
        <w:rPr>
          <w:rFonts w:asciiTheme="minorBidi" w:hAnsiTheme="minorBidi" w:hint="cs"/>
          <w:sz w:val="24"/>
          <w:szCs w:val="24"/>
          <w:rtl/>
        </w:rPr>
        <w:t xml:space="preserve"> מטרות החוק</w:t>
      </w:r>
      <w:r w:rsidR="00C95978">
        <w:rPr>
          <w:rFonts w:asciiTheme="minorBidi" w:hAnsiTheme="minorBidi" w:hint="cs"/>
          <w:sz w:val="24"/>
          <w:szCs w:val="24"/>
          <w:rtl/>
        </w:rPr>
        <w:t>, מאידך גיסא.</w:t>
      </w:r>
    </w:p>
    <w:p w14:paraId="4EB44015" w14:textId="77777777" w:rsidR="00C92225" w:rsidRDefault="00C92225" w:rsidP="00C92225">
      <w:pPr>
        <w:jc w:val="both"/>
        <w:rPr>
          <w:rFonts w:asciiTheme="minorBidi" w:hAnsiTheme="minorBidi"/>
          <w:sz w:val="24"/>
          <w:szCs w:val="24"/>
          <w:rtl/>
        </w:rPr>
      </w:pPr>
    </w:p>
    <w:p w14:paraId="1150969F" w14:textId="01DE7435" w:rsidR="00721306" w:rsidRDefault="00A30EB5" w:rsidP="00A30EB5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</w:t>
      </w:r>
      <w:r w:rsidR="00B446C3">
        <w:rPr>
          <w:rFonts w:asciiTheme="minorBidi" w:hAnsiTheme="minorBidi" w:hint="cs"/>
          <w:sz w:val="24"/>
          <w:szCs w:val="24"/>
          <w:rtl/>
        </w:rPr>
        <w:t>סעיף 1 לחוק תובענות ייצוגיות, תשס"ו-2006 (להלן: "</w:t>
      </w:r>
      <w:r w:rsidR="00B446C3" w:rsidRPr="00B446C3">
        <w:rPr>
          <w:rFonts w:asciiTheme="minorBidi" w:hAnsiTheme="minorBidi" w:hint="cs"/>
          <w:b/>
          <w:bCs/>
          <w:sz w:val="24"/>
          <w:szCs w:val="24"/>
          <w:rtl/>
        </w:rPr>
        <w:t>החוק</w:t>
      </w:r>
      <w:r w:rsidR="00B446C3">
        <w:rPr>
          <w:rFonts w:asciiTheme="minorBidi" w:hAnsiTheme="minorBidi" w:hint="cs"/>
          <w:sz w:val="24"/>
          <w:szCs w:val="24"/>
          <w:rtl/>
        </w:rPr>
        <w:t>") מגדיר את מטרות החוק ומורה כדלקמן: מטרתו של חוק זה לקבוע כללים אחידים לעניין השגה וניהול של תובענות ייצוגיות, לשם שיפור ההגנה על זכויות, ובכך לקדם בפרט את אלה: (1) מימוש זכות הגישה לבית המשפט, לרבות לסוגי אוכלוסייה המתקשים לפנות לבית המשפט כיחידים</w:t>
      </w:r>
      <w:r w:rsidR="00B446C3">
        <w:rPr>
          <w:rFonts w:asciiTheme="minorBidi" w:hAnsiTheme="minorBidi"/>
          <w:sz w:val="24"/>
          <w:szCs w:val="24"/>
        </w:rPr>
        <w:t>;</w:t>
      </w:r>
      <w:r w:rsidR="00B446C3">
        <w:rPr>
          <w:rFonts w:asciiTheme="minorBidi" w:hAnsiTheme="minorBidi" w:hint="cs"/>
          <w:sz w:val="24"/>
          <w:szCs w:val="24"/>
          <w:rtl/>
        </w:rPr>
        <w:t xml:space="preserve"> (2) אכיפת הדין והתרעה מפני הפרתו</w:t>
      </w:r>
      <w:r w:rsidR="00B446C3">
        <w:rPr>
          <w:rFonts w:asciiTheme="minorBidi" w:hAnsiTheme="minorBidi"/>
          <w:sz w:val="24"/>
          <w:szCs w:val="24"/>
        </w:rPr>
        <w:t>;</w:t>
      </w:r>
      <w:r w:rsidR="00B446C3">
        <w:rPr>
          <w:rFonts w:asciiTheme="minorBidi" w:hAnsiTheme="minorBidi" w:hint="cs"/>
          <w:sz w:val="24"/>
          <w:szCs w:val="24"/>
          <w:rtl/>
        </w:rPr>
        <w:t xml:space="preserve"> (3) מתן סעד הולם לנפגעים מהפרת הדין</w:t>
      </w:r>
      <w:r w:rsidR="00B446C3">
        <w:rPr>
          <w:rFonts w:asciiTheme="minorBidi" w:hAnsiTheme="minorBidi"/>
          <w:sz w:val="24"/>
          <w:szCs w:val="24"/>
        </w:rPr>
        <w:t>;</w:t>
      </w:r>
      <w:r w:rsidR="00B446C3">
        <w:rPr>
          <w:rFonts w:asciiTheme="minorBidi" w:hAnsiTheme="minorBidi" w:hint="cs"/>
          <w:sz w:val="24"/>
          <w:szCs w:val="24"/>
          <w:rtl/>
        </w:rPr>
        <w:t xml:space="preserve"> (4) ניהול יעיל, הוגן וממצה של התביעות. </w:t>
      </w:r>
      <w:r w:rsidR="006D1A85">
        <w:rPr>
          <w:rFonts w:asciiTheme="minorBidi" w:hAnsiTheme="minorBidi" w:hint="cs"/>
          <w:sz w:val="24"/>
          <w:szCs w:val="24"/>
          <w:rtl/>
        </w:rPr>
        <w:t>כדי לממש את מטרות החוק, העניק המחוקק</w:t>
      </w:r>
      <w:r w:rsidR="00A965FE">
        <w:rPr>
          <w:rFonts w:asciiTheme="minorBidi" w:hAnsiTheme="minorBidi" w:hint="cs"/>
          <w:sz w:val="24"/>
          <w:szCs w:val="24"/>
          <w:rtl/>
        </w:rPr>
        <w:t xml:space="preserve"> לתובע פטור מתשלום אגרת פתיחת משפט</w:t>
      </w:r>
      <w:r w:rsidR="0006321C">
        <w:rPr>
          <w:rFonts w:asciiTheme="minorBidi" w:hAnsiTheme="minorBidi" w:hint="cs"/>
          <w:sz w:val="24"/>
          <w:szCs w:val="24"/>
          <w:rtl/>
        </w:rPr>
        <w:t>.</w:t>
      </w:r>
      <w:r w:rsidR="00A965FE">
        <w:rPr>
          <w:rFonts w:asciiTheme="minorBidi" w:hAnsiTheme="minorBidi" w:hint="cs"/>
          <w:sz w:val="24"/>
          <w:szCs w:val="24"/>
          <w:rtl/>
        </w:rPr>
        <w:t xml:space="preserve"> תשלום האגרה כחלק מעלויות ניהול משפט הינו חלק ממכלול המשתנים הכלכליים הנכנסים לחישוב הכדאיות של התובע</w:t>
      </w:r>
      <w:r>
        <w:rPr>
          <w:rFonts w:asciiTheme="minorBidi" w:hAnsiTheme="minorBidi" w:hint="cs"/>
          <w:sz w:val="24"/>
          <w:szCs w:val="24"/>
          <w:rtl/>
        </w:rPr>
        <w:t>,</w:t>
      </w:r>
      <w:r w:rsidR="00A965FE">
        <w:rPr>
          <w:rFonts w:asciiTheme="minorBidi" w:hAnsiTheme="minorBidi" w:hint="cs"/>
          <w:sz w:val="24"/>
          <w:szCs w:val="24"/>
          <w:rtl/>
        </w:rPr>
        <w:t xml:space="preserve"> טרם כניסתו להליך המשפטי. הפטור לעיל הסיר את ה"החסם הכלכלי" העומד בפני התובע ומימש הלכה למעשה את זכות הגישה לערכאות. </w:t>
      </w:r>
    </w:p>
    <w:p w14:paraId="1A6BFE6A" w14:textId="77777777" w:rsidR="00C95978" w:rsidRDefault="00C95978" w:rsidP="00A30EB5">
      <w:pPr>
        <w:jc w:val="both"/>
        <w:rPr>
          <w:rFonts w:asciiTheme="minorBidi" w:hAnsiTheme="minorBidi"/>
          <w:sz w:val="24"/>
          <w:szCs w:val="24"/>
          <w:rtl/>
        </w:rPr>
      </w:pPr>
    </w:p>
    <w:p w14:paraId="084EE66E" w14:textId="77777777" w:rsidR="00C95978" w:rsidRDefault="00A30EB5" w:rsidP="00C95978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תביעות </w:t>
      </w:r>
      <w:r w:rsidR="00721306">
        <w:rPr>
          <w:rFonts w:asciiTheme="minorBidi" w:hAnsiTheme="minorBidi" w:hint="cs"/>
          <w:sz w:val="24"/>
          <w:szCs w:val="24"/>
          <w:rtl/>
        </w:rPr>
        <w:t>ייצוגיות</w:t>
      </w:r>
      <w:r>
        <w:rPr>
          <w:rFonts w:asciiTheme="minorBidi" w:hAnsiTheme="minorBidi" w:hint="cs"/>
          <w:sz w:val="24"/>
          <w:szCs w:val="24"/>
          <w:rtl/>
        </w:rPr>
        <w:t>,</w:t>
      </w:r>
      <w:r w:rsidR="00721306">
        <w:rPr>
          <w:rFonts w:asciiTheme="minorBidi" w:hAnsiTheme="minorBidi" w:hint="cs"/>
          <w:sz w:val="24"/>
          <w:szCs w:val="24"/>
          <w:rtl/>
        </w:rPr>
        <w:t xml:space="preserve"> כחלק </w:t>
      </w:r>
      <w:r>
        <w:rPr>
          <w:rFonts w:asciiTheme="minorBidi" w:hAnsiTheme="minorBidi" w:hint="cs"/>
          <w:sz w:val="24"/>
          <w:szCs w:val="24"/>
          <w:rtl/>
        </w:rPr>
        <w:t>מ</w:t>
      </w:r>
      <w:r w:rsidR="00721306">
        <w:rPr>
          <w:rFonts w:asciiTheme="minorBidi" w:hAnsiTheme="minorBidi" w:hint="cs"/>
          <w:sz w:val="24"/>
          <w:szCs w:val="24"/>
          <w:rtl/>
        </w:rPr>
        <w:t>מימוש זכות הגישה לערכאות</w:t>
      </w:r>
      <w:r>
        <w:rPr>
          <w:rFonts w:asciiTheme="minorBidi" w:hAnsiTheme="minorBidi" w:hint="cs"/>
          <w:sz w:val="24"/>
          <w:szCs w:val="24"/>
          <w:rtl/>
        </w:rPr>
        <w:t>,</w:t>
      </w:r>
      <w:r w:rsidR="00721306">
        <w:rPr>
          <w:rFonts w:asciiTheme="minorBidi" w:hAnsiTheme="minorBidi" w:hint="cs"/>
          <w:sz w:val="24"/>
          <w:szCs w:val="24"/>
          <w:rtl/>
        </w:rPr>
        <w:t xml:space="preserve"> מעניקות לתובעים במה ליצירת שי</w:t>
      </w:r>
      <w:r w:rsidR="0006321C">
        <w:rPr>
          <w:rFonts w:asciiTheme="minorBidi" w:hAnsiTheme="minorBidi" w:hint="cs"/>
          <w:sz w:val="24"/>
          <w:szCs w:val="24"/>
          <w:rtl/>
        </w:rPr>
        <w:t>נו</w:t>
      </w:r>
      <w:r w:rsidR="00721306">
        <w:rPr>
          <w:rFonts w:asciiTheme="minorBidi" w:hAnsiTheme="minorBidi" w:hint="cs"/>
          <w:sz w:val="24"/>
          <w:szCs w:val="24"/>
          <w:rtl/>
        </w:rPr>
        <w:t xml:space="preserve">י חברתי באמצעות קידום השיח הציבורי בסוגיות צרכניות, איכות </w:t>
      </w:r>
      <w:r w:rsidR="003A3579">
        <w:rPr>
          <w:rFonts w:asciiTheme="minorBidi" w:hAnsiTheme="minorBidi" w:hint="cs"/>
          <w:sz w:val="24"/>
          <w:szCs w:val="24"/>
          <w:rtl/>
        </w:rPr>
        <w:t>ה</w:t>
      </w:r>
      <w:r w:rsidR="00721306">
        <w:rPr>
          <w:rFonts w:asciiTheme="minorBidi" w:hAnsiTheme="minorBidi" w:hint="cs"/>
          <w:sz w:val="24"/>
          <w:szCs w:val="24"/>
          <w:rtl/>
        </w:rPr>
        <w:t>חיים (</w:t>
      </w:r>
      <w:r w:rsidR="00ED2DF2">
        <w:rPr>
          <w:rFonts w:asciiTheme="minorBidi" w:hAnsiTheme="minorBidi" w:hint="cs"/>
          <w:sz w:val="24"/>
          <w:szCs w:val="24"/>
          <w:rtl/>
        </w:rPr>
        <w:t xml:space="preserve">כדוגמת </w:t>
      </w:r>
      <w:r w:rsidR="00721306">
        <w:rPr>
          <w:rFonts w:asciiTheme="minorBidi" w:hAnsiTheme="minorBidi" w:hint="cs"/>
          <w:sz w:val="24"/>
          <w:szCs w:val="24"/>
          <w:rtl/>
        </w:rPr>
        <w:t xml:space="preserve">תביעות בנושא איכות הסביבה) ואפשרויות לקבוצות מוחלשות </w:t>
      </w:r>
      <w:r w:rsidRPr="00A30EB5">
        <w:rPr>
          <w:rFonts w:asciiTheme="minorBidi" w:hAnsiTheme="minorBidi"/>
          <w:sz w:val="24"/>
          <w:szCs w:val="24"/>
          <w:rtl/>
        </w:rPr>
        <w:t>ומודרות</w:t>
      </w:r>
      <w:r w:rsidR="00721306">
        <w:rPr>
          <w:rFonts w:asciiTheme="minorBidi" w:hAnsiTheme="minorBidi" w:hint="cs"/>
          <w:sz w:val="24"/>
          <w:szCs w:val="24"/>
          <w:rtl/>
        </w:rPr>
        <w:t>, לצמצם את פערי הכוחות ביניהן לבין הנתבעים.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 כך למשל, </w:t>
      </w:r>
      <w:r w:rsidR="003A3579">
        <w:rPr>
          <w:rFonts w:asciiTheme="minorBidi" w:hAnsiTheme="minorBidi" w:hint="cs"/>
          <w:sz w:val="24"/>
          <w:szCs w:val="24"/>
          <w:rtl/>
        </w:rPr>
        <w:t>קבוצת נשים חרדיות</w:t>
      </w:r>
      <w:r>
        <w:rPr>
          <w:rFonts w:asciiTheme="minorBidi" w:hAnsiTheme="minorBidi" w:hint="cs"/>
          <w:sz w:val="24"/>
          <w:szCs w:val="24"/>
          <w:rtl/>
        </w:rPr>
        <w:t xml:space="preserve"> 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הגישה תביעה ייצוגית </w:t>
      </w:r>
      <w:r>
        <w:rPr>
          <w:rFonts w:asciiTheme="minorBidi" w:hAnsiTheme="minorBidi" w:hint="cs"/>
          <w:sz w:val="24"/>
          <w:szCs w:val="24"/>
          <w:rtl/>
        </w:rPr>
        <w:t>מכוח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החוק למניעת הפליה</w:t>
      </w:r>
      <w:r w:rsidR="00310848">
        <w:rPr>
          <w:rFonts w:asciiTheme="minorBidi" w:hAnsiTheme="minorBidi" w:hint="cs"/>
          <w:sz w:val="24"/>
          <w:szCs w:val="24"/>
          <w:rtl/>
        </w:rPr>
        <w:t xml:space="preserve"> נגד תחנת רדיו שסירבה להשמיע נשי</w:t>
      </w:r>
      <w:r w:rsidR="00C95978">
        <w:rPr>
          <w:rFonts w:asciiTheme="minorBidi" w:hAnsiTheme="minorBidi" w:hint="cs"/>
          <w:sz w:val="24"/>
          <w:szCs w:val="24"/>
          <w:rtl/>
        </w:rPr>
        <w:t>ם</w:t>
      </w:r>
      <w:r w:rsidR="005267E2">
        <w:rPr>
          <w:rFonts w:asciiTheme="minorBidi" w:hAnsiTheme="minorBidi" w:hint="cs"/>
          <w:sz w:val="24"/>
          <w:szCs w:val="24"/>
          <w:rtl/>
        </w:rPr>
        <w:t>. בדיונו בתביע</w:t>
      </w:r>
      <w:r w:rsidR="00C95978">
        <w:rPr>
          <w:rFonts w:asciiTheme="minorBidi" w:hAnsiTheme="minorBidi" w:hint="cs"/>
          <w:sz w:val="24"/>
          <w:szCs w:val="24"/>
          <w:rtl/>
        </w:rPr>
        <w:t>ה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, </w:t>
      </w:r>
      <w:r>
        <w:rPr>
          <w:rFonts w:asciiTheme="minorBidi" w:hAnsiTheme="minorBidi" w:hint="cs"/>
          <w:sz w:val="24"/>
          <w:szCs w:val="24"/>
          <w:rtl/>
        </w:rPr>
        <w:t>חיזק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בית המשפט ה</w:t>
      </w:r>
      <w:r>
        <w:rPr>
          <w:rFonts w:asciiTheme="minorBidi" w:hAnsiTheme="minorBidi" w:hint="cs"/>
          <w:sz w:val="24"/>
          <w:szCs w:val="24"/>
          <w:rtl/>
        </w:rPr>
        <w:t>עליון את הקביעה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כי קיים יתרון מובנה בניהול תובענה ייצוגית על רקע החסמים השונים הקיימים בקרב החברות להגשת תביעה אישית. בית המשפט אף הטיל ספק </w:t>
      </w:r>
      <w:r w:rsidR="00C95978">
        <w:rPr>
          <w:rFonts w:asciiTheme="minorBidi" w:hAnsiTheme="minorBidi" w:hint="cs"/>
          <w:sz w:val="24"/>
          <w:szCs w:val="24"/>
          <w:rtl/>
        </w:rPr>
        <w:t>רב ש</w:t>
      </w:r>
      <w:r w:rsidR="005267E2">
        <w:rPr>
          <w:rFonts w:asciiTheme="minorBidi" w:hAnsiTheme="minorBidi" w:hint="cs"/>
          <w:sz w:val="24"/>
          <w:szCs w:val="24"/>
          <w:rtl/>
        </w:rPr>
        <w:t>נשים אלו היו פונות כיחידות לבית משפט.</w:t>
      </w:r>
    </w:p>
    <w:p w14:paraId="472783AC" w14:textId="7548E38F" w:rsidR="005267E2" w:rsidRDefault="005267E2" w:rsidP="00C95978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</w:t>
      </w:r>
    </w:p>
    <w:p w14:paraId="32ABC327" w14:textId="6FB4091B" w:rsidR="0049776F" w:rsidRDefault="00C95978" w:rsidP="00A30EB5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הנשים החרדיות הן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רק דוגמה אחת לאוכלוסייה מוחלשת</w:t>
      </w:r>
      <w:r>
        <w:rPr>
          <w:rFonts w:asciiTheme="minorBidi" w:hAnsiTheme="minorBidi" w:hint="cs"/>
          <w:sz w:val="24"/>
          <w:szCs w:val="24"/>
          <w:rtl/>
        </w:rPr>
        <w:t>,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המצליחה לממש הלכה למעשה את זכות הגישה לערכאות באמצעות תביעה ייצוגית. כחוקרת שליבת עיסוקה האקדמי ה</w:t>
      </w:r>
      <w:r w:rsidR="00A30EB5">
        <w:rPr>
          <w:rFonts w:asciiTheme="minorBidi" w:hAnsiTheme="minorBidi" w:hint="cs"/>
          <w:sz w:val="24"/>
          <w:szCs w:val="24"/>
          <w:rtl/>
        </w:rPr>
        <w:t>י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א חקר ההפליה בחברה </w:t>
      </w:r>
      <w:r w:rsidR="005267E2">
        <w:rPr>
          <w:rFonts w:asciiTheme="minorBidi" w:hAnsiTheme="minorBidi" w:hint="cs"/>
          <w:sz w:val="24"/>
          <w:szCs w:val="24"/>
          <w:rtl/>
        </w:rPr>
        <w:lastRenderedPageBreak/>
        <w:t>הישראלית</w:t>
      </w:r>
      <w:r>
        <w:rPr>
          <w:rFonts w:asciiTheme="minorBidi" w:hAnsiTheme="minorBidi" w:hint="cs"/>
          <w:sz w:val="24"/>
          <w:szCs w:val="24"/>
          <w:rtl/>
        </w:rPr>
        <w:t xml:space="preserve"> ומיגור</w:t>
      </w:r>
      <w:r w:rsidR="0049776F">
        <w:rPr>
          <w:rFonts w:asciiTheme="minorBidi" w:hAnsiTheme="minorBidi" w:hint="cs"/>
          <w:sz w:val="24"/>
          <w:szCs w:val="24"/>
          <w:rtl/>
        </w:rPr>
        <w:t>ה ב</w:t>
      </w:r>
      <w:r>
        <w:rPr>
          <w:rFonts w:asciiTheme="minorBidi" w:hAnsiTheme="minorBidi" w:hint="cs"/>
          <w:sz w:val="24"/>
          <w:szCs w:val="24"/>
          <w:rtl/>
        </w:rPr>
        <w:t>אמצעות המשפט</w:t>
      </w:r>
      <w:r w:rsidR="005267E2">
        <w:rPr>
          <w:rFonts w:asciiTheme="minorBidi" w:hAnsiTheme="minorBidi" w:hint="cs"/>
          <w:sz w:val="24"/>
          <w:szCs w:val="24"/>
          <w:rtl/>
        </w:rPr>
        <w:t>, ממצאי מחקר</w:t>
      </w:r>
      <w:r w:rsidR="00A30EB5">
        <w:rPr>
          <w:rFonts w:asciiTheme="minorBidi" w:hAnsiTheme="minorBidi" w:hint="cs"/>
          <w:sz w:val="24"/>
          <w:szCs w:val="24"/>
          <w:rtl/>
        </w:rPr>
        <w:t>י</w:t>
      </w:r>
      <w:r w:rsidR="005267E2">
        <w:rPr>
          <w:rFonts w:asciiTheme="minorBidi" w:hAnsiTheme="minorBidi" w:hint="cs"/>
          <w:sz w:val="24"/>
          <w:szCs w:val="24"/>
          <w:rtl/>
        </w:rPr>
        <w:t>י העלו כי חוק איסור ההפליה</w:t>
      </w:r>
      <w:r>
        <w:rPr>
          <w:rFonts w:asciiTheme="minorBidi" w:hAnsiTheme="minorBidi" w:hint="cs"/>
          <w:sz w:val="24"/>
          <w:szCs w:val="24"/>
          <w:rtl/>
        </w:rPr>
        <w:t>,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ובפר</w:t>
      </w:r>
      <w:r w:rsidR="001877DE">
        <w:rPr>
          <w:rFonts w:asciiTheme="minorBidi" w:hAnsiTheme="minorBidi" w:hint="cs"/>
          <w:sz w:val="24"/>
          <w:szCs w:val="24"/>
          <w:rtl/>
        </w:rPr>
        <w:t>ט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מימושו באמצעות תביעה ייצוגית</w:t>
      </w:r>
      <w:r>
        <w:rPr>
          <w:rFonts w:asciiTheme="minorBidi" w:hAnsiTheme="minorBidi" w:hint="cs"/>
          <w:sz w:val="24"/>
          <w:szCs w:val="24"/>
          <w:rtl/>
        </w:rPr>
        <w:t>,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</w:t>
      </w:r>
      <w:r w:rsidR="00310848">
        <w:rPr>
          <w:rFonts w:asciiTheme="minorBidi" w:hAnsiTheme="minorBidi" w:hint="cs"/>
          <w:sz w:val="24"/>
          <w:szCs w:val="24"/>
          <w:rtl/>
        </w:rPr>
        <w:t>מהווה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אמצעי ל</w:t>
      </w:r>
      <w:r>
        <w:rPr>
          <w:rFonts w:asciiTheme="minorBidi" w:hAnsiTheme="minorBidi" w:hint="cs"/>
          <w:sz w:val="24"/>
          <w:szCs w:val="24"/>
          <w:rtl/>
        </w:rPr>
        <w:t>"</w:t>
      </w:r>
      <w:r w:rsidR="005267E2">
        <w:rPr>
          <w:rFonts w:asciiTheme="minorBidi" w:hAnsiTheme="minorBidi" w:hint="cs"/>
          <w:sz w:val="24"/>
          <w:szCs w:val="24"/>
          <w:rtl/>
        </w:rPr>
        <w:t>אכיפה אזרחית</w:t>
      </w:r>
      <w:r>
        <w:rPr>
          <w:rFonts w:asciiTheme="minorBidi" w:hAnsiTheme="minorBidi" w:hint="cs"/>
          <w:sz w:val="24"/>
          <w:szCs w:val="24"/>
          <w:rtl/>
        </w:rPr>
        <w:t>"</w:t>
      </w:r>
      <w:r w:rsidR="005267E2">
        <w:rPr>
          <w:rFonts w:asciiTheme="minorBidi" w:hAnsiTheme="minorBidi" w:hint="cs"/>
          <w:sz w:val="24"/>
          <w:szCs w:val="24"/>
          <w:rtl/>
        </w:rPr>
        <w:t xml:space="preserve"> בקרב אוכלוסיות שלא היו מגיעות להיכל המשפט אלמלא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 קיומו. בדומה לנשים החרדיות ובהלימה עם מ</w:t>
      </w:r>
      <w:r>
        <w:rPr>
          <w:rFonts w:asciiTheme="minorBidi" w:hAnsiTheme="minorBidi" w:hint="cs"/>
          <w:sz w:val="24"/>
          <w:szCs w:val="24"/>
          <w:rtl/>
        </w:rPr>
        <w:t>טרת החוק, תחושת הלכידות הנוצרת בתביעה הייצוגית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 מעניקה לחברים ולחברות בה חוסן נפשי</w:t>
      </w:r>
      <w:r w:rsidR="00A30EB5">
        <w:rPr>
          <w:rFonts w:asciiTheme="minorBidi" w:hAnsiTheme="minorBidi" w:hint="cs"/>
          <w:sz w:val="24"/>
          <w:szCs w:val="24"/>
          <w:rtl/>
        </w:rPr>
        <w:t>,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 שלא קיים </w:t>
      </w:r>
      <w:r>
        <w:rPr>
          <w:rFonts w:asciiTheme="minorBidi" w:hAnsiTheme="minorBidi" w:hint="cs"/>
          <w:sz w:val="24"/>
          <w:szCs w:val="24"/>
          <w:rtl/>
        </w:rPr>
        <w:t xml:space="preserve">להם 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בעודם עומדים בודדים במערכה למול מי שהפלה אותם. </w:t>
      </w:r>
    </w:p>
    <w:p w14:paraId="087ED6B0" w14:textId="3631E1AF" w:rsidR="005267E2" w:rsidRDefault="005267E2" w:rsidP="0049776F">
      <w:pPr>
        <w:jc w:val="both"/>
        <w:rPr>
          <w:rFonts w:asciiTheme="minorBidi" w:hAnsiTheme="minorBidi"/>
          <w:sz w:val="24"/>
          <w:szCs w:val="24"/>
          <w:rtl/>
        </w:rPr>
      </w:pPr>
    </w:p>
    <w:p w14:paraId="1C2068C6" w14:textId="77777777" w:rsidR="00C95978" w:rsidRDefault="00310848" w:rsidP="003E3C0C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>כ</w:t>
      </w:r>
      <w:r w:rsidR="00C95978">
        <w:rPr>
          <w:rFonts w:asciiTheme="minorBidi" w:hAnsiTheme="minorBidi" w:hint="cs"/>
          <w:sz w:val="24"/>
          <w:szCs w:val="24"/>
          <w:rtl/>
        </w:rPr>
        <w:t>יו"ר</w:t>
      </w:r>
      <w:r w:rsidR="00D57C94">
        <w:rPr>
          <w:rFonts w:asciiTheme="minorBidi" w:hAnsiTheme="minorBidi" w:hint="cs"/>
          <w:sz w:val="24"/>
          <w:szCs w:val="24"/>
          <w:rtl/>
        </w:rPr>
        <w:t xml:space="preserve"> </w:t>
      </w:r>
      <w:r w:rsidR="00C95978">
        <w:rPr>
          <w:rFonts w:asciiTheme="minorBidi" w:hAnsiTheme="minorBidi" w:hint="cs"/>
          <w:sz w:val="24"/>
          <w:szCs w:val="24"/>
          <w:rtl/>
        </w:rPr>
        <w:t>מרכז תמורה,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 </w:t>
      </w:r>
      <w:r w:rsidR="00C95978">
        <w:rPr>
          <w:rFonts w:asciiTheme="minorBidi" w:hAnsiTheme="minorBidi" w:hint="cs"/>
          <w:sz w:val="24"/>
          <w:szCs w:val="24"/>
          <w:rtl/>
        </w:rPr>
        <w:t>כ</w:t>
      </w:r>
      <w:r w:rsidR="00A30EB5">
        <w:rPr>
          <w:rFonts w:asciiTheme="minorBidi" w:hAnsiTheme="minorBidi" w:hint="cs"/>
          <w:sz w:val="24"/>
          <w:szCs w:val="24"/>
          <w:rtl/>
        </w:rPr>
        <w:t>ל</w:t>
      </w:r>
      <w:r w:rsidR="00C95978">
        <w:rPr>
          <w:rFonts w:asciiTheme="minorBidi" w:hAnsiTheme="minorBidi" w:hint="cs"/>
          <w:sz w:val="24"/>
          <w:szCs w:val="24"/>
          <w:rtl/>
        </w:rPr>
        <w:t>יטי</w:t>
      </w:r>
      <w:r w:rsidR="00A30EB5">
        <w:rPr>
          <w:rFonts w:asciiTheme="minorBidi" w:hAnsiTheme="minorBidi" w:hint="cs"/>
          <w:sz w:val="24"/>
          <w:szCs w:val="24"/>
          <w:rtl/>
        </w:rPr>
        <w:t>גטורית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 </w:t>
      </w:r>
      <w:r w:rsidR="00022375">
        <w:rPr>
          <w:rFonts w:asciiTheme="minorBidi" w:hAnsiTheme="minorBidi" w:hint="cs"/>
          <w:sz w:val="24"/>
          <w:szCs w:val="24"/>
          <w:rtl/>
        </w:rPr>
        <w:t>ו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כמי 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שמעניקה חוות דעת </w:t>
      </w:r>
      <w:r w:rsidR="00C95978">
        <w:rPr>
          <w:rFonts w:asciiTheme="minorBidi" w:hAnsiTheme="minorBidi" w:hint="cs"/>
          <w:sz w:val="24"/>
          <w:szCs w:val="24"/>
          <w:rtl/>
        </w:rPr>
        <w:t>ב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תביעות הפליה, </w:t>
      </w:r>
      <w:r w:rsidR="00022375">
        <w:rPr>
          <w:rFonts w:asciiTheme="minorBidi" w:hAnsiTheme="minorBidi" w:hint="cs"/>
          <w:sz w:val="24"/>
          <w:szCs w:val="24"/>
          <w:rtl/>
        </w:rPr>
        <w:t>אבקש</w:t>
      </w:r>
      <w:r w:rsidR="0049776F">
        <w:rPr>
          <w:rFonts w:asciiTheme="minorBidi" w:hAnsiTheme="minorBidi" w:hint="cs"/>
          <w:sz w:val="24"/>
          <w:szCs w:val="24"/>
          <w:rtl/>
        </w:rPr>
        <w:t xml:space="preserve"> להתריע </w:t>
      </w:r>
      <w:r w:rsidR="00A30EB5">
        <w:rPr>
          <w:rFonts w:asciiTheme="minorBidi" w:hAnsiTheme="minorBidi" w:hint="cs"/>
          <w:sz w:val="24"/>
          <w:szCs w:val="24"/>
          <w:rtl/>
        </w:rPr>
        <w:t xml:space="preserve">מפני </w:t>
      </w:r>
      <w:r w:rsidR="005E1AF5">
        <w:rPr>
          <w:rFonts w:asciiTheme="minorBidi" w:hAnsiTheme="minorBidi" w:hint="cs"/>
          <w:sz w:val="24"/>
          <w:szCs w:val="24"/>
          <w:rtl/>
        </w:rPr>
        <w:t>הפגיעה הקשה ש</w:t>
      </w:r>
      <w:r w:rsidR="00C95978">
        <w:rPr>
          <w:rFonts w:asciiTheme="minorBidi" w:hAnsiTheme="minorBidi" w:hint="cs"/>
          <w:sz w:val="24"/>
          <w:szCs w:val="24"/>
          <w:rtl/>
        </w:rPr>
        <w:t>עלולה לה</w:t>
      </w:r>
      <w:r w:rsidR="005E1AF5">
        <w:rPr>
          <w:rFonts w:asciiTheme="minorBidi" w:hAnsiTheme="minorBidi" w:hint="cs"/>
          <w:sz w:val="24"/>
          <w:szCs w:val="24"/>
          <w:rtl/>
        </w:rPr>
        <w:t>תרחש כתוצאה מהטלת אגרת פתיחת הליך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 גבוהה</w:t>
      </w:r>
      <w:r w:rsidR="005E1AF5">
        <w:rPr>
          <w:rFonts w:asciiTheme="minorBidi" w:hAnsiTheme="minorBidi" w:hint="cs"/>
          <w:sz w:val="24"/>
          <w:szCs w:val="24"/>
          <w:rtl/>
        </w:rPr>
        <w:t xml:space="preserve">. </w:t>
      </w:r>
      <w:r w:rsidR="001877DE">
        <w:rPr>
          <w:rFonts w:asciiTheme="minorBidi" w:hAnsiTheme="minorBidi" w:hint="cs"/>
          <w:sz w:val="24"/>
          <w:szCs w:val="24"/>
          <w:rtl/>
        </w:rPr>
        <w:t xml:space="preserve">קביעת אגרה 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גבוהה </w:t>
      </w:r>
      <w:r w:rsidR="001877DE">
        <w:rPr>
          <w:rFonts w:asciiTheme="minorBidi" w:hAnsiTheme="minorBidi" w:hint="cs"/>
          <w:sz w:val="24"/>
          <w:szCs w:val="24"/>
          <w:rtl/>
        </w:rPr>
        <w:t>בעת הגשת תביעות ייצוגיות</w:t>
      </w:r>
      <w:r w:rsidR="00A30EB5">
        <w:rPr>
          <w:rFonts w:asciiTheme="minorBidi" w:hAnsiTheme="minorBidi" w:hint="cs"/>
          <w:sz w:val="24"/>
          <w:szCs w:val="24"/>
          <w:rtl/>
        </w:rPr>
        <w:t>,</w:t>
      </w:r>
      <w:r w:rsidR="001877DE">
        <w:rPr>
          <w:rFonts w:asciiTheme="minorBidi" w:hAnsiTheme="minorBidi" w:hint="cs"/>
          <w:sz w:val="24"/>
          <w:szCs w:val="24"/>
          <w:rtl/>
        </w:rPr>
        <w:t xml:space="preserve"> ובפרט בעת הגשת תובענה בגין הפליה, תיצור "אפקט מצנן" ותוביל לסגירת שערי בית המשפט בקרב אוכלוסיות מוחלשות.</w:t>
      </w:r>
      <w:r w:rsidR="005E1AF5">
        <w:rPr>
          <w:rFonts w:asciiTheme="minorBidi" w:hAnsiTheme="minorBidi" w:hint="cs"/>
          <w:sz w:val="24"/>
          <w:szCs w:val="24"/>
          <w:rtl/>
        </w:rPr>
        <w:t xml:space="preserve"> אוכלוסיות מוחלשות שעבורן הגשת תביעה ייצוגית היא האפשרות היחידה למזער הוצאות משפט, לא יכלו מראש להיכנס להליך וכתוצאה מכך קול</w:t>
      </w:r>
      <w:r w:rsidR="00A30EB5">
        <w:rPr>
          <w:rFonts w:asciiTheme="minorBidi" w:hAnsiTheme="minorBidi" w:hint="cs"/>
          <w:sz w:val="24"/>
          <w:szCs w:val="24"/>
          <w:rtl/>
        </w:rPr>
        <w:t xml:space="preserve">ן </w:t>
      </w:r>
      <w:r w:rsidR="005E1AF5">
        <w:rPr>
          <w:rFonts w:asciiTheme="minorBidi" w:hAnsiTheme="minorBidi" w:hint="cs"/>
          <w:sz w:val="24"/>
          <w:szCs w:val="24"/>
          <w:rtl/>
        </w:rPr>
        <w:t>לא יישמע. מעבר לפגיעה האנושה בזכות הגישה לערכאות, אזרחים שקולם יושתק ע</w:t>
      </w:r>
      <w:r w:rsidR="003E3C0C">
        <w:rPr>
          <w:rFonts w:asciiTheme="minorBidi" w:hAnsiTheme="minorBidi" w:hint="cs"/>
          <w:sz w:val="24"/>
          <w:szCs w:val="24"/>
          <w:rtl/>
        </w:rPr>
        <w:t>לולים</w:t>
      </w:r>
      <w:r w:rsidR="005E1AF5">
        <w:rPr>
          <w:rFonts w:asciiTheme="minorBidi" w:hAnsiTheme="minorBidi" w:hint="cs"/>
          <w:sz w:val="24"/>
          <w:szCs w:val="24"/>
          <w:rtl/>
        </w:rPr>
        <w:t xml:space="preserve"> לבטא אותו במקומות אחרים, ללא תנאים מוגדרים מראש, תוך קריאת תיגר על המערכת ולא תוך שימוש בכליה.</w:t>
      </w:r>
    </w:p>
    <w:p w14:paraId="7D2EA05A" w14:textId="7689B638" w:rsidR="001877DE" w:rsidRDefault="005E1AF5" w:rsidP="003E3C0C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</w:t>
      </w:r>
    </w:p>
    <w:p w14:paraId="4277CC0F" w14:textId="77777777" w:rsidR="00C95978" w:rsidRDefault="00022375" w:rsidP="00484C09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אין </w:t>
      </w:r>
      <w:r w:rsidR="00C95978">
        <w:rPr>
          <w:rFonts w:asciiTheme="minorBidi" w:hAnsiTheme="minorBidi" w:hint="cs"/>
          <w:sz w:val="24"/>
          <w:szCs w:val="24"/>
          <w:rtl/>
        </w:rPr>
        <w:t>להסכים ש</w:t>
      </w:r>
      <w:r>
        <w:rPr>
          <w:rFonts w:asciiTheme="minorBidi" w:hAnsiTheme="minorBidi" w:hint="cs"/>
          <w:sz w:val="24"/>
          <w:szCs w:val="24"/>
          <w:rtl/>
        </w:rPr>
        <w:t>בשל יחידים העושים שימוש לרעה בתביעות ייצוגיות</w:t>
      </w:r>
      <w:r w:rsidR="00C95978">
        <w:rPr>
          <w:rFonts w:asciiTheme="minorBidi" w:hAnsiTheme="minorBidi" w:hint="cs"/>
          <w:sz w:val="24"/>
          <w:szCs w:val="24"/>
          <w:rtl/>
        </w:rPr>
        <w:t>,</w:t>
      </w:r>
      <w:r>
        <w:rPr>
          <w:rFonts w:asciiTheme="minorBidi" w:hAnsiTheme="minorBidi" w:hint="cs"/>
          <w:sz w:val="24"/>
          <w:szCs w:val="24"/>
          <w:rtl/>
        </w:rPr>
        <w:t xml:space="preserve"> י</w:t>
      </w:r>
      <w:r w:rsidR="00C95978">
        <w:rPr>
          <w:rFonts w:asciiTheme="minorBidi" w:hAnsiTheme="minorBidi" w:hint="cs"/>
          <w:sz w:val="24"/>
          <w:szCs w:val="24"/>
          <w:rtl/>
        </w:rPr>
        <w:t>י</w:t>
      </w:r>
      <w:r>
        <w:rPr>
          <w:rFonts w:asciiTheme="minorBidi" w:hAnsiTheme="minorBidi" w:hint="cs"/>
          <w:sz w:val="24"/>
          <w:szCs w:val="24"/>
          <w:rtl/>
        </w:rPr>
        <w:t>ענש</w:t>
      </w:r>
      <w:r w:rsidR="003E3C0C">
        <w:rPr>
          <w:rFonts w:asciiTheme="minorBidi" w:hAnsiTheme="minorBidi" w:hint="cs"/>
          <w:sz w:val="24"/>
          <w:szCs w:val="24"/>
          <w:rtl/>
        </w:rPr>
        <w:t xml:space="preserve"> כלל</w:t>
      </w:r>
      <w:r>
        <w:rPr>
          <w:rFonts w:asciiTheme="minorBidi" w:hAnsiTheme="minorBidi" w:hint="cs"/>
          <w:sz w:val="24"/>
          <w:szCs w:val="24"/>
          <w:rtl/>
        </w:rPr>
        <w:t xml:space="preserve"> הציבור הזכאי</w:t>
      </w:r>
      <w:r w:rsidR="00C95978">
        <w:rPr>
          <w:rFonts w:asciiTheme="minorBidi" w:hAnsiTheme="minorBidi" w:hint="cs"/>
          <w:sz w:val="24"/>
          <w:szCs w:val="24"/>
          <w:rtl/>
        </w:rPr>
        <w:t>,</w:t>
      </w:r>
      <w:r>
        <w:rPr>
          <w:rFonts w:asciiTheme="minorBidi" w:hAnsiTheme="minorBidi" w:hint="cs"/>
          <w:sz w:val="24"/>
          <w:szCs w:val="24"/>
          <w:rtl/>
        </w:rPr>
        <w:t xml:space="preserve"> ו</w:t>
      </w:r>
      <w:r w:rsidR="003E3C0C">
        <w:rPr>
          <w:rFonts w:asciiTheme="minorBidi" w:hAnsiTheme="minorBidi" w:hint="cs"/>
          <w:sz w:val="24"/>
          <w:szCs w:val="24"/>
          <w:rtl/>
        </w:rPr>
        <w:t>ב</w:t>
      </w:r>
      <w:r>
        <w:rPr>
          <w:rFonts w:asciiTheme="minorBidi" w:hAnsiTheme="minorBidi" w:hint="cs"/>
          <w:sz w:val="24"/>
          <w:szCs w:val="24"/>
          <w:rtl/>
        </w:rPr>
        <w:t xml:space="preserve">פרט אוכלוסיות מוחלשות, </w:t>
      </w:r>
      <w:r w:rsidR="003E3C0C">
        <w:rPr>
          <w:rFonts w:asciiTheme="minorBidi" w:hAnsiTheme="minorBidi" w:hint="cs"/>
          <w:sz w:val="24"/>
          <w:szCs w:val="24"/>
          <w:rtl/>
        </w:rPr>
        <w:t xml:space="preserve">בכך שתימנע ממנו האפשרות </w:t>
      </w:r>
      <w:r>
        <w:rPr>
          <w:rFonts w:asciiTheme="minorBidi" w:hAnsiTheme="minorBidi" w:hint="cs"/>
          <w:sz w:val="24"/>
          <w:szCs w:val="24"/>
          <w:rtl/>
        </w:rPr>
        <w:t xml:space="preserve">להגיש תביעות ייצוגיות מבלי לשלם אגרת בית משפט. </w:t>
      </w:r>
    </w:p>
    <w:p w14:paraId="03EF3E4F" w14:textId="77777777" w:rsidR="00C95978" w:rsidRDefault="00C95978" w:rsidP="00484C09">
      <w:pPr>
        <w:jc w:val="both"/>
        <w:rPr>
          <w:rFonts w:asciiTheme="minorBidi" w:hAnsiTheme="minorBidi"/>
          <w:sz w:val="24"/>
          <w:szCs w:val="24"/>
          <w:rtl/>
        </w:rPr>
      </w:pPr>
    </w:p>
    <w:p w14:paraId="7B8FF749" w14:textId="08DC3BD0" w:rsidR="00D63399" w:rsidRPr="00D63399" w:rsidRDefault="00022375" w:rsidP="00484C09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אם המחוקק מבקש להילחם בתביעות סרק, עליו לעשות זאת </w:t>
      </w:r>
      <w:r w:rsidR="003E3C0C" w:rsidRPr="00D63399">
        <w:rPr>
          <w:rFonts w:asciiTheme="minorBidi" w:hAnsiTheme="minorBidi" w:hint="cs"/>
          <w:b/>
          <w:bCs/>
          <w:sz w:val="24"/>
          <w:szCs w:val="24"/>
          <w:u w:val="single"/>
          <w:rtl/>
        </w:rPr>
        <w:t xml:space="preserve"> תוך הבחנה בין סוגי התובענות הייצוגיות</w:t>
      </w:r>
      <w:r w:rsidR="003E3C0C" w:rsidRPr="00D63399">
        <w:rPr>
          <w:rFonts w:asciiTheme="minorBidi" w:hAnsiTheme="minorBidi" w:hint="cs"/>
          <w:b/>
          <w:bCs/>
          <w:sz w:val="24"/>
          <w:szCs w:val="24"/>
          <w:rtl/>
        </w:rPr>
        <w:t xml:space="preserve">. </w:t>
      </w:r>
    </w:p>
    <w:p w14:paraId="01C4D4BA" w14:textId="271992BB" w:rsidR="0049776F" w:rsidRPr="00D63399" w:rsidRDefault="00D63399" w:rsidP="00DB49AC">
      <w:pPr>
        <w:jc w:val="both"/>
        <w:rPr>
          <w:rFonts w:asciiTheme="minorBidi" w:hAnsiTheme="minorBidi"/>
          <w:sz w:val="24"/>
          <w:szCs w:val="24"/>
          <w:rtl/>
        </w:rPr>
      </w:pPr>
      <w:r w:rsidRPr="00D63399">
        <w:rPr>
          <w:rFonts w:asciiTheme="minorBidi" w:hAnsiTheme="minorBidi" w:hint="cs"/>
          <w:sz w:val="24"/>
          <w:szCs w:val="24"/>
          <w:rtl/>
        </w:rPr>
        <w:t xml:space="preserve">לטעמנו </w:t>
      </w:r>
      <w:r>
        <w:rPr>
          <w:rFonts w:asciiTheme="minorBidi" w:hAnsiTheme="minorBidi" w:hint="cs"/>
          <w:sz w:val="24"/>
          <w:szCs w:val="24"/>
          <w:rtl/>
        </w:rPr>
        <w:t xml:space="preserve">לא ייתכן כי לעניין האגרות, 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דין תביעה ייצוגית בנושא צרכנות יהיה כדין תביעה </w:t>
      </w:r>
      <w:r w:rsidR="00C95978">
        <w:rPr>
          <w:rFonts w:asciiTheme="minorBidi" w:hAnsiTheme="minorBidi" w:hint="cs"/>
          <w:sz w:val="24"/>
          <w:szCs w:val="24"/>
          <w:rtl/>
        </w:rPr>
        <w:t xml:space="preserve">ייצוגית 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מכוח </w:t>
      </w:r>
      <w:r w:rsidR="00DB49AC">
        <w:rPr>
          <w:rFonts w:asciiTheme="minorBidi" w:hAnsiTheme="minorBidi" w:hint="cs"/>
          <w:sz w:val="24"/>
          <w:szCs w:val="24"/>
          <w:rtl/>
        </w:rPr>
        <w:t xml:space="preserve">פגיעה בשוויון או מכוח 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חוק </w:t>
      </w:r>
      <w:r w:rsidR="00DB49AC">
        <w:rPr>
          <w:rFonts w:asciiTheme="minorBidi" w:hAnsiTheme="minorBidi" w:hint="cs"/>
          <w:sz w:val="24"/>
          <w:szCs w:val="24"/>
          <w:rtl/>
        </w:rPr>
        <w:t xml:space="preserve">איסור 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הפליה. </w:t>
      </w:r>
      <w:r w:rsidR="004D7C81" w:rsidRPr="00D63399">
        <w:rPr>
          <w:rFonts w:asciiTheme="minorBidi" w:hAnsiTheme="minorBidi" w:hint="cs"/>
          <w:sz w:val="24"/>
          <w:szCs w:val="24"/>
          <w:rtl/>
        </w:rPr>
        <w:t xml:space="preserve">התובעים </w:t>
      </w:r>
      <w:r w:rsidR="00DB49AC">
        <w:rPr>
          <w:rFonts w:asciiTheme="minorBidi" w:hAnsiTheme="minorBidi" w:hint="cs"/>
          <w:sz w:val="24"/>
          <w:szCs w:val="24"/>
          <w:rtl/>
        </w:rPr>
        <w:t>במסגרות אלה</w:t>
      </w:r>
      <w:r w:rsidR="004D7C81" w:rsidRPr="00D63399">
        <w:rPr>
          <w:rFonts w:asciiTheme="minorBidi" w:hAnsiTheme="minorBidi" w:hint="cs"/>
          <w:sz w:val="24"/>
          <w:szCs w:val="24"/>
          <w:rtl/>
        </w:rPr>
        <w:t xml:space="preserve"> הינם אוכלוסיות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מוחלש</w:t>
      </w:r>
      <w:r w:rsidR="001877F3" w:rsidRPr="00D63399">
        <w:rPr>
          <w:rFonts w:asciiTheme="minorBidi" w:hAnsiTheme="minorBidi" w:hint="cs"/>
          <w:sz w:val="24"/>
          <w:szCs w:val="24"/>
          <w:rtl/>
        </w:rPr>
        <w:t>ות הזקוקות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לכלים המשפטים שהמחוקק ביקש לה</w:t>
      </w:r>
      <w:r>
        <w:rPr>
          <w:rFonts w:asciiTheme="minorBidi" w:hAnsiTheme="minorBidi" w:hint="cs"/>
          <w:sz w:val="24"/>
          <w:szCs w:val="24"/>
          <w:rtl/>
        </w:rPr>
        <w:t>עניק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במט</w:t>
      </w:r>
      <w:r w:rsidR="00021D4C" w:rsidRPr="00D63399">
        <w:rPr>
          <w:rFonts w:asciiTheme="minorBidi" w:hAnsiTheme="minorBidi" w:hint="cs"/>
          <w:sz w:val="24"/>
          <w:szCs w:val="24"/>
          <w:rtl/>
        </w:rPr>
        <w:t>רות החוק. אוכלוסיות אלו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נדרש</w:t>
      </w:r>
      <w:r w:rsidR="00021D4C" w:rsidRPr="00D63399">
        <w:rPr>
          <w:rFonts w:asciiTheme="minorBidi" w:hAnsiTheme="minorBidi" w:hint="cs"/>
          <w:sz w:val="24"/>
          <w:szCs w:val="24"/>
          <w:rtl/>
        </w:rPr>
        <w:t>ו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>ת למנגנון מאחד על מנת שייתן לה</w:t>
      </w:r>
      <w:r w:rsidR="00021D4C" w:rsidRPr="00D63399">
        <w:rPr>
          <w:rFonts w:asciiTheme="minorBidi" w:hAnsiTheme="minorBidi" w:hint="cs"/>
          <w:sz w:val="24"/>
          <w:szCs w:val="24"/>
          <w:rtl/>
        </w:rPr>
        <w:t>ם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כוח משפטי, אך גם כוח</w:t>
      </w:r>
      <w:r>
        <w:rPr>
          <w:rFonts w:asciiTheme="minorBidi" w:hAnsiTheme="minorBidi" w:hint="cs"/>
          <w:sz w:val="24"/>
          <w:szCs w:val="24"/>
          <w:rtl/>
        </w:rPr>
        <w:t xml:space="preserve"> כלכלי 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>להת</w:t>
      </w:r>
      <w:r w:rsidR="00021D4C" w:rsidRPr="00D63399">
        <w:rPr>
          <w:rFonts w:asciiTheme="minorBidi" w:hAnsiTheme="minorBidi" w:hint="cs"/>
          <w:sz w:val="24"/>
          <w:szCs w:val="24"/>
          <w:rtl/>
        </w:rPr>
        <w:t>מודד בתביעות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</w:t>
      </w:r>
      <w:r w:rsidR="00021D4C" w:rsidRPr="00D63399">
        <w:rPr>
          <w:rFonts w:asciiTheme="minorBidi" w:hAnsiTheme="minorBidi" w:hint="cs"/>
          <w:sz w:val="24"/>
          <w:szCs w:val="24"/>
          <w:rtl/>
        </w:rPr>
        <w:t xml:space="preserve">אל 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>מול גור</w:t>
      </w:r>
      <w:r w:rsidR="00021D4C" w:rsidRPr="00D63399">
        <w:rPr>
          <w:rFonts w:asciiTheme="minorBidi" w:hAnsiTheme="minorBidi" w:hint="cs"/>
          <w:sz w:val="24"/>
          <w:szCs w:val="24"/>
          <w:rtl/>
        </w:rPr>
        <w:t>מים מפלים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בעל</w:t>
      </w:r>
      <w:r w:rsidR="00021D4C" w:rsidRPr="00D63399">
        <w:rPr>
          <w:rFonts w:asciiTheme="minorBidi" w:hAnsiTheme="minorBidi" w:hint="cs"/>
          <w:sz w:val="24"/>
          <w:szCs w:val="24"/>
          <w:rtl/>
        </w:rPr>
        <w:t>י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כוח. הצבת חסם בדמות אגרת פתיחת </w:t>
      </w:r>
      <w:r w:rsidR="00033C7C" w:rsidRPr="00D63399">
        <w:rPr>
          <w:rFonts w:asciiTheme="minorBidi" w:hAnsiTheme="minorBidi" w:hint="cs"/>
          <w:sz w:val="24"/>
          <w:szCs w:val="24"/>
          <w:rtl/>
        </w:rPr>
        <w:t xml:space="preserve">הליך 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>משפט</w:t>
      </w:r>
      <w:r w:rsidR="00033C7C" w:rsidRPr="00D63399">
        <w:rPr>
          <w:rFonts w:asciiTheme="minorBidi" w:hAnsiTheme="minorBidi" w:hint="cs"/>
          <w:sz w:val="24"/>
          <w:szCs w:val="24"/>
          <w:rtl/>
        </w:rPr>
        <w:t>י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בתביעות הפליה</w:t>
      </w:r>
      <w:r w:rsidR="00DB49AC">
        <w:rPr>
          <w:rFonts w:asciiTheme="minorBidi" w:hAnsiTheme="minorBidi" w:hint="cs"/>
          <w:sz w:val="24"/>
          <w:szCs w:val="24"/>
          <w:rtl/>
        </w:rPr>
        <w:t xml:space="preserve"> או מתן פטור ממנה במצבים חריגים בלבד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, תהווה </w:t>
      </w:r>
      <w:r>
        <w:rPr>
          <w:rFonts w:asciiTheme="minorBidi" w:hAnsiTheme="minorBidi" w:hint="cs"/>
          <w:sz w:val="24"/>
          <w:szCs w:val="24"/>
          <w:rtl/>
        </w:rPr>
        <w:t>גזירה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שהתובע</w:t>
      </w:r>
      <w:r w:rsidR="00070484" w:rsidRPr="00D63399">
        <w:rPr>
          <w:rFonts w:asciiTheme="minorBidi" w:hAnsiTheme="minorBidi" w:hint="cs"/>
          <w:sz w:val="24"/>
          <w:szCs w:val="24"/>
          <w:rtl/>
        </w:rPr>
        <w:t>ים</w:t>
      </w:r>
      <w:r w:rsidR="00C82C94" w:rsidRPr="00D63399">
        <w:rPr>
          <w:rFonts w:asciiTheme="minorBidi" w:hAnsiTheme="minorBidi" w:hint="cs"/>
          <w:sz w:val="24"/>
          <w:szCs w:val="24"/>
          <w:rtl/>
        </w:rPr>
        <w:t xml:space="preserve"> לא יוכל</w:t>
      </w:r>
      <w:r w:rsidR="00070484" w:rsidRPr="00D63399">
        <w:rPr>
          <w:rFonts w:asciiTheme="minorBidi" w:hAnsiTheme="minorBidi" w:hint="cs"/>
          <w:sz w:val="24"/>
          <w:szCs w:val="24"/>
          <w:rtl/>
        </w:rPr>
        <w:t xml:space="preserve">ו לעמוד </w:t>
      </w:r>
      <w:r w:rsidR="009E095F" w:rsidRPr="00D63399">
        <w:rPr>
          <w:rFonts w:asciiTheme="minorBidi" w:hAnsiTheme="minorBidi" w:hint="cs"/>
          <w:sz w:val="24"/>
          <w:szCs w:val="24"/>
          <w:rtl/>
        </w:rPr>
        <w:t>ב</w:t>
      </w:r>
      <w:r>
        <w:rPr>
          <w:rFonts w:asciiTheme="minorBidi" w:hAnsiTheme="minorBidi" w:hint="cs"/>
          <w:sz w:val="24"/>
          <w:szCs w:val="24"/>
          <w:rtl/>
        </w:rPr>
        <w:t>ה</w:t>
      </w:r>
      <w:r w:rsidR="009E095F" w:rsidRPr="00D63399">
        <w:rPr>
          <w:rFonts w:asciiTheme="minorBidi" w:hAnsiTheme="minorBidi" w:hint="cs"/>
          <w:sz w:val="24"/>
          <w:szCs w:val="24"/>
          <w:rtl/>
        </w:rPr>
        <w:t xml:space="preserve">. </w:t>
      </w:r>
      <w:r w:rsidR="00484C09" w:rsidRPr="00D63399">
        <w:rPr>
          <w:rFonts w:asciiTheme="minorBidi" w:hAnsiTheme="minorBidi" w:hint="cs"/>
          <w:sz w:val="24"/>
          <w:szCs w:val="24"/>
          <w:rtl/>
        </w:rPr>
        <w:t xml:space="preserve">קידום השוויון </w:t>
      </w:r>
      <w:r w:rsidR="00033C7C" w:rsidRPr="00D63399">
        <w:rPr>
          <w:rFonts w:asciiTheme="minorBidi" w:hAnsiTheme="minorBidi" w:hint="cs"/>
          <w:sz w:val="24"/>
          <w:szCs w:val="24"/>
          <w:rtl/>
        </w:rPr>
        <w:t xml:space="preserve">אינו </w:t>
      </w:r>
      <w:r w:rsidR="00DB49AC">
        <w:rPr>
          <w:rFonts w:asciiTheme="minorBidi" w:hAnsiTheme="minorBidi" w:hint="cs"/>
          <w:sz w:val="24"/>
          <w:szCs w:val="24"/>
          <w:rtl/>
        </w:rPr>
        <w:t>חובה המוטלת</w:t>
      </w:r>
      <w:r w:rsidR="00033C7C" w:rsidRPr="00D63399">
        <w:rPr>
          <w:rFonts w:asciiTheme="minorBidi" w:hAnsiTheme="minorBidi" w:hint="cs"/>
          <w:sz w:val="24"/>
          <w:szCs w:val="24"/>
          <w:rtl/>
        </w:rPr>
        <w:t xml:space="preserve"> ע</w:t>
      </w:r>
      <w:r w:rsidR="00484C09" w:rsidRPr="00D63399">
        <w:rPr>
          <w:rFonts w:asciiTheme="minorBidi" w:hAnsiTheme="minorBidi" w:hint="cs"/>
          <w:sz w:val="24"/>
          <w:szCs w:val="24"/>
          <w:rtl/>
        </w:rPr>
        <w:t>ל המשטר (פעולה מלמעלה-</w:t>
      </w:r>
      <w:r w:rsidR="009E095F" w:rsidRPr="00D63399">
        <w:rPr>
          <w:rFonts w:asciiTheme="minorBidi" w:hAnsiTheme="minorBidi" w:hint="cs"/>
          <w:sz w:val="24"/>
          <w:szCs w:val="24"/>
          <w:rtl/>
        </w:rPr>
        <w:t>מטה)</w:t>
      </w:r>
      <w:r w:rsidR="00DB49AC">
        <w:rPr>
          <w:rFonts w:asciiTheme="minorBidi" w:hAnsiTheme="minorBidi" w:hint="cs"/>
          <w:sz w:val="24"/>
          <w:szCs w:val="24"/>
          <w:rtl/>
        </w:rPr>
        <w:t xml:space="preserve"> לבדו</w:t>
      </w:r>
      <w:r w:rsidR="009E095F" w:rsidRPr="00D63399">
        <w:rPr>
          <w:rFonts w:asciiTheme="minorBidi" w:hAnsiTheme="minorBidi" w:hint="cs"/>
          <w:sz w:val="24"/>
          <w:szCs w:val="24"/>
          <w:rtl/>
        </w:rPr>
        <w:t>, אלא גם</w:t>
      </w:r>
      <w:r w:rsidR="00484C09" w:rsidRPr="00D63399">
        <w:rPr>
          <w:rFonts w:asciiTheme="minorBidi" w:hAnsiTheme="minorBidi" w:hint="cs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מופקד גם בידי</w:t>
      </w:r>
      <w:r w:rsidR="00484C09" w:rsidRPr="00D63399">
        <w:rPr>
          <w:rFonts w:asciiTheme="minorBidi" w:hAnsiTheme="minorBidi" w:hint="cs"/>
          <w:sz w:val="24"/>
          <w:szCs w:val="24"/>
          <w:rtl/>
        </w:rPr>
        <w:t xml:space="preserve"> האזרחים</w:t>
      </w:r>
      <w:r>
        <w:rPr>
          <w:rFonts w:asciiTheme="minorBidi" w:hAnsiTheme="minorBidi" w:hint="cs"/>
          <w:sz w:val="24"/>
          <w:szCs w:val="24"/>
          <w:rtl/>
        </w:rPr>
        <w:t>,</w:t>
      </w:r>
      <w:r w:rsidR="00484C09" w:rsidRPr="00D63399">
        <w:rPr>
          <w:rFonts w:asciiTheme="minorBidi" w:hAnsiTheme="minorBidi" w:hint="cs"/>
          <w:sz w:val="24"/>
          <w:szCs w:val="24"/>
          <w:rtl/>
        </w:rPr>
        <w:t xml:space="preserve"> החשים את </w:t>
      </w:r>
      <w:r>
        <w:rPr>
          <w:rFonts w:asciiTheme="minorBidi" w:hAnsiTheme="minorBidi" w:hint="cs"/>
          <w:sz w:val="24"/>
          <w:szCs w:val="24"/>
          <w:rtl/>
        </w:rPr>
        <w:t>אי-</w:t>
      </w:r>
      <w:r w:rsidR="00484C09" w:rsidRPr="00D63399">
        <w:rPr>
          <w:rFonts w:asciiTheme="minorBidi" w:hAnsiTheme="minorBidi" w:hint="cs"/>
          <w:sz w:val="24"/>
          <w:szCs w:val="24"/>
          <w:rtl/>
        </w:rPr>
        <w:t>ייש</w:t>
      </w:r>
      <w:r w:rsidR="00033C7C" w:rsidRPr="00D63399">
        <w:rPr>
          <w:rFonts w:asciiTheme="minorBidi" w:hAnsiTheme="minorBidi" w:hint="cs"/>
          <w:sz w:val="24"/>
          <w:szCs w:val="24"/>
          <w:rtl/>
        </w:rPr>
        <w:t>ומו מידי יום</w:t>
      </w:r>
      <w:r w:rsidR="00C92225" w:rsidRPr="00D63399">
        <w:rPr>
          <w:rFonts w:asciiTheme="minorBidi" w:hAnsiTheme="minorBidi" w:hint="cs"/>
          <w:sz w:val="24"/>
          <w:szCs w:val="24"/>
          <w:rtl/>
        </w:rPr>
        <w:t xml:space="preserve"> (פעולה מטה-מעלה)</w:t>
      </w:r>
      <w:r w:rsidR="00033C7C" w:rsidRPr="00D63399">
        <w:rPr>
          <w:rFonts w:asciiTheme="minorBidi" w:hAnsiTheme="minorBidi" w:hint="cs"/>
          <w:sz w:val="24"/>
          <w:szCs w:val="24"/>
          <w:rtl/>
        </w:rPr>
        <w:t xml:space="preserve">. מניעת הגשת תביעות </w:t>
      </w:r>
      <w:r w:rsidR="00DB49AC">
        <w:rPr>
          <w:rFonts w:asciiTheme="minorBidi" w:hAnsiTheme="minorBidi" w:hint="cs"/>
          <w:sz w:val="24"/>
          <w:szCs w:val="24"/>
          <w:rtl/>
        </w:rPr>
        <w:t>ייצוגיות תפקיע מידי אזרחים ואזרחיות את תפקידם זה, אותו ביקש המחוקק להעניק להם.</w:t>
      </w:r>
    </w:p>
    <w:p w14:paraId="1D873B62" w14:textId="77777777" w:rsidR="003E3C0C" w:rsidRDefault="003E3C0C" w:rsidP="00310848">
      <w:pPr>
        <w:jc w:val="both"/>
        <w:rPr>
          <w:rFonts w:asciiTheme="minorBidi" w:hAnsiTheme="minorBidi"/>
          <w:sz w:val="24"/>
          <w:szCs w:val="24"/>
          <w:rtl/>
        </w:rPr>
      </w:pPr>
    </w:p>
    <w:p w14:paraId="12DD11A4" w14:textId="6D4D01CC" w:rsidR="00310848" w:rsidRPr="00310848" w:rsidRDefault="00310848" w:rsidP="00310848">
      <w:pPr>
        <w:jc w:val="both"/>
        <w:rPr>
          <w:rFonts w:asciiTheme="minorBidi" w:hAnsiTheme="minorBidi"/>
          <w:b/>
          <w:bCs/>
          <w:sz w:val="24"/>
          <w:szCs w:val="24"/>
          <w:rtl/>
        </w:rPr>
      </w:pPr>
      <w:r w:rsidRPr="00310848">
        <w:rPr>
          <w:rFonts w:asciiTheme="minorBidi" w:hAnsiTheme="minorBidi" w:hint="cs"/>
          <w:b/>
          <w:bCs/>
          <w:sz w:val="24"/>
          <w:szCs w:val="24"/>
          <w:rtl/>
        </w:rPr>
        <w:t>אני קוראת לכב' לש</w:t>
      </w:r>
      <w:r w:rsidR="003E3C0C">
        <w:rPr>
          <w:rFonts w:asciiTheme="minorBidi" w:hAnsiTheme="minorBidi" w:hint="cs"/>
          <w:b/>
          <w:bCs/>
          <w:sz w:val="24"/>
          <w:szCs w:val="24"/>
          <w:rtl/>
        </w:rPr>
        <w:t xml:space="preserve">קול בשנית את המהלך, ולבחון היטב, בטרם יישומו, </w:t>
      </w:r>
      <w:r w:rsidRPr="00310848">
        <w:rPr>
          <w:rFonts w:asciiTheme="minorBidi" w:hAnsiTheme="minorBidi" w:hint="cs"/>
          <w:b/>
          <w:bCs/>
          <w:sz w:val="24"/>
          <w:szCs w:val="24"/>
          <w:rtl/>
        </w:rPr>
        <w:t xml:space="preserve">את השפעתו הפוטנציאלית על תביעות ייצוגיות בכלל, ותביעות ייצוגיות בתחום ההפליה בפרט. </w:t>
      </w:r>
    </w:p>
    <w:p w14:paraId="360CB195" w14:textId="268A7925" w:rsidR="00310848" w:rsidRPr="00FD5AAC" w:rsidRDefault="00310848" w:rsidP="00310848">
      <w:pPr>
        <w:jc w:val="both"/>
        <w:rPr>
          <w:rFonts w:asciiTheme="minorBidi" w:hAnsiTheme="minorBidi"/>
          <w:sz w:val="24"/>
          <w:szCs w:val="24"/>
          <w:rtl/>
        </w:rPr>
      </w:pPr>
      <w:r w:rsidRPr="00FD5AAC">
        <w:rPr>
          <w:rFonts w:asciiTheme="minorBidi" w:hAnsiTheme="minorBidi" w:hint="cs"/>
          <w:sz w:val="24"/>
          <w:szCs w:val="24"/>
          <w:rtl/>
        </w:rPr>
        <w:t xml:space="preserve">                                                                                                                    </w:t>
      </w:r>
      <w:r>
        <w:rPr>
          <w:rFonts w:asciiTheme="minorBidi" w:hAnsiTheme="minorBidi" w:hint="cs"/>
          <w:sz w:val="24"/>
          <w:szCs w:val="24"/>
          <w:rtl/>
        </w:rPr>
        <w:tab/>
        <w:t xml:space="preserve">         </w:t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</w:r>
      <w:r>
        <w:rPr>
          <w:rFonts w:asciiTheme="minorBidi" w:hAnsiTheme="minorBidi" w:hint="cs"/>
          <w:sz w:val="24"/>
          <w:szCs w:val="24"/>
          <w:rtl/>
        </w:rPr>
        <w:tab/>
        <w:t xml:space="preserve"> </w:t>
      </w:r>
      <w:r w:rsidRPr="00FD5AAC">
        <w:rPr>
          <w:rFonts w:asciiTheme="minorBidi" w:hAnsiTheme="minorBidi"/>
          <w:sz w:val="24"/>
          <w:szCs w:val="24"/>
          <w:rtl/>
        </w:rPr>
        <w:t xml:space="preserve">בכבוד רב, </w:t>
      </w:r>
    </w:p>
    <w:p w14:paraId="7C2660CD" w14:textId="77777777" w:rsidR="00310848" w:rsidRDefault="00310848" w:rsidP="00310848">
      <w:pPr>
        <w:pStyle w:val="xmsonormal"/>
        <w:bidi/>
        <w:ind w:left="6480"/>
        <w:rPr>
          <w:rFonts w:ascii="Arial" w:hAnsi="Arial" w:cs="Arial"/>
          <w:b/>
          <w:bCs/>
          <w:color w:val="000000"/>
          <w:sz w:val="20"/>
          <w:szCs w:val="20"/>
          <w:rtl/>
        </w:rPr>
      </w:pPr>
      <w:r>
        <w:rPr>
          <w:rFonts w:ascii="Arial" w:hAnsi="Arial" w:cs="Arial"/>
          <w:b/>
          <w:bCs/>
          <w:color w:val="000000"/>
          <w:sz w:val="20"/>
          <w:szCs w:val="20"/>
          <w:rtl/>
        </w:rPr>
        <w:t xml:space="preserve">פרופ' יפעת ביטון, </w:t>
      </w:r>
    </w:p>
    <w:p w14:paraId="24E8B981" w14:textId="675C93E1" w:rsidR="00310848" w:rsidRDefault="00310848" w:rsidP="00310848">
      <w:pPr>
        <w:pStyle w:val="xmsonormal"/>
        <w:bidi/>
        <w:ind w:left="6480"/>
        <w:rPr>
          <w:rFonts w:ascii="Calibri" w:hAnsi="Calibri"/>
          <w:color w:val="212121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0"/>
          <w:szCs w:val="20"/>
          <w:rtl/>
        </w:rPr>
        <w:t>בי"ס למשפטים ע"ש שטריקס, </w:t>
      </w:r>
    </w:p>
    <w:p w14:paraId="0F214AAE" w14:textId="77777777" w:rsidR="00310848" w:rsidRDefault="00310848" w:rsidP="00310848">
      <w:pPr>
        <w:pStyle w:val="xmsonormal"/>
        <w:bidi/>
        <w:ind w:left="6480"/>
        <w:rPr>
          <w:rFonts w:ascii="Calibri" w:hAnsi="Calibri"/>
          <w:color w:val="212121"/>
          <w:sz w:val="22"/>
          <w:szCs w:val="22"/>
          <w:rtl/>
        </w:rPr>
      </w:pPr>
      <w:r>
        <w:rPr>
          <w:rFonts w:ascii="Arial" w:hAnsi="Arial" w:cs="Arial"/>
          <w:b/>
          <w:bCs/>
          <w:color w:val="000000"/>
          <w:sz w:val="20"/>
          <w:szCs w:val="20"/>
          <w:rtl/>
        </w:rPr>
        <w:t>המסלול האקדמי, המכללה למנהל </w:t>
      </w:r>
    </w:p>
    <w:p w14:paraId="0B3AAD43" w14:textId="77777777" w:rsidR="00310848" w:rsidRDefault="00310848" w:rsidP="00310848">
      <w:pPr>
        <w:pStyle w:val="xmsonormal"/>
        <w:bidi/>
        <w:ind w:left="6480"/>
        <w:rPr>
          <w:rFonts w:ascii="Calibri" w:hAnsi="Calibri"/>
          <w:color w:val="212121"/>
          <w:sz w:val="22"/>
          <w:szCs w:val="22"/>
          <w:rtl/>
        </w:rPr>
      </w:pPr>
      <w:r>
        <w:rPr>
          <w:rFonts w:ascii="Arial" w:hAnsi="Arial" w:cs="Arial"/>
          <w:b/>
          <w:bCs/>
          <w:color w:val="000000"/>
          <w:sz w:val="20"/>
          <w:szCs w:val="20"/>
          <w:rtl/>
        </w:rPr>
        <w:lastRenderedPageBreak/>
        <w:t>יו"ר, תמורה - המרכז הקליני לקידום השוויון</w:t>
      </w:r>
    </w:p>
    <w:p w14:paraId="2F09214B" w14:textId="77777777" w:rsidR="00310848" w:rsidRDefault="00310848" w:rsidP="00D57C94">
      <w:pPr>
        <w:jc w:val="both"/>
        <w:rPr>
          <w:rtl/>
        </w:rPr>
      </w:pPr>
    </w:p>
    <w:p w14:paraId="61038373" w14:textId="2013FDC1" w:rsidR="00022375" w:rsidRDefault="00310848" w:rsidP="00D57C94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tl/>
        </w:rPr>
        <w:t>העתק: חברי הוועדה- קארין אלהרר , זאב בנימין בגין , ענת ברקו , יעל גרמן , שולי מועלם-רפאלי , מרב מיכאלי , מיכאל מלכיאלי , אורי מקלב , רויטל סויד , עודד פורר , טלי פלוסקוב , נורית קורן , מיכל רוזין , אלעזר שטרן, סעיד אלח'רומי</w:t>
      </w:r>
    </w:p>
    <w:p w14:paraId="2827255A" w14:textId="77777777" w:rsidR="00721306" w:rsidRDefault="00721306" w:rsidP="00721306">
      <w:pPr>
        <w:jc w:val="both"/>
        <w:rPr>
          <w:rFonts w:asciiTheme="minorBidi" w:hAnsiTheme="minorBidi"/>
          <w:sz w:val="24"/>
          <w:szCs w:val="24"/>
          <w:rtl/>
        </w:rPr>
      </w:pPr>
    </w:p>
    <w:p w14:paraId="33799702" w14:textId="77777777" w:rsidR="00721306" w:rsidRDefault="00721306" w:rsidP="00721306">
      <w:pPr>
        <w:jc w:val="both"/>
        <w:rPr>
          <w:rFonts w:asciiTheme="minorBidi" w:hAnsiTheme="minorBidi"/>
          <w:sz w:val="24"/>
          <w:szCs w:val="24"/>
          <w:rtl/>
        </w:rPr>
      </w:pPr>
    </w:p>
    <w:p w14:paraId="0D26A310" w14:textId="466934CD" w:rsidR="00721306" w:rsidRDefault="00721306" w:rsidP="00721306">
      <w:pPr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 w:hint="cs"/>
          <w:sz w:val="24"/>
          <w:szCs w:val="24"/>
          <w:rtl/>
        </w:rPr>
        <w:t xml:space="preserve"> </w:t>
      </w:r>
    </w:p>
    <w:p w14:paraId="042E8313" w14:textId="77777777" w:rsidR="00AD5D5D" w:rsidRDefault="00AD5D5D" w:rsidP="00FD5AAC">
      <w:pPr>
        <w:jc w:val="both"/>
        <w:rPr>
          <w:rFonts w:asciiTheme="minorBidi" w:hAnsiTheme="minorBidi"/>
          <w:sz w:val="24"/>
          <w:szCs w:val="24"/>
          <w:rtl/>
        </w:rPr>
      </w:pPr>
    </w:p>
    <w:p w14:paraId="07672794" w14:textId="77777777" w:rsidR="00AD5D5D" w:rsidRDefault="00AD5D5D" w:rsidP="00FD5AAC">
      <w:pPr>
        <w:jc w:val="both"/>
        <w:rPr>
          <w:rFonts w:asciiTheme="minorBidi" w:hAnsiTheme="minorBidi"/>
          <w:sz w:val="24"/>
          <w:szCs w:val="24"/>
          <w:rtl/>
        </w:rPr>
      </w:pPr>
    </w:p>
    <w:p w14:paraId="00C26850" w14:textId="247AD406" w:rsidR="00F56BA5" w:rsidRPr="00FD5AAC" w:rsidRDefault="00F56BA5" w:rsidP="006D1A85">
      <w:pPr>
        <w:jc w:val="center"/>
        <w:rPr>
          <w:rFonts w:asciiTheme="minorBidi" w:hAnsiTheme="minorBidi"/>
          <w:sz w:val="24"/>
          <w:szCs w:val="24"/>
          <w:rtl/>
        </w:rPr>
      </w:pPr>
      <w:r w:rsidRPr="00FD5AAC">
        <w:rPr>
          <w:rFonts w:asciiTheme="minorBidi" w:hAnsiTheme="minorBidi" w:hint="cs"/>
          <w:sz w:val="24"/>
          <w:szCs w:val="24"/>
          <w:rtl/>
        </w:rPr>
        <w:t xml:space="preserve">                                                                                                                                     </w:t>
      </w:r>
    </w:p>
    <w:p w14:paraId="7424C417" w14:textId="34B41AEA" w:rsidR="009E2D45" w:rsidRPr="00FD5AAC" w:rsidRDefault="009E2D45" w:rsidP="00FD5AAC">
      <w:pPr>
        <w:pStyle w:val="a8"/>
        <w:spacing w:line="360" w:lineRule="auto"/>
        <w:ind w:left="7200"/>
        <w:jc w:val="both"/>
        <w:rPr>
          <w:rFonts w:asciiTheme="minorBidi" w:hAnsiTheme="minorBidi" w:cs="David"/>
          <w:sz w:val="24"/>
          <w:szCs w:val="24"/>
          <w:rtl/>
        </w:rPr>
      </w:pPr>
    </w:p>
    <w:p w14:paraId="4183A369" w14:textId="77777777" w:rsidR="00A55B35" w:rsidRPr="00FD5AAC" w:rsidRDefault="00A55B35" w:rsidP="00310848">
      <w:pPr>
        <w:pStyle w:val="a8"/>
        <w:spacing w:line="360" w:lineRule="auto"/>
        <w:ind w:left="7200"/>
        <w:jc w:val="both"/>
        <w:rPr>
          <w:rFonts w:asciiTheme="minorBidi" w:hAnsiTheme="minorBidi" w:cs="David"/>
          <w:sz w:val="24"/>
          <w:szCs w:val="24"/>
        </w:rPr>
      </w:pPr>
    </w:p>
    <w:sectPr w:rsidR="00A55B35" w:rsidRPr="00FD5AAC" w:rsidSect="00FD5AAC">
      <w:headerReference w:type="default" r:id="rId8"/>
      <w:footerReference w:type="default" r:id="rId9"/>
      <w:pgSz w:w="11906" w:h="16838"/>
      <w:pgMar w:top="2835" w:right="1133" w:bottom="1440" w:left="1701" w:header="708" w:footer="708" w:gutter="0"/>
      <w:pgBorders w:offsetFrom="page">
        <w:top w:val="dashed" w:sz="4" w:space="24" w:color="1F3864" w:themeColor="accent5" w:themeShade="80"/>
        <w:left w:val="dashed" w:sz="4" w:space="24" w:color="1F3864" w:themeColor="accent5" w:themeShade="80"/>
        <w:bottom w:val="dashed" w:sz="4" w:space="24" w:color="1F3864" w:themeColor="accent5" w:themeShade="80"/>
        <w:right w:val="dashed" w:sz="4" w:space="24" w:color="1F3864" w:themeColor="accent5" w:themeShade="8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559F0A" w14:textId="77777777" w:rsidR="00E5104F" w:rsidRDefault="00E5104F" w:rsidP="000C76D6">
      <w:r>
        <w:separator/>
      </w:r>
    </w:p>
  </w:endnote>
  <w:endnote w:type="continuationSeparator" w:id="0">
    <w:p w14:paraId="38ACDC36" w14:textId="77777777" w:rsidR="00E5104F" w:rsidRDefault="00E5104F" w:rsidP="000C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19C9F8" w14:textId="77777777" w:rsidR="008C1F7C" w:rsidRPr="008C1F7C" w:rsidRDefault="008C1F7C" w:rsidP="008C1F7C">
    <w:pPr>
      <w:pStyle w:val="a5"/>
    </w:pPr>
    <w:r w:rsidRPr="008C1F7C">
      <w:rPr>
        <w:rFonts w:hint="cs"/>
        <w:rtl/>
      </w:rPr>
      <w:t>רח' אלי ויזל 2, ראשון לציון,</w:t>
    </w:r>
    <w:r>
      <w:rPr>
        <w:rFonts w:hint="cs"/>
        <w:rtl/>
      </w:rPr>
      <w:t xml:space="preserve"> </w:t>
    </w:r>
    <w:r w:rsidRPr="008C1F7C">
      <w:rPr>
        <w:rFonts w:hint="cs"/>
        <w:rtl/>
      </w:rPr>
      <w:t xml:space="preserve"> </w:t>
    </w:r>
    <w:hyperlink r:id="rId1" w:history="1">
      <w:r w:rsidRPr="008C1F7C">
        <w:rPr>
          <w:rStyle w:val="Hyperlink"/>
        </w:rPr>
        <w:t>www.tmura.org.il</w:t>
      </w:r>
    </w:hyperlink>
    <w:r w:rsidRPr="008C1F7C">
      <w:rPr>
        <w:rtl/>
        <w:cs/>
      </w:rPr>
      <w:t xml:space="preserve"> </w:t>
    </w:r>
    <w:r w:rsidRPr="008C1F7C">
      <w:t>2  Eli Wiesel St., Rishon Le Zion</w:t>
    </w:r>
    <w:r>
      <w:rPr>
        <w:rFonts w:asciiTheme="minorHAnsi" w:hAnsiTheme="minorHAnsi"/>
      </w:rPr>
      <w:t xml:space="preserve">                                           </w:t>
    </w:r>
    <w:r w:rsidRPr="008C1F7C">
      <w:t xml:space="preserve"> </w:t>
    </w:r>
  </w:p>
  <w:p w14:paraId="0A6602CB" w14:textId="77777777" w:rsidR="008C1F7C" w:rsidRPr="008C1F7C" w:rsidRDefault="008C1F7C" w:rsidP="008C1F7C">
    <w:pPr>
      <w:pStyle w:val="a5"/>
      <w:rPr>
        <w:rtl/>
      </w:rPr>
    </w:pPr>
    <w:r w:rsidRPr="008C1F7C">
      <w:rPr>
        <w:rFonts w:hint="cs"/>
        <w:rtl/>
      </w:rPr>
      <w:t xml:space="preserve">טלפון: </w:t>
    </w:r>
    <w:r w:rsidRPr="008C1F7C">
      <w:t>03-9634194</w:t>
    </w:r>
    <w:r w:rsidRPr="008C1F7C">
      <w:rPr>
        <w:rFonts w:hint="cs"/>
        <w:rtl/>
      </w:rPr>
      <w:t xml:space="preserve">, פקס: </w:t>
    </w:r>
    <w:r>
      <w:t xml:space="preserve">                                                            </w:t>
    </w:r>
    <w:r w:rsidRPr="008C1F7C">
      <w:t> 073-2154287</w:t>
    </w:r>
    <w:r w:rsidRPr="008C1F7C">
      <w:rPr>
        <w:rFonts w:hint="cs"/>
        <w:rtl/>
      </w:rPr>
      <w:t xml:space="preserve">דוא"ל </w:t>
    </w:r>
    <w:hyperlink r:id="rId2" w:history="1">
      <w:r w:rsidRPr="008C1F7C">
        <w:rPr>
          <w:rStyle w:val="Hyperlink"/>
        </w:rPr>
        <w:t>Tmuracenter07@gmail.com</w:t>
      </w:r>
    </w:hyperlink>
    <w:r w:rsidRPr="008C1F7C">
      <w:rPr>
        <w:rFonts w:hint="cs"/>
        <w:rtl/>
      </w:rPr>
      <w:t xml:space="preserve"> </w:t>
    </w:r>
  </w:p>
  <w:p w14:paraId="0685D51B" w14:textId="77777777" w:rsidR="00A55B35" w:rsidRDefault="00A55B35" w:rsidP="000C76D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EABF1" w14:textId="77777777" w:rsidR="00E5104F" w:rsidRDefault="00E5104F" w:rsidP="000C76D6">
      <w:r>
        <w:separator/>
      </w:r>
    </w:p>
  </w:footnote>
  <w:footnote w:type="continuationSeparator" w:id="0">
    <w:p w14:paraId="5859D55E" w14:textId="77777777" w:rsidR="00E5104F" w:rsidRDefault="00E5104F" w:rsidP="000C76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F5710" w14:textId="77777777" w:rsidR="00A55B35" w:rsidRDefault="00A55B35" w:rsidP="000C76D6">
    <w:pPr>
      <w:pStyle w:val="a3"/>
    </w:pPr>
    <w:r>
      <w:rPr>
        <w:rFonts w:hint="cs"/>
        <w:noProof/>
      </w:rPr>
      <w:drawing>
        <wp:anchor distT="0" distB="0" distL="114300" distR="114300" simplePos="0" relativeHeight="251659264" behindDoc="0" locked="0" layoutInCell="1" allowOverlap="1" wp14:anchorId="0914C691" wp14:editId="7D124FEF">
          <wp:simplePos x="0" y="0"/>
          <wp:positionH relativeFrom="column">
            <wp:posOffset>1666875</wp:posOffset>
          </wp:positionH>
          <wp:positionV relativeFrom="paragraph">
            <wp:posOffset>-635</wp:posOffset>
          </wp:positionV>
          <wp:extent cx="3074035" cy="847725"/>
          <wp:effectExtent l="0" t="0" r="0" b="9525"/>
          <wp:wrapNone/>
          <wp:docPr id="9" name="תמונה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לוגו-סופי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717" b="81466"/>
                  <a:stretch/>
                </pic:blipFill>
                <pic:spPr bwMode="auto">
                  <a:xfrm>
                    <a:off x="0" y="0"/>
                    <a:ext cx="3074035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cs"/>
        <w:noProof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42918AEC" wp14:editId="648B4664">
              <wp:simplePos x="0" y="0"/>
              <wp:positionH relativeFrom="column">
                <wp:posOffset>-619125</wp:posOffset>
              </wp:positionH>
              <wp:positionV relativeFrom="paragraph">
                <wp:posOffset>64770</wp:posOffset>
              </wp:positionV>
              <wp:extent cx="7524750" cy="781050"/>
              <wp:effectExtent l="0" t="0" r="0" b="0"/>
              <wp:wrapNone/>
              <wp:docPr id="3" name="מלבן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24750" cy="78105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745205E" id="מלבן 3" o:spid="_x0000_s1026" style="position:absolute;margin-left:-48.75pt;margin-top:5.1pt;width:592.5pt;height:61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" fillcolor="#f2f2f2 [305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96314"/>
    <w:multiLevelType w:val="hybridMultilevel"/>
    <w:tmpl w:val="D3DC2D46"/>
    <w:lvl w:ilvl="0" w:tplc="9552F3E2">
      <w:start w:val="1"/>
      <w:numFmt w:val="hebrew1"/>
      <w:lvlText w:val="%1."/>
      <w:lvlJc w:val="left"/>
      <w:pPr>
        <w:ind w:left="22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9" w:hanging="360"/>
      </w:pPr>
    </w:lvl>
    <w:lvl w:ilvl="2" w:tplc="0409001B" w:tentative="1">
      <w:start w:val="1"/>
      <w:numFmt w:val="lowerRoman"/>
      <w:lvlText w:val="%3."/>
      <w:lvlJc w:val="right"/>
      <w:pPr>
        <w:ind w:left="3719" w:hanging="180"/>
      </w:pPr>
    </w:lvl>
    <w:lvl w:ilvl="3" w:tplc="0409000F" w:tentative="1">
      <w:start w:val="1"/>
      <w:numFmt w:val="decimal"/>
      <w:lvlText w:val="%4."/>
      <w:lvlJc w:val="left"/>
      <w:pPr>
        <w:ind w:left="4439" w:hanging="360"/>
      </w:pPr>
    </w:lvl>
    <w:lvl w:ilvl="4" w:tplc="04090019" w:tentative="1">
      <w:start w:val="1"/>
      <w:numFmt w:val="lowerLetter"/>
      <w:lvlText w:val="%5."/>
      <w:lvlJc w:val="left"/>
      <w:pPr>
        <w:ind w:left="5159" w:hanging="360"/>
      </w:pPr>
    </w:lvl>
    <w:lvl w:ilvl="5" w:tplc="0409001B" w:tentative="1">
      <w:start w:val="1"/>
      <w:numFmt w:val="lowerRoman"/>
      <w:lvlText w:val="%6."/>
      <w:lvlJc w:val="right"/>
      <w:pPr>
        <w:ind w:left="5879" w:hanging="180"/>
      </w:pPr>
    </w:lvl>
    <w:lvl w:ilvl="6" w:tplc="0409000F" w:tentative="1">
      <w:start w:val="1"/>
      <w:numFmt w:val="decimal"/>
      <w:lvlText w:val="%7."/>
      <w:lvlJc w:val="left"/>
      <w:pPr>
        <w:ind w:left="6599" w:hanging="360"/>
      </w:pPr>
    </w:lvl>
    <w:lvl w:ilvl="7" w:tplc="04090019" w:tentative="1">
      <w:start w:val="1"/>
      <w:numFmt w:val="lowerLetter"/>
      <w:lvlText w:val="%8."/>
      <w:lvlJc w:val="left"/>
      <w:pPr>
        <w:ind w:left="7319" w:hanging="360"/>
      </w:pPr>
    </w:lvl>
    <w:lvl w:ilvl="8" w:tplc="0409001B" w:tentative="1">
      <w:start w:val="1"/>
      <w:numFmt w:val="lowerRoman"/>
      <w:lvlText w:val="%9."/>
      <w:lvlJc w:val="right"/>
      <w:pPr>
        <w:ind w:left="8039" w:hanging="180"/>
      </w:pPr>
    </w:lvl>
  </w:abstractNum>
  <w:abstractNum w:abstractNumId="1" w15:restartNumberingAfterBreak="0">
    <w:nsid w:val="391E6668"/>
    <w:multiLevelType w:val="hybridMultilevel"/>
    <w:tmpl w:val="1C429ABC"/>
    <w:lvl w:ilvl="0" w:tplc="C02AB884">
      <w:start w:val="1"/>
      <w:numFmt w:val="decimal"/>
      <w:lvlText w:val="%1."/>
      <w:lvlJc w:val="left"/>
      <w:pPr>
        <w:ind w:left="1080" w:hanging="360"/>
      </w:pPr>
      <w:rPr>
        <w:rFonts w:asciiTheme="minorBidi" w:eastAsiaTheme="minorHAnsi" w:hAnsiTheme="minorBidi" w:cs="David"/>
      </w:rPr>
    </w:lvl>
    <w:lvl w:ilvl="1" w:tplc="0409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DC4FE8"/>
    <w:multiLevelType w:val="hybridMultilevel"/>
    <w:tmpl w:val="105852F8"/>
    <w:lvl w:ilvl="0" w:tplc="9CD62AA2">
      <w:start w:val="1"/>
      <w:numFmt w:val="bullet"/>
      <w:lvlText w:val="-"/>
      <w:lvlJc w:val="left"/>
      <w:pPr>
        <w:ind w:left="720" w:hanging="360"/>
      </w:pPr>
      <w:rPr>
        <w:rFonts w:ascii="David" w:eastAsiaTheme="minorHAns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isplayBackgroundShape/>
  <w:activeWritingStyle w:appName="MSWord" w:lang="en-US" w:vendorID="64" w:dllVersion="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FCC"/>
    <w:rsid w:val="000101FA"/>
    <w:rsid w:val="00021D4C"/>
    <w:rsid w:val="00022375"/>
    <w:rsid w:val="00033C7C"/>
    <w:rsid w:val="0006321C"/>
    <w:rsid w:val="00070484"/>
    <w:rsid w:val="000C76D6"/>
    <w:rsid w:val="000F25F9"/>
    <w:rsid w:val="0011314A"/>
    <w:rsid w:val="00115035"/>
    <w:rsid w:val="00124C86"/>
    <w:rsid w:val="001877DE"/>
    <w:rsid w:val="001877F3"/>
    <w:rsid w:val="00194D0D"/>
    <w:rsid w:val="001B2C20"/>
    <w:rsid w:val="001E5FF1"/>
    <w:rsid w:val="00216DA8"/>
    <w:rsid w:val="00235CA3"/>
    <w:rsid w:val="0026059D"/>
    <w:rsid w:val="00272EE1"/>
    <w:rsid w:val="002D14BB"/>
    <w:rsid w:val="002E1B95"/>
    <w:rsid w:val="002E4411"/>
    <w:rsid w:val="002E6FCC"/>
    <w:rsid w:val="00310848"/>
    <w:rsid w:val="00346CD2"/>
    <w:rsid w:val="00363962"/>
    <w:rsid w:val="00370007"/>
    <w:rsid w:val="00396695"/>
    <w:rsid w:val="003A3579"/>
    <w:rsid w:val="003C0B4F"/>
    <w:rsid w:val="003E3C0C"/>
    <w:rsid w:val="00455CE0"/>
    <w:rsid w:val="00467A7D"/>
    <w:rsid w:val="00473EA2"/>
    <w:rsid w:val="004774AF"/>
    <w:rsid w:val="0047785D"/>
    <w:rsid w:val="00482509"/>
    <w:rsid w:val="00484C09"/>
    <w:rsid w:val="0049776F"/>
    <w:rsid w:val="004C3053"/>
    <w:rsid w:val="004D7C81"/>
    <w:rsid w:val="005267E2"/>
    <w:rsid w:val="00554B05"/>
    <w:rsid w:val="0056375B"/>
    <w:rsid w:val="00583080"/>
    <w:rsid w:val="005E1AF5"/>
    <w:rsid w:val="00605830"/>
    <w:rsid w:val="00643354"/>
    <w:rsid w:val="00684F49"/>
    <w:rsid w:val="006A174A"/>
    <w:rsid w:val="006A472F"/>
    <w:rsid w:val="006A581C"/>
    <w:rsid w:val="006A7C6D"/>
    <w:rsid w:val="006B39C3"/>
    <w:rsid w:val="006C2B23"/>
    <w:rsid w:val="006C64A0"/>
    <w:rsid w:val="006D1A85"/>
    <w:rsid w:val="00721306"/>
    <w:rsid w:val="0073625E"/>
    <w:rsid w:val="00760736"/>
    <w:rsid w:val="00792162"/>
    <w:rsid w:val="007A396F"/>
    <w:rsid w:val="007A6255"/>
    <w:rsid w:val="00862288"/>
    <w:rsid w:val="00882FC8"/>
    <w:rsid w:val="008B52E3"/>
    <w:rsid w:val="008B655B"/>
    <w:rsid w:val="008C1F7C"/>
    <w:rsid w:val="0091516E"/>
    <w:rsid w:val="0092200E"/>
    <w:rsid w:val="00926CF9"/>
    <w:rsid w:val="00970BD7"/>
    <w:rsid w:val="00972FB6"/>
    <w:rsid w:val="00995EA4"/>
    <w:rsid w:val="009A4F16"/>
    <w:rsid w:val="009B0ABA"/>
    <w:rsid w:val="009E095F"/>
    <w:rsid w:val="009E2D45"/>
    <w:rsid w:val="009F0186"/>
    <w:rsid w:val="00A30EB5"/>
    <w:rsid w:val="00A45DE5"/>
    <w:rsid w:val="00A55B35"/>
    <w:rsid w:val="00A965FE"/>
    <w:rsid w:val="00AA153F"/>
    <w:rsid w:val="00AA633D"/>
    <w:rsid w:val="00AD5D5D"/>
    <w:rsid w:val="00AE6146"/>
    <w:rsid w:val="00AF307C"/>
    <w:rsid w:val="00B135A5"/>
    <w:rsid w:val="00B446C3"/>
    <w:rsid w:val="00B53405"/>
    <w:rsid w:val="00BB7AC8"/>
    <w:rsid w:val="00BD5878"/>
    <w:rsid w:val="00C43CFC"/>
    <w:rsid w:val="00C450CE"/>
    <w:rsid w:val="00C57126"/>
    <w:rsid w:val="00C57F83"/>
    <w:rsid w:val="00C82C94"/>
    <w:rsid w:val="00C83343"/>
    <w:rsid w:val="00C92225"/>
    <w:rsid w:val="00C95978"/>
    <w:rsid w:val="00CD3500"/>
    <w:rsid w:val="00D0016A"/>
    <w:rsid w:val="00D22DA6"/>
    <w:rsid w:val="00D26C31"/>
    <w:rsid w:val="00D55176"/>
    <w:rsid w:val="00D57C94"/>
    <w:rsid w:val="00D615D0"/>
    <w:rsid w:val="00D63399"/>
    <w:rsid w:val="00DB49AC"/>
    <w:rsid w:val="00DC1A4B"/>
    <w:rsid w:val="00E5104F"/>
    <w:rsid w:val="00E53BDE"/>
    <w:rsid w:val="00E82A04"/>
    <w:rsid w:val="00ED2DF2"/>
    <w:rsid w:val="00EF4030"/>
    <w:rsid w:val="00F15833"/>
    <w:rsid w:val="00F217E7"/>
    <w:rsid w:val="00F31F67"/>
    <w:rsid w:val="00F552AF"/>
    <w:rsid w:val="00F56BA5"/>
    <w:rsid w:val="00F76DE8"/>
    <w:rsid w:val="00FB6D6F"/>
    <w:rsid w:val="00FC04A0"/>
    <w:rsid w:val="00FC5E61"/>
    <w:rsid w:val="00FD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A28449"/>
  <w15:docId w15:val="{5E4CB189-5C4C-4BA7-9A77-CE8766482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76D6"/>
    <w:pPr>
      <w:bidi/>
      <w:spacing w:after="0" w:line="360" w:lineRule="auto"/>
    </w:pPr>
    <w:rPr>
      <w:rFonts w:ascii="David" w:hAnsi="David" w:cs="Davi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5B35"/>
    <w:pPr>
      <w:tabs>
        <w:tab w:val="center" w:pos="4153"/>
        <w:tab w:val="right" w:pos="8306"/>
      </w:tabs>
      <w:spacing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55B35"/>
  </w:style>
  <w:style w:type="paragraph" w:styleId="a5">
    <w:name w:val="footer"/>
    <w:basedOn w:val="a"/>
    <w:link w:val="a6"/>
    <w:uiPriority w:val="99"/>
    <w:unhideWhenUsed/>
    <w:rsid w:val="00A55B35"/>
    <w:pPr>
      <w:tabs>
        <w:tab w:val="center" w:pos="4153"/>
        <w:tab w:val="right" w:pos="8306"/>
      </w:tabs>
      <w:spacing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55B35"/>
  </w:style>
  <w:style w:type="table" w:styleId="a7">
    <w:name w:val="Table Grid"/>
    <w:basedOn w:val="a1"/>
    <w:uiPriority w:val="39"/>
    <w:rsid w:val="00A55B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0C76D6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684F49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a9">
    <w:name w:val="Balloon Text"/>
    <w:basedOn w:val="a"/>
    <w:link w:val="aa"/>
    <w:uiPriority w:val="99"/>
    <w:semiHidden/>
    <w:unhideWhenUsed/>
    <w:rsid w:val="009B0AB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9B0ABA"/>
    <w:rPr>
      <w:rFonts w:ascii="Tahoma" w:hAnsi="Tahoma" w:cs="Tahoma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B0AB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9B0ABA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9B0ABA"/>
    <w:rPr>
      <w:rFonts w:ascii="David" w:hAnsi="David" w:cs="David"/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B0ABA"/>
    <w:rPr>
      <w:b/>
      <w:bCs/>
    </w:rPr>
  </w:style>
  <w:style w:type="character" w:customStyle="1" w:styleId="af">
    <w:name w:val="נושא הערה תו"/>
    <w:basedOn w:val="ad"/>
    <w:link w:val="ae"/>
    <w:uiPriority w:val="99"/>
    <w:semiHidden/>
    <w:rsid w:val="009B0ABA"/>
    <w:rPr>
      <w:rFonts w:ascii="David" w:hAnsi="David" w:cs="David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C43CFC"/>
  </w:style>
  <w:style w:type="paragraph" w:customStyle="1" w:styleId="xmsonormal">
    <w:name w:val="x_msonormal"/>
    <w:basedOn w:val="a"/>
    <w:rsid w:val="00310848"/>
    <w:pPr>
      <w:bidi w:val="0"/>
      <w:spacing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0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Tmuracenter07@gmail.com" TargetMode="External"/><Relationship Id="rId1" Type="http://schemas.openxmlformats.org/officeDocument/2006/relationships/hyperlink" Target="http://www.tmura.org.i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D4116C-4769-436D-BE11-51F4B39A09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09843A-F4A0-41B9-8A50-D3E5DEC200BE}"/>
</file>

<file path=customXml/itemProps3.xml><?xml version="1.0" encoding="utf-8"?>
<ds:datastoreItem xmlns:ds="http://schemas.openxmlformats.org/officeDocument/2006/customXml" ds:itemID="{6410A3E0-D854-4F8A-AE1B-4BE26E1CFAD7}"/>
</file>

<file path=customXml/itemProps4.xml><?xml version="1.0" encoding="utf-8"?>
<ds:datastoreItem xmlns:ds="http://schemas.openxmlformats.org/officeDocument/2006/customXml" ds:itemID="{589C4162-B579-4924-8A2A-1186D41360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BIT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Meital Twito</dc:creator>
  <cp:lastModifiedBy>bittony@colman.ac.il</cp:lastModifiedBy>
  <cp:revision>2</cp:revision>
  <cp:lastPrinted>2017-08-06T11:48:00Z</cp:lastPrinted>
  <dcterms:created xsi:type="dcterms:W3CDTF">2017-11-20T18:50:00Z</dcterms:created>
  <dcterms:modified xsi:type="dcterms:W3CDTF">2017-11-20T18:50:00Z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2023230</vt:r8>
  </property>
</Properties>
</file>