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DEA" w:rsidRDefault="00341D3E" w:rsidP="00341D3E">
      <w:pPr>
        <w:spacing w:after="120"/>
        <w:jc w:val="center"/>
        <w:rPr>
          <w:b/>
          <w:bCs/>
          <w:sz w:val="24"/>
          <w:rtl/>
        </w:rPr>
      </w:pPr>
      <w:r>
        <w:rPr>
          <w:rFonts w:hint="cs"/>
          <w:b/>
          <w:bCs/>
          <w:sz w:val="32"/>
          <w:szCs w:val="32"/>
          <w:rtl/>
        </w:rPr>
        <w:t>אגרות ב</w:t>
      </w:r>
      <w:r w:rsidR="003314A4" w:rsidRPr="003314A4">
        <w:rPr>
          <w:rFonts w:hint="cs"/>
          <w:b/>
          <w:bCs/>
          <w:sz w:val="32"/>
          <w:szCs w:val="32"/>
          <w:rtl/>
        </w:rPr>
        <w:t xml:space="preserve">תובענות ייצוגיות </w:t>
      </w:r>
      <w:r w:rsidR="003314A4" w:rsidRPr="003314A4">
        <w:rPr>
          <w:b/>
          <w:bCs/>
          <w:sz w:val="32"/>
          <w:szCs w:val="32"/>
          <w:rtl/>
        </w:rPr>
        <w:t>–</w:t>
      </w:r>
      <w:r w:rsidR="003314A4" w:rsidRPr="003314A4">
        <w:rPr>
          <w:rFonts w:hint="cs"/>
          <w:b/>
          <w:bCs/>
          <w:sz w:val="32"/>
          <w:szCs w:val="32"/>
          <w:rtl/>
        </w:rPr>
        <w:t xml:space="preserve"> מתווה פשרה</w:t>
      </w:r>
      <w:r w:rsidR="007D1096" w:rsidRPr="007D1096">
        <w:rPr>
          <w:rFonts w:hint="cs"/>
          <w:b/>
          <w:bCs/>
          <w:sz w:val="32"/>
          <w:szCs w:val="32"/>
          <w:rtl/>
        </w:rPr>
        <w:t xml:space="preserve"> מטעם יו"ר הוועדה</w:t>
      </w:r>
      <w:r w:rsidR="007D1096">
        <w:rPr>
          <w:rFonts w:hint="cs"/>
          <w:b/>
          <w:bCs/>
          <w:sz w:val="24"/>
          <w:rtl/>
        </w:rPr>
        <w:t xml:space="preserve">  </w:t>
      </w:r>
    </w:p>
    <w:p w:rsidR="003314A4" w:rsidRPr="00925013" w:rsidRDefault="003314A4" w:rsidP="00925013">
      <w:pPr>
        <w:pStyle w:val="a6"/>
        <w:numPr>
          <w:ilvl w:val="0"/>
          <w:numId w:val="3"/>
        </w:numPr>
        <w:jc w:val="both"/>
        <w:rPr>
          <w:b/>
          <w:bCs/>
          <w:szCs w:val="28"/>
        </w:rPr>
      </w:pPr>
      <w:r w:rsidRPr="00925013">
        <w:rPr>
          <w:rFonts w:hint="cs"/>
          <w:b/>
          <w:bCs/>
          <w:szCs w:val="28"/>
          <w:rtl/>
        </w:rPr>
        <w:t>סכומי האגרות</w:t>
      </w:r>
    </w:p>
    <w:p w:rsidR="003314A4" w:rsidRDefault="003314A4" w:rsidP="00925013">
      <w:pPr>
        <w:pStyle w:val="a6"/>
        <w:spacing w:after="120"/>
        <w:jc w:val="both"/>
        <w:rPr>
          <w:sz w:val="24"/>
          <w:rtl/>
        </w:rPr>
      </w:pPr>
      <w:r>
        <w:rPr>
          <w:rFonts w:hint="cs"/>
          <w:sz w:val="24"/>
          <w:rtl/>
        </w:rPr>
        <w:t xml:space="preserve">הסכומים ירדו בשליש מהסכומים שבטיוטת התקנות. דהיינו: </w:t>
      </w:r>
    </w:p>
    <w:tbl>
      <w:tblPr>
        <w:tblStyle w:val="a7"/>
        <w:bidiVisual/>
        <w:tblW w:w="0" w:type="auto"/>
        <w:tblInd w:w="720" w:type="dxa"/>
        <w:tblLook w:val="04A0" w:firstRow="1" w:lastRow="0" w:firstColumn="1" w:lastColumn="0" w:noHBand="0" w:noVBand="1"/>
      </w:tblPr>
      <w:tblGrid>
        <w:gridCol w:w="1624"/>
        <w:gridCol w:w="1876"/>
        <w:gridCol w:w="1372"/>
        <w:gridCol w:w="2361"/>
      </w:tblGrid>
      <w:tr w:rsidR="008A6E3A" w:rsidTr="00A56496">
        <w:tc>
          <w:tcPr>
            <w:tcW w:w="0" w:type="auto"/>
          </w:tcPr>
          <w:p w:rsidR="008A6E3A" w:rsidRDefault="008A6E3A" w:rsidP="00925013">
            <w:pPr>
              <w:pStyle w:val="a6"/>
              <w:ind w:left="0"/>
              <w:jc w:val="both"/>
              <w:rPr>
                <w:sz w:val="24"/>
                <w:rtl/>
              </w:rPr>
            </w:pPr>
          </w:p>
        </w:tc>
        <w:tc>
          <w:tcPr>
            <w:tcW w:w="0" w:type="auto"/>
          </w:tcPr>
          <w:p w:rsidR="008A6E3A" w:rsidRDefault="008A6E3A" w:rsidP="002F3F21">
            <w:pPr>
              <w:pStyle w:val="a6"/>
              <w:ind w:left="0"/>
              <w:jc w:val="both"/>
              <w:rPr>
                <w:sz w:val="24"/>
                <w:rtl/>
              </w:rPr>
            </w:pPr>
            <w:r>
              <w:rPr>
                <w:rFonts w:hint="cs"/>
                <w:sz w:val="24"/>
                <w:rtl/>
              </w:rPr>
              <w:t>הסכומים המוצעים</w:t>
            </w:r>
          </w:p>
        </w:tc>
        <w:tc>
          <w:tcPr>
            <w:tcW w:w="0" w:type="auto"/>
          </w:tcPr>
          <w:p w:rsidR="008A6E3A" w:rsidRDefault="008A6E3A" w:rsidP="00925013">
            <w:pPr>
              <w:pStyle w:val="a6"/>
              <w:ind w:left="0"/>
              <w:jc w:val="both"/>
              <w:rPr>
                <w:sz w:val="24"/>
                <w:rtl/>
              </w:rPr>
            </w:pPr>
            <w:r>
              <w:rPr>
                <w:rFonts w:hint="cs"/>
                <w:sz w:val="24"/>
                <w:rtl/>
              </w:rPr>
              <w:t>סכום הפשרה</w:t>
            </w:r>
          </w:p>
        </w:tc>
        <w:tc>
          <w:tcPr>
            <w:tcW w:w="0" w:type="auto"/>
          </w:tcPr>
          <w:p w:rsidR="008A6E3A" w:rsidRDefault="008A6E3A" w:rsidP="008A6E3A">
            <w:pPr>
              <w:pStyle w:val="a6"/>
              <w:ind w:left="0"/>
              <w:jc w:val="both"/>
              <w:rPr>
                <w:sz w:val="24"/>
                <w:rtl/>
              </w:rPr>
            </w:pPr>
            <w:r>
              <w:rPr>
                <w:rFonts w:hint="cs"/>
                <w:sz w:val="24"/>
                <w:rtl/>
              </w:rPr>
              <w:t xml:space="preserve">החצי הראשון של האגרה </w:t>
            </w:r>
          </w:p>
        </w:tc>
      </w:tr>
      <w:tr w:rsidR="008A6E3A" w:rsidTr="00A56496">
        <w:tc>
          <w:tcPr>
            <w:tcW w:w="0" w:type="auto"/>
          </w:tcPr>
          <w:p w:rsidR="008A6E3A" w:rsidRDefault="008A6E3A" w:rsidP="00925013">
            <w:pPr>
              <w:pStyle w:val="a6"/>
              <w:ind w:left="0"/>
              <w:jc w:val="both"/>
              <w:rPr>
                <w:sz w:val="24"/>
                <w:rtl/>
              </w:rPr>
            </w:pPr>
            <w:r>
              <w:rPr>
                <w:rFonts w:hint="cs"/>
                <w:sz w:val="24"/>
                <w:rtl/>
              </w:rPr>
              <w:t>שלום</w:t>
            </w:r>
          </w:p>
        </w:tc>
        <w:tc>
          <w:tcPr>
            <w:tcW w:w="0" w:type="auto"/>
          </w:tcPr>
          <w:p w:rsidR="008A6E3A" w:rsidRDefault="008A6E3A" w:rsidP="002F3F21">
            <w:pPr>
              <w:pStyle w:val="a6"/>
              <w:ind w:left="0"/>
              <w:jc w:val="center"/>
              <w:rPr>
                <w:sz w:val="24"/>
                <w:rtl/>
              </w:rPr>
            </w:pPr>
            <w:r>
              <w:rPr>
                <w:rFonts w:hint="cs"/>
                <w:sz w:val="24"/>
                <w:rtl/>
              </w:rPr>
              <w:t>12,000</w:t>
            </w:r>
          </w:p>
        </w:tc>
        <w:tc>
          <w:tcPr>
            <w:tcW w:w="0" w:type="auto"/>
          </w:tcPr>
          <w:p w:rsidR="008A6E3A" w:rsidRDefault="008A6E3A" w:rsidP="002F3F21">
            <w:pPr>
              <w:pStyle w:val="a6"/>
              <w:ind w:left="0"/>
              <w:jc w:val="center"/>
              <w:rPr>
                <w:sz w:val="24"/>
                <w:rtl/>
              </w:rPr>
            </w:pPr>
            <w:r>
              <w:rPr>
                <w:rFonts w:hint="cs"/>
                <w:sz w:val="24"/>
                <w:rtl/>
              </w:rPr>
              <w:t>8,000</w:t>
            </w:r>
          </w:p>
        </w:tc>
        <w:tc>
          <w:tcPr>
            <w:tcW w:w="0" w:type="auto"/>
          </w:tcPr>
          <w:p w:rsidR="008A6E3A" w:rsidRDefault="008A6E3A" w:rsidP="002F3F21">
            <w:pPr>
              <w:pStyle w:val="a6"/>
              <w:ind w:left="0"/>
              <w:jc w:val="center"/>
              <w:rPr>
                <w:sz w:val="24"/>
                <w:rtl/>
              </w:rPr>
            </w:pPr>
            <w:r>
              <w:rPr>
                <w:rFonts w:hint="cs"/>
                <w:sz w:val="24"/>
                <w:rtl/>
              </w:rPr>
              <w:t>4,000</w:t>
            </w:r>
          </w:p>
        </w:tc>
      </w:tr>
      <w:tr w:rsidR="008A6E3A" w:rsidTr="00A56496">
        <w:tc>
          <w:tcPr>
            <w:tcW w:w="0" w:type="auto"/>
          </w:tcPr>
          <w:p w:rsidR="008A6E3A" w:rsidRDefault="008A6E3A" w:rsidP="00925013">
            <w:pPr>
              <w:pStyle w:val="a6"/>
              <w:ind w:left="0"/>
              <w:jc w:val="both"/>
              <w:rPr>
                <w:sz w:val="24"/>
                <w:rtl/>
              </w:rPr>
            </w:pPr>
            <w:r>
              <w:rPr>
                <w:rFonts w:hint="cs"/>
                <w:sz w:val="24"/>
                <w:rtl/>
              </w:rPr>
              <w:t>מחוזי</w:t>
            </w:r>
          </w:p>
        </w:tc>
        <w:tc>
          <w:tcPr>
            <w:tcW w:w="0" w:type="auto"/>
          </w:tcPr>
          <w:p w:rsidR="008A6E3A" w:rsidRDefault="008A6E3A" w:rsidP="002F3F21">
            <w:pPr>
              <w:pStyle w:val="a6"/>
              <w:ind w:left="0"/>
              <w:jc w:val="center"/>
              <w:rPr>
                <w:sz w:val="24"/>
                <w:rtl/>
              </w:rPr>
            </w:pPr>
            <w:r>
              <w:rPr>
                <w:rFonts w:hint="cs"/>
                <w:sz w:val="24"/>
                <w:rtl/>
              </w:rPr>
              <w:t>24,000</w:t>
            </w:r>
          </w:p>
        </w:tc>
        <w:tc>
          <w:tcPr>
            <w:tcW w:w="0" w:type="auto"/>
          </w:tcPr>
          <w:p w:rsidR="008A6E3A" w:rsidRDefault="008A6E3A" w:rsidP="002F3F21">
            <w:pPr>
              <w:pStyle w:val="a6"/>
              <w:ind w:left="0"/>
              <w:jc w:val="center"/>
              <w:rPr>
                <w:sz w:val="24"/>
                <w:rtl/>
              </w:rPr>
            </w:pPr>
            <w:r>
              <w:rPr>
                <w:rFonts w:hint="cs"/>
                <w:sz w:val="24"/>
                <w:rtl/>
              </w:rPr>
              <w:t>16,000</w:t>
            </w:r>
          </w:p>
        </w:tc>
        <w:tc>
          <w:tcPr>
            <w:tcW w:w="0" w:type="auto"/>
          </w:tcPr>
          <w:p w:rsidR="008A6E3A" w:rsidRDefault="008A6E3A" w:rsidP="002F3F21">
            <w:pPr>
              <w:pStyle w:val="a6"/>
              <w:ind w:left="0"/>
              <w:jc w:val="center"/>
              <w:rPr>
                <w:sz w:val="24"/>
                <w:rtl/>
              </w:rPr>
            </w:pPr>
            <w:r>
              <w:rPr>
                <w:rFonts w:hint="cs"/>
                <w:sz w:val="24"/>
                <w:rtl/>
              </w:rPr>
              <w:t>8,000</w:t>
            </w:r>
          </w:p>
        </w:tc>
      </w:tr>
      <w:tr w:rsidR="008A6E3A" w:rsidTr="00A56496">
        <w:tc>
          <w:tcPr>
            <w:tcW w:w="0" w:type="auto"/>
          </w:tcPr>
          <w:p w:rsidR="008A6E3A" w:rsidRDefault="008A6E3A" w:rsidP="00925013">
            <w:pPr>
              <w:pStyle w:val="a6"/>
              <w:ind w:left="0"/>
              <w:jc w:val="both"/>
              <w:rPr>
                <w:sz w:val="24"/>
                <w:rtl/>
              </w:rPr>
            </w:pPr>
            <w:r>
              <w:rPr>
                <w:rFonts w:hint="cs"/>
                <w:sz w:val="24"/>
                <w:rtl/>
              </w:rPr>
              <w:t>תביעה נגד רשות</w:t>
            </w:r>
          </w:p>
        </w:tc>
        <w:tc>
          <w:tcPr>
            <w:tcW w:w="0" w:type="auto"/>
          </w:tcPr>
          <w:p w:rsidR="008A6E3A" w:rsidRDefault="008A6E3A" w:rsidP="002F3F21">
            <w:pPr>
              <w:pStyle w:val="a6"/>
              <w:ind w:left="0"/>
              <w:jc w:val="center"/>
              <w:rPr>
                <w:sz w:val="24"/>
                <w:rtl/>
              </w:rPr>
            </w:pPr>
            <w:r>
              <w:rPr>
                <w:rFonts w:hint="cs"/>
                <w:sz w:val="24"/>
                <w:rtl/>
              </w:rPr>
              <w:t>24,000</w:t>
            </w:r>
          </w:p>
        </w:tc>
        <w:tc>
          <w:tcPr>
            <w:tcW w:w="0" w:type="auto"/>
          </w:tcPr>
          <w:p w:rsidR="008A6E3A" w:rsidRDefault="008A6E3A" w:rsidP="002F3F21">
            <w:pPr>
              <w:pStyle w:val="a6"/>
              <w:ind w:left="0"/>
              <w:jc w:val="center"/>
              <w:rPr>
                <w:sz w:val="24"/>
                <w:rtl/>
              </w:rPr>
            </w:pPr>
            <w:r>
              <w:rPr>
                <w:rFonts w:hint="cs"/>
                <w:sz w:val="24"/>
                <w:rtl/>
              </w:rPr>
              <w:t>16,000</w:t>
            </w:r>
          </w:p>
        </w:tc>
        <w:tc>
          <w:tcPr>
            <w:tcW w:w="0" w:type="auto"/>
          </w:tcPr>
          <w:p w:rsidR="008A6E3A" w:rsidRDefault="008A6E3A" w:rsidP="002F3F21">
            <w:pPr>
              <w:pStyle w:val="a6"/>
              <w:ind w:left="0"/>
              <w:jc w:val="center"/>
              <w:rPr>
                <w:sz w:val="24"/>
                <w:rtl/>
              </w:rPr>
            </w:pPr>
            <w:r>
              <w:rPr>
                <w:rFonts w:hint="cs"/>
                <w:sz w:val="24"/>
                <w:rtl/>
              </w:rPr>
              <w:t>8,000</w:t>
            </w:r>
          </w:p>
        </w:tc>
      </w:tr>
    </w:tbl>
    <w:p w:rsidR="003314A4" w:rsidRDefault="003314A4" w:rsidP="00AC39D2">
      <w:pPr>
        <w:pStyle w:val="a6"/>
        <w:spacing w:before="120"/>
        <w:jc w:val="both"/>
        <w:rPr>
          <w:sz w:val="24"/>
          <w:rtl/>
        </w:rPr>
      </w:pPr>
      <w:r>
        <w:rPr>
          <w:rFonts w:hint="cs"/>
          <w:sz w:val="24"/>
          <w:rtl/>
        </w:rPr>
        <w:t xml:space="preserve">החצי </w:t>
      </w:r>
      <w:r w:rsidRPr="00925013">
        <w:rPr>
          <w:rFonts w:hint="cs"/>
          <w:sz w:val="24"/>
          <w:u w:val="single"/>
          <w:rtl/>
        </w:rPr>
        <w:t>הראשון</w:t>
      </w:r>
      <w:r>
        <w:rPr>
          <w:rFonts w:hint="cs"/>
          <w:sz w:val="24"/>
          <w:rtl/>
        </w:rPr>
        <w:t xml:space="preserve"> של האגרה </w:t>
      </w:r>
      <w:r>
        <w:rPr>
          <w:sz w:val="24"/>
          <w:rtl/>
        </w:rPr>
        <w:t>–</w:t>
      </w:r>
      <w:r>
        <w:rPr>
          <w:rFonts w:hint="cs"/>
          <w:sz w:val="24"/>
          <w:rtl/>
        </w:rPr>
        <w:t xml:space="preserve"> ישולם </w:t>
      </w:r>
      <w:r w:rsidRPr="00925013">
        <w:rPr>
          <w:rFonts w:hint="cs"/>
          <w:b/>
          <w:bCs/>
          <w:sz w:val="24"/>
          <w:rtl/>
        </w:rPr>
        <w:t>לפני הגשת התובענה</w:t>
      </w:r>
      <w:r w:rsidR="00925013">
        <w:rPr>
          <w:rFonts w:hint="cs"/>
          <w:sz w:val="24"/>
          <w:rtl/>
        </w:rPr>
        <w:t>;</w:t>
      </w:r>
      <w:r>
        <w:rPr>
          <w:rFonts w:hint="cs"/>
          <w:sz w:val="24"/>
          <w:rtl/>
        </w:rPr>
        <w:t xml:space="preserve"> החצי </w:t>
      </w:r>
      <w:r w:rsidRPr="00925013">
        <w:rPr>
          <w:rFonts w:hint="cs"/>
          <w:sz w:val="24"/>
          <w:u w:val="single"/>
          <w:rtl/>
        </w:rPr>
        <w:t>השני</w:t>
      </w:r>
      <w:r>
        <w:rPr>
          <w:rFonts w:hint="cs"/>
          <w:sz w:val="24"/>
          <w:rtl/>
        </w:rPr>
        <w:t xml:space="preserve"> של האגרה </w:t>
      </w:r>
      <w:r>
        <w:rPr>
          <w:sz w:val="24"/>
          <w:rtl/>
        </w:rPr>
        <w:t>–</w:t>
      </w:r>
      <w:r>
        <w:rPr>
          <w:rFonts w:hint="cs"/>
          <w:sz w:val="24"/>
          <w:rtl/>
        </w:rPr>
        <w:t xml:space="preserve"> ישולם </w:t>
      </w:r>
      <w:r w:rsidRPr="00925013">
        <w:rPr>
          <w:rFonts w:hint="cs"/>
          <w:b/>
          <w:bCs/>
          <w:sz w:val="24"/>
          <w:rtl/>
        </w:rPr>
        <w:t>לאחר מתן פסק דין</w:t>
      </w:r>
      <w:r>
        <w:rPr>
          <w:rFonts w:hint="cs"/>
          <w:sz w:val="24"/>
          <w:rtl/>
        </w:rPr>
        <w:t xml:space="preserve"> (לרבות פסק דין שמאשר הסתלקות או הסדר פשרה).</w:t>
      </w:r>
    </w:p>
    <w:p w:rsidR="003314A4" w:rsidRDefault="003314A4" w:rsidP="00925013">
      <w:pPr>
        <w:pStyle w:val="a6"/>
        <w:jc w:val="both"/>
        <w:rPr>
          <w:sz w:val="24"/>
          <w:rtl/>
        </w:rPr>
      </w:pPr>
    </w:p>
    <w:p w:rsidR="003314A4" w:rsidRPr="00925013" w:rsidRDefault="003314A4" w:rsidP="00925013">
      <w:pPr>
        <w:pStyle w:val="a6"/>
        <w:numPr>
          <w:ilvl w:val="0"/>
          <w:numId w:val="3"/>
        </w:numPr>
        <w:jc w:val="both"/>
        <w:rPr>
          <w:b/>
          <w:bCs/>
          <w:szCs w:val="28"/>
        </w:rPr>
      </w:pPr>
      <w:r w:rsidRPr="00925013">
        <w:rPr>
          <w:rFonts w:hint="cs"/>
          <w:b/>
          <w:bCs/>
          <w:szCs w:val="28"/>
          <w:rtl/>
        </w:rPr>
        <w:t>פטור מהחצי השני של האגרה + השבת החצי הראשון של האגרה</w:t>
      </w:r>
    </w:p>
    <w:p w:rsidR="003314A4" w:rsidRDefault="003314A4" w:rsidP="00925013">
      <w:pPr>
        <w:pStyle w:val="a6"/>
        <w:jc w:val="both"/>
        <w:rPr>
          <w:sz w:val="24"/>
          <w:rtl/>
        </w:rPr>
      </w:pPr>
      <w:r>
        <w:rPr>
          <w:rFonts w:hint="cs"/>
          <w:sz w:val="24"/>
          <w:rtl/>
        </w:rPr>
        <w:t xml:space="preserve">במקרים הבאים </w:t>
      </w:r>
      <w:r w:rsidRPr="005159BB">
        <w:rPr>
          <w:rFonts w:hint="cs"/>
          <w:sz w:val="24"/>
          <w:u w:val="single"/>
          <w:rtl/>
        </w:rPr>
        <w:t>התובע יהיה פטור מתשלום החצי השני של האגרה, וישיבו לו את החצי הראשון של האגרה</w:t>
      </w:r>
      <w:r>
        <w:rPr>
          <w:rFonts w:hint="cs"/>
          <w:sz w:val="24"/>
          <w:rtl/>
        </w:rPr>
        <w:t>:</w:t>
      </w:r>
    </w:p>
    <w:p w:rsidR="003314A4" w:rsidRDefault="00AC39D2" w:rsidP="00925013">
      <w:pPr>
        <w:pStyle w:val="a6"/>
        <w:numPr>
          <w:ilvl w:val="0"/>
          <w:numId w:val="4"/>
        </w:numPr>
        <w:jc w:val="both"/>
        <w:rPr>
          <w:sz w:val="24"/>
        </w:rPr>
      </w:pPr>
      <w:r>
        <w:rPr>
          <w:rFonts w:hint="cs"/>
          <w:sz w:val="24"/>
          <w:rtl/>
        </w:rPr>
        <w:t>ניתן פסק דין לטובת התובע</w:t>
      </w:r>
      <w:r w:rsidR="003314A4">
        <w:rPr>
          <w:rFonts w:hint="cs"/>
          <w:sz w:val="24"/>
          <w:rtl/>
        </w:rPr>
        <w:t>;</w:t>
      </w:r>
    </w:p>
    <w:p w:rsidR="003314A4" w:rsidRDefault="003314A4" w:rsidP="00925013">
      <w:pPr>
        <w:pStyle w:val="a6"/>
        <w:numPr>
          <w:ilvl w:val="0"/>
          <w:numId w:val="4"/>
        </w:numPr>
        <w:jc w:val="both"/>
        <w:rPr>
          <w:sz w:val="24"/>
        </w:rPr>
      </w:pPr>
      <w:r>
        <w:rPr>
          <w:rFonts w:hint="cs"/>
          <w:sz w:val="24"/>
          <w:rtl/>
        </w:rPr>
        <w:t>ניתן פסק דין שמאשר הסדר פשרה שבמסגרתו הנתבע מתקן את העוול שגרם ומפצה את חברי הקבוצה;</w:t>
      </w:r>
    </w:p>
    <w:p w:rsidR="003314A4" w:rsidRDefault="003314A4" w:rsidP="00925013">
      <w:pPr>
        <w:pStyle w:val="a6"/>
        <w:numPr>
          <w:ilvl w:val="0"/>
          <w:numId w:val="4"/>
        </w:numPr>
        <w:jc w:val="both"/>
        <w:rPr>
          <w:sz w:val="24"/>
          <w:rtl/>
        </w:rPr>
      </w:pPr>
      <w:r>
        <w:rPr>
          <w:rFonts w:hint="cs"/>
          <w:sz w:val="24"/>
          <w:rtl/>
        </w:rPr>
        <w:t xml:space="preserve">במקרה שניתן פסק דין שמאשר הסתלקות </w:t>
      </w:r>
      <w:r>
        <w:rPr>
          <w:sz w:val="24"/>
          <w:rtl/>
        </w:rPr>
        <w:t>–</w:t>
      </w:r>
      <w:r>
        <w:rPr>
          <w:rFonts w:hint="cs"/>
          <w:sz w:val="24"/>
          <w:rtl/>
        </w:rPr>
        <w:t xml:space="preserve"> לשופט יהיה שיקול דעת האם לפטור את התובע מהחצי השני של האגרה ולהשיב לו את החצי הראשון של האגרה, בהתאם לנסיבות ההסתלקות (אם ההסתלקות היתה בגלל שהנתבע תיקן את דרכיו וכדומה </w:t>
      </w:r>
      <w:r w:rsidR="005159BB">
        <w:rPr>
          <w:sz w:val="24"/>
          <w:rtl/>
        </w:rPr>
        <w:t>–</w:t>
      </w:r>
      <w:r>
        <w:rPr>
          <w:rFonts w:hint="cs"/>
          <w:sz w:val="24"/>
          <w:rtl/>
        </w:rPr>
        <w:t xml:space="preserve">השופט יוכל לפטור, אם ההסתלקות היתה בגלל שלא היתה עילה </w:t>
      </w:r>
      <w:r>
        <w:rPr>
          <w:sz w:val="24"/>
          <w:rtl/>
        </w:rPr>
        <w:t>–</w:t>
      </w:r>
      <w:r>
        <w:rPr>
          <w:rFonts w:hint="cs"/>
          <w:sz w:val="24"/>
          <w:rtl/>
        </w:rPr>
        <w:t xml:space="preserve"> השופט לא יפטור). </w:t>
      </w:r>
    </w:p>
    <w:p w:rsidR="00794C90" w:rsidRDefault="00794C90" w:rsidP="00794C90">
      <w:pPr>
        <w:pStyle w:val="a6"/>
        <w:jc w:val="both"/>
        <w:rPr>
          <w:sz w:val="24"/>
          <w:rtl/>
        </w:rPr>
      </w:pPr>
    </w:p>
    <w:p w:rsidR="003314A4" w:rsidRPr="00925013" w:rsidRDefault="00CA1546" w:rsidP="00925013">
      <w:pPr>
        <w:pStyle w:val="a6"/>
        <w:numPr>
          <w:ilvl w:val="0"/>
          <w:numId w:val="3"/>
        </w:numPr>
        <w:jc w:val="both"/>
        <w:rPr>
          <w:b/>
          <w:bCs/>
          <w:szCs w:val="28"/>
        </w:rPr>
      </w:pPr>
      <w:r w:rsidRPr="00925013">
        <w:rPr>
          <w:rFonts w:hint="cs"/>
          <w:b/>
          <w:bCs/>
          <w:szCs w:val="28"/>
          <w:rtl/>
        </w:rPr>
        <w:t>פטור מאגרות על תובענות ייצוגיות בנושאים של אכיפת זכויות</w:t>
      </w:r>
    </w:p>
    <w:p w:rsidR="005159BB" w:rsidRDefault="00CA1546" w:rsidP="00925013">
      <w:pPr>
        <w:pStyle w:val="a6"/>
        <w:jc w:val="both"/>
        <w:rPr>
          <w:sz w:val="24"/>
          <w:rtl/>
        </w:rPr>
      </w:pPr>
      <w:r>
        <w:rPr>
          <w:rFonts w:hint="cs"/>
          <w:sz w:val="24"/>
          <w:rtl/>
        </w:rPr>
        <w:t xml:space="preserve">מתן פטור מאגרות לכל התובענות הייצוגיות בתחומים הבאים: </w:t>
      </w:r>
    </w:p>
    <w:p w:rsidR="005159BB" w:rsidRDefault="00CA1546" w:rsidP="00040AD8">
      <w:pPr>
        <w:pStyle w:val="a6"/>
        <w:numPr>
          <w:ilvl w:val="0"/>
          <w:numId w:val="5"/>
        </w:numPr>
        <w:jc w:val="both"/>
        <w:rPr>
          <w:sz w:val="24"/>
        </w:rPr>
      </w:pPr>
      <w:r w:rsidRPr="005159BB">
        <w:rPr>
          <w:rFonts w:hint="cs"/>
          <w:b/>
          <w:bCs/>
          <w:sz w:val="24"/>
          <w:rtl/>
        </w:rPr>
        <w:t>איכות הסביבה</w:t>
      </w:r>
      <w:r>
        <w:rPr>
          <w:rFonts w:hint="cs"/>
          <w:sz w:val="24"/>
          <w:rtl/>
        </w:rPr>
        <w:t xml:space="preserve"> (פרט 6 לתוספת לחוק); </w:t>
      </w:r>
    </w:p>
    <w:p w:rsidR="005159BB" w:rsidRDefault="00CA1546" w:rsidP="00040AD8">
      <w:pPr>
        <w:pStyle w:val="a6"/>
        <w:numPr>
          <w:ilvl w:val="0"/>
          <w:numId w:val="5"/>
        </w:numPr>
        <w:jc w:val="both"/>
        <w:rPr>
          <w:sz w:val="24"/>
        </w:rPr>
      </w:pPr>
      <w:r w:rsidRPr="005159BB">
        <w:rPr>
          <w:rFonts w:hint="cs"/>
          <w:b/>
          <w:bCs/>
          <w:sz w:val="24"/>
          <w:rtl/>
        </w:rPr>
        <w:t>איסור הפלייה</w:t>
      </w:r>
      <w:r>
        <w:rPr>
          <w:rFonts w:hint="cs"/>
          <w:sz w:val="24"/>
          <w:rtl/>
        </w:rPr>
        <w:t xml:space="preserve"> במוצרים, שירותים וכניסה למקומות בידור ומקומות ציבוריים (פרט 7 לתוספת לחוק); </w:t>
      </w:r>
    </w:p>
    <w:p w:rsidR="005159BB" w:rsidRDefault="00CA1546" w:rsidP="00040AD8">
      <w:pPr>
        <w:pStyle w:val="a6"/>
        <w:numPr>
          <w:ilvl w:val="0"/>
          <w:numId w:val="5"/>
        </w:numPr>
        <w:jc w:val="both"/>
        <w:rPr>
          <w:sz w:val="24"/>
        </w:rPr>
      </w:pPr>
      <w:r w:rsidRPr="005159BB">
        <w:rPr>
          <w:rFonts w:hint="cs"/>
          <w:b/>
          <w:bCs/>
          <w:sz w:val="24"/>
          <w:rtl/>
        </w:rPr>
        <w:t>דיני עבודה</w:t>
      </w:r>
      <w:r>
        <w:rPr>
          <w:rFonts w:hint="cs"/>
          <w:sz w:val="24"/>
          <w:rtl/>
        </w:rPr>
        <w:t xml:space="preserve"> (פרטים 8 ו-10 לתוספת לחוק); </w:t>
      </w:r>
    </w:p>
    <w:p w:rsidR="00CA1546" w:rsidRDefault="00CA1546" w:rsidP="00040AD8">
      <w:pPr>
        <w:pStyle w:val="a6"/>
        <w:numPr>
          <w:ilvl w:val="0"/>
          <w:numId w:val="5"/>
        </w:numPr>
        <w:jc w:val="both"/>
        <w:rPr>
          <w:sz w:val="24"/>
        </w:rPr>
      </w:pPr>
      <w:r w:rsidRPr="005159BB">
        <w:rPr>
          <w:rFonts w:hint="cs"/>
          <w:b/>
          <w:bCs/>
          <w:sz w:val="24"/>
          <w:rtl/>
        </w:rPr>
        <w:t>פגיעה באנשים עם מוגבלויות</w:t>
      </w:r>
      <w:r>
        <w:rPr>
          <w:rFonts w:hint="cs"/>
          <w:sz w:val="24"/>
          <w:rtl/>
        </w:rPr>
        <w:t xml:space="preserve"> (פרט 9 לתוספת לחוק).</w:t>
      </w:r>
    </w:p>
    <w:p w:rsidR="00CA1546" w:rsidRDefault="00CA1546" w:rsidP="00925013">
      <w:pPr>
        <w:pStyle w:val="a6"/>
        <w:jc w:val="both"/>
        <w:rPr>
          <w:sz w:val="24"/>
          <w:rtl/>
        </w:rPr>
      </w:pPr>
    </w:p>
    <w:p w:rsidR="0012294E" w:rsidRDefault="0012294E" w:rsidP="0012294E">
      <w:pPr>
        <w:pStyle w:val="a6"/>
        <w:numPr>
          <w:ilvl w:val="0"/>
          <w:numId w:val="3"/>
        </w:numPr>
        <w:jc w:val="both"/>
        <w:rPr>
          <w:b/>
          <w:bCs/>
          <w:szCs w:val="28"/>
        </w:rPr>
      </w:pPr>
      <w:r w:rsidRPr="00925013">
        <w:rPr>
          <w:rFonts w:hint="cs"/>
          <w:b/>
          <w:bCs/>
          <w:szCs w:val="28"/>
          <w:rtl/>
        </w:rPr>
        <w:t>דיווח לוועדה</w:t>
      </w:r>
    </w:p>
    <w:p w:rsidR="0012294E" w:rsidRDefault="0012294E" w:rsidP="0012294E">
      <w:pPr>
        <w:pStyle w:val="a6"/>
        <w:jc w:val="both"/>
        <w:rPr>
          <w:sz w:val="24"/>
          <w:rtl/>
        </w:rPr>
      </w:pPr>
      <w:r>
        <w:rPr>
          <w:rFonts w:hint="cs"/>
          <w:sz w:val="24"/>
          <w:rtl/>
        </w:rPr>
        <w:t>כדי שהוועדה תוכל להמשיך ולפקח על הנושא ולראות כיצד השפיע המהלך של הטלת אגרות על היקף התובענות הייצוגיות</w:t>
      </w:r>
      <w:r>
        <w:rPr>
          <w:rFonts w:hint="cs"/>
          <w:sz w:val="24"/>
          <w:rtl/>
        </w:rPr>
        <w:t xml:space="preserve">, תוטל על שרת המשפטים </w:t>
      </w:r>
      <w:r>
        <w:rPr>
          <w:rFonts w:hint="cs"/>
          <w:sz w:val="24"/>
          <w:rtl/>
        </w:rPr>
        <w:t xml:space="preserve">חובת דיווח לוועדה על </w:t>
      </w:r>
      <w:r>
        <w:rPr>
          <w:rFonts w:hint="cs"/>
          <w:sz w:val="24"/>
          <w:rtl/>
        </w:rPr>
        <w:t xml:space="preserve">הנתונים הבאים: מספר </w:t>
      </w:r>
      <w:r>
        <w:rPr>
          <w:rFonts w:hint="cs"/>
          <w:sz w:val="24"/>
          <w:rtl/>
        </w:rPr>
        <w:t>התובענות הייצוגיות</w:t>
      </w:r>
      <w:r>
        <w:rPr>
          <w:rFonts w:hint="cs"/>
          <w:sz w:val="24"/>
          <w:rtl/>
        </w:rPr>
        <w:t xml:space="preserve"> שהוגשו במהלך כל שנה (בחלוקה לפי עילות התביעה); </w:t>
      </w:r>
      <w:r>
        <w:rPr>
          <w:rFonts w:hint="cs"/>
          <w:sz w:val="24"/>
          <w:rtl/>
        </w:rPr>
        <w:t xml:space="preserve"> מספר התובענות שהסתיימו בפסק דין / הסדר פשרה / הסתלקות</w:t>
      </w:r>
      <w:r>
        <w:rPr>
          <w:rFonts w:hint="cs"/>
          <w:sz w:val="24"/>
          <w:rtl/>
        </w:rPr>
        <w:t>; מספר התובענות שבהן שולמה המחצית הראשונה של האגרה; מספר התובענות שבהן שולמה המחצית השנייה של האגרה; ומספר התובענות שבהן הוחזרה האגרה</w:t>
      </w:r>
      <w:r>
        <w:rPr>
          <w:rFonts w:hint="cs"/>
          <w:sz w:val="24"/>
          <w:rtl/>
        </w:rPr>
        <w:t>.</w:t>
      </w:r>
    </w:p>
    <w:p w:rsidR="0012294E" w:rsidRDefault="0012294E" w:rsidP="0012294E">
      <w:pPr>
        <w:pStyle w:val="a6"/>
        <w:jc w:val="both"/>
        <w:rPr>
          <w:sz w:val="24"/>
          <w:rtl/>
        </w:rPr>
      </w:pPr>
    </w:p>
    <w:p w:rsidR="003A5B83" w:rsidRPr="00925013" w:rsidRDefault="003A5B83" w:rsidP="003A5B83">
      <w:pPr>
        <w:pStyle w:val="a6"/>
        <w:numPr>
          <w:ilvl w:val="0"/>
          <w:numId w:val="3"/>
        </w:numPr>
        <w:jc w:val="both"/>
        <w:rPr>
          <w:b/>
          <w:bCs/>
          <w:szCs w:val="28"/>
        </w:rPr>
      </w:pPr>
      <w:r>
        <w:rPr>
          <w:rFonts w:hint="cs"/>
          <w:b/>
          <w:bCs/>
          <w:szCs w:val="28"/>
          <w:rtl/>
        </w:rPr>
        <w:t>הקרן למימון תובענות ייצוגיות</w:t>
      </w:r>
    </w:p>
    <w:p w:rsidR="00251442" w:rsidRPr="00251442" w:rsidRDefault="00251442" w:rsidP="00251442">
      <w:pPr>
        <w:ind w:left="720"/>
        <w:jc w:val="both"/>
        <w:rPr>
          <w:sz w:val="24"/>
        </w:rPr>
      </w:pPr>
      <w:r>
        <w:rPr>
          <w:rFonts w:hint="cs"/>
          <w:sz w:val="24"/>
          <w:rtl/>
        </w:rPr>
        <w:t>במקביל לתקנות המוצעות, ייעשו השינויים הבאים בנוגע לקרן למימון תובענות ייצוגיות:</w:t>
      </w:r>
    </w:p>
    <w:p w:rsidR="003A5B83" w:rsidRDefault="00251442" w:rsidP="00251442">
      <w:pPr>
        <w:pStyle w:val="a6"/>
        <w:numPr>
          <w:ilvl w:val="0"/>
          <w:numId w:val="6"/>
        </w:numPr>
        <w:jc w:val="both"/>
        <w:rPr>
          <w:sz w:val="24"/>
        </w:rPr>
      </w:pPr>
      <w:r>
        <w:rPr>
          <w:rFonts w:hint="cs"/>
          <w:sz w:val="24"/>
          <w:rtl/>
        </w:rPr>
        <w:t>הקרן תהפוך לקבועה;</w:t>
      </w:r>
    </w:p>
    <w:p w:rsidR="003A5B83" w:rsidRDefault="00251442" w:rsidP="00251442">
      <w:pPr>
        <w:pStyle w:val="a6"/>
        <w:numPr>
          <w:ilvl w:val="0"/>
          <w:numId w:val="6"/>
        </w:numPr>
        <w:jc w:val="both"/>
        <w:rPr>
          <w:sz w:val="24"/>
        </w:rPr>
      </w:pPr>
      <w:r>
        <w:rPr>
          <w:rFonts w:hint="cs"/>
          <w:sz w:val="24"/>
          <w:rtl/>
        </w:rPr>
        <w:t xml:space="preserve">תיבחן </w:t>
      </w:r>
      <w:r w:rsidR="003A5B83">
        <w:rPr>
          <w:rFonts w:hint="cs"/>
          <w:sz w:val="24"/>
          <w:rtl/>
        </w:rPr>
        <w:t>האפשרות להגדלת ההיקף הכספי של הקרן</w:t>
      </w:r>
      <w:r>
        <w:rPr>
          <w:rFonts w:hint="cs"/>
          <w:sz w:val="24"/>
          <w:rtl/>
        </w:rPr>
        <w:t>;</w:t>
      </w:r>
    </w:p>
    <w:p w:rsidR="003A5B83" w:rsidRDefault="00251442" w:rsidP="00AD4267">
      <w:pPr>
        <w:pStyle w:val="a6"/>
        <w:numPr>
          <w:ilvl w:val="0"/>
          <w:numId w:val="6"/>
        </w:numPr>
        <w:jc w:val="both"/>
        <w:rPr>
          <w:sz w:val="24"/>
          <w:rtl/>
        </w:rPr>
      </w:pPr>
      <w:r>
        <w:rPr>
          <w:rFonts w:hint="cs"/>
          <w:sz w:val="24"/>
          <w:rtl/>
        </w:rPr>
        <w:t xml:space="preserve">ניתן יהיה להגיש </w:t>
      </w:r>
      <w:r w:rsidR="003A5B83">
        <w:rPr>
          <w:rFonts w:hint="cs"/>
          <w:sz w:val="24"/>
          <w:rtl/>
        </w:rPr>
        <w:t>בקשה לסיוע מהקרן עוד לפני הגשת בקשה לאישור תובענה ייצוגית לבית המשפט</w:t>
      </w:r>
      <w:r w:rsidR="00AD4267">
        <w:rPr>
          <w:rFonts w:hint="cs"/>
          <w:sz w:val="24"/>
          <w:rtl/>
        </w:rPr>
        <w:t>,</w:t>
      </w:r>
      <w:r w:rsidR="003A5B83">
        <w:rPr>
          <w:rFonts w:hint="cs"/>
          <w:sz w:val="24"/>
          <w:rtl/>
        </w:rPr>
        <w:t xml:space="preserve"> לא רק במקרים </w:t>
      </w:r>
      <w:r>
        <w:rPr>
          <w:rFonts w:hint="cs"/>
          <w:sz w:val="24"/>
          <w:rtl/>
        </w:rPr>
        <w:t>מיוחדים</w:t>
      </w:r>
      <w:r w:rsidR="003A5B83">
        <w:rPr>
          <w:rFonts w:hint="cs"/>
          <w:sz w:val="24"/>
          <w:rtl/>
        </w:rPr>
        <w:t xml:space="preserve"> </w:t>
      </w:r>
      <w:r>
        <w:rPr>
          <w:rFonts w:hint="cs"/>
          <w:sz w:val="24"/>
          <w:rtl/>
        </w:rPr>
        <w:t>(</w:t>
      </w:r>
      <w:r w:rsidR="003A5B83">
        <w:rPr>
          <w:rFonts w:hint="cs"/>
          <w:sz w:val="24"/>
          <w:rtl/>
        </w:rPr>
        <w:t xml:space="preserve">כפי </w:t>
      </w:r>
      <w:r>
        <w:rPr>
          <w:rFonts w:hint="cs"/>
          <w:sz w:val="24"/>
          <w:rtl/>
        </w:rPr>
        <w:t>ש</w:t>
      </w:r>
      <w:r w:rsidR="00AD4267">
        <w:rPr>
          <w:rFonts w:hint="cs"/>
          <w:sz w:val="24"/>
          <w:rtl/>
        </w:rPr>
        <w:t xml:space="preserve">הדבר נדרש </w:t>
      </w:r>
      <w:r>
        <w:rPr>
          <w:rFonts w:hint="cs"/>
          <w:sz w:val="24"/>
          <w:rtl/>
        </w:rPr>
        <w:t>בתקנות</w:t>
      </w:r>
      <w:r w:rsidR="00AD4267">
        <w:rPr>
          <w:rFonts w:hint="cs"/>
          <w:sz w:val="24"/>
          <w:rtl/>
        </w:rPr>
        <w:t xml:space="preserve"> כיום</w:t>
      </w:r>
      <w:r w:rsidR="003A5B83">
        <w:rPr>
          <w:rFonts w:hint="cs"/>
          <w:sz w:val="24"/>
          <w:rtl/>
        </w:rPr>
        <w:t>).</w:t>
      </w:r>
    </w:p>
    <w:p w:rsidR="00D50D75" w:rsidRDefault="00D50D75" w:rsidP="0012294E">
      <w:pPr>
        <w:pStyle w:val="a6"/>
        <w:jc w:val="both"/>
        <w:rPr>
          <w:sz w:val="24"/>
          <w:rtl/>
        </w:rPr>
      </w:pPr>
    </w:p>
    <w:p w:rsidR="0012294E" w:rsidRPr="00925013" w:rsidRDefault="0012294E" w:rsidP="0012294E">
      <w:pPr>
        <w:pStyle w:val="a6"/>
        <w:numPr>
          <w:ilvl w:val="0"/>
          <w:numId w:val="3"/>
        </w:numPr>
        <w:jc w:val="both"/>
        <w:rPr>
          <w:b/>
          <w:bCs/>
          <w:szCs w:val="28"/>
        </w:rPr>
      </w:pPr>
      <w:r w:rsidRPr="00925013">
        <w:rPr>
          <w:rFonts w:hint="cs"/>
          <w:b/>
          <w:bCs/>
          <w:szCs w:val="28"/>
          <w:rtl/>
        </w:rPr>
        <w:t>הטלת הוצאות אישיות על עורך דין (דורש תיקון חקיקה)</w:t>
      </w:r>
    </w:p>
    <w:p w:rsidR="0012294E" w:rsidRDefault="0012294E" w:rsidP="0012294E">
      <w:pPr>
        <w:pStyle w:val="a6"/>
        <w:jc w:val="both"/>
        <w:rPr>
          <w:sz w:val="24"/>
          <w:rtl/>
        </w:rPr>
      </w:pPr>
      <w:r>
        <w:rPr>
          <w:rFonts w:hint="cs"/>
          <w:sz w:val="24"/>
          <w:rtl/>
        </w:rPr>
        <w:t>הסמכת ביהמ"ש להטיל הוצאות אישיות על עו"ד, מטעמים מיוחדים שיירשמו.</w:t>
      </w:r>
    </w:p>
    <w:p w:rsidR="0012294E" w:rsidRDefault="0012294E" w:rsidP="0012294E">
      <w:pPr>
        <w:pStyle w:val="a6"/>
        <w:jc w:val="both"/>
        <w:rPr>
          <w:sz w:val="24"/>
          <w:rtl/>
        </w:rPr>
      </w:pPr>
    </w:p>
    <w:p w:rsidR="002C432B" w:rsidRDefault="002C432B" w:rsidP="0048533B">
      <w:pPr>
        <w:pStyle w:val="a6"/>
        <w:numPr>
          <w:ilvl w:val="0"/>
          <w:numId w:val="3"/>
        </w:numPr>
        <w:jc w:val="both"/>
        <w:rPr>
          <w:b/>
          <w:bCs/>
          <w:szCs w:val="28"/>
        </w:rPr>
      </w:pPr>
      <w:r>
        <w:rPr>
          <w:rFonts w:hint="cs"/>
          <w:b/>
          <w:bCs/>
          <w:szCs w:val="28"/>
          <w:rtl/>
        </w:rPr>
        <w:t>הרחבת האפשרות של ארגונים להגיש תובענות ייצוגיות (דורש תיקון חקיקה)</w:t>
      </w:r>
    </w:p>
    <w:p w:rsidR="002C432B" w:rsidRPr="002C432B" w:rsidRDefault="002C432B" w:rsidP="00D77C2F">
      <w:pPr>
        <w:pStyle w:val="a6"/>
        <w:jc w:val="both"/>
        <w:rPr>
          <w:sz w:val="24"/>
          <w:rtl/>
        </w:rPr>
      </w:pPr>
      <w:r>
        <w:rPr>
          <w:rFonts w:hint="cs"/>
          <w:sz w:val="24"/>
          <w:rtl/>
        </w:rPr>
        <w:t xml:space="preserve">הרחבת האפשרות של ארגונים להגיש תובענות ייצוגיות, באמצעות </w:t>
      </w:r>
      <w:r w:rsidR="00406625">
        <w:rPr>
          <w:rFonts w:hint="cs"/>
          <w:sz w:val="24"/>
          <w:rtl/>
        </w:rPr>
        <w:t xml:space="preserve">תיקון חקיקה </w:t>
      </w:r>
      <w:r w:rsidR="0012294E">
        <w:rPr>
          <w:rFonts w:hint="cs"/>
          <w:sz w:val="24"/>
          <w:rtl/>
        </w:rPr>
        <w:t xml:space="preserve">שייעדן </w:t>
      </w:r>
      <w:r w:rsidR="00406625">
        <w:rPr>
          <w:rFonts w:hint="cs"/>
          <w:sz w:val="24"/>
          <w:rtl/>
        </w:rPr>
        <w:t xml:space="preserve">את </w:t>
      </w:r>
      <w:r>
        <w:rPr>
          <w:rFonts w:hint="cs"/>
          <w:sz w:val="24"/>
          <w:rtl/>
        </w:rPr>
        <w:t xml:space="preserve">המגבלה הקובעת שארגון רשאי להגיש תובענה ייצוגית רק אם קיים קושי להגיש את הבקשה בידי אדם שיש לו עילת תביעה. הרחבה זו </w:t>
      </w:r>
      <w:r w:rsidR="00D77C2F">
        <w:rPr>
          <w:rFonts w:hint="cs"/>
          <w:sz w:val="24"/>
          <w:rtl/>
        </w:rPr>
        <w:t>משתלבת</w:t>
      </w:r>
      <w:r>
        <w:rPr>
          <w:rFonts w:hint="cs"/>
          <w:sz w:val="24"/>
          <w:rtl/>
        </w:rPr>
        <w:t xml:space="preserve"> עם ההצעה הממשלתית ולפיה ארגונים שהגשת תובענות ייצוגיות אינה פעולתן העיקרית, יהיו פטור</w:t>
      </w:r>
      <w:r w:rsidR="00406625">
        <w:rPr>
          <w:rFonts w:hint="cs"/>
          <w:sz w:val="24"/>
          <w:rtl/>
        </w:rPr>
        <w:t>ים</w:t>
      </w:r>
      <w:r>
        <w:rPr>
          <w:rFonts w:hint="cs"/>
          <w:sz w:val="24"/>
          <w:rtl/>
        </w:rPr>
        <w:t xml:space="preserve"> מאגרה. </w:t>
      </w:r>
    </w:p>
    <w:p w:rsidR="002C432B" w:rsidRDefault="002C432B" w:rsidP="00925013">
      <w:pPr>
        <w:pStyle w:val="a6"/>
        <w:jc w:val="both"/>
        <w:rPr>
          <w:sz w:val="24"/>
          <w:rtl/>
        </w:rPr>
      </w:pPr>
    </w:p>
    <w:sectPr w:rsidR="002C432B" w:rsidSect="00CF28B0">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F07" w:rsidRDefault="00100F07" w:rsidP="00671DEA">
      <w:r>
        <w:separator/>
      </w:r>
    </w:p>
  </w:endnote>
  <w:endnote w:type="continuationSeparator" w:id="0">
    <w:p w:rsidR="00100F07" w:rsidRDefault="00100F07" w:rsidP="00671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F07" w:rsidRDefault="00100F07" w:rsidP="00671DEA">
      <w:r>
        <w:separator/>
      </w:r>
    </w:p>
  </w:footnote>
  <w:footnote w:type="continuationSeparator" w:id="0">
    <w:p w:rsidR="00100F07" w:rsidRDefault="00100F07" w:rsidP="00671D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3109C"/>
    <w:multiLevelType w:val="hybridMultilevel"/>
    <w:tmpl w:val="ED3CD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B438C"/>
    <w:multiLevelType w:val="hybridMultilevel"/>
    <w:tmpl w:val="3EE2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B32C6B"/>
    <w:multiLevelType w:val="hybridMultilevel"/>
    <w:tmpl w:val="DD50D98C"/>
    <w:lvl w:ilvl="0" w:tplc="7B6C461A">
      <w:start w:val="1"/>
      <w:numFmt w:val="decimal"/>
      <w:lvlText w:val="(%1)"/>
      <w:lvlJc w:val="left"/>
      <w:pPr>
        <w:ind w:left="1080" w:hanging="360"/>
      </w:pPr>
      <w:rPr>
        <w:rFonts w:ascii="Times New Roman" w:eastAsia="Times New Roman" w:hAnsi="Times New Roman" w:cs="David"/>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1B70DC"/>
    <w:multiLevelType w:val="hybridMultilevel"/>
    <w:tmpl w:val="F7566B24"/>
    <w:lvl w:ilvl="0" w:tplc="1C8816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E7020E"/>
    <w:multiLevelType w:val="hybridMultilevel"/>
    <w:tmpl w:val="A350C364"/>
    <w:lvl w:ilvl="0" w:tplc="194A7944">
      <w:start w:val="7"/>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D0375D"/>
    <w:multiLevelType w:val="hybridMultilevel"/>
    <w:tmpl w:val="DD50D98C"/>
    <w:lvl w:ilvl="0" w:tplc="7B6C461A">
      <w:start w:val="1"/>
      <w:numFmt w:val="decimal"/>
      <w:lvlText w:val="(%1)"/>
      <w:lvlJc w:val="left"/>
      <w:pPr>
        <w:ind w:left="1080" w:hanging="360"/>
      </w:pPr>
      <w:rPr>
        <w:rFonts w:ascii="Times New Roman" w:eastAsia="Times New Roman" w:hAnsi="Times New Roman" w:cs="David"/>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DEA"/>
    <w:rsid w:val="00031304"/>
    <w:rsid w:val="00040AD8"/>
    <w:rsid w:val="000E3382"/>
    <w:rsid w:val="00100F07"/>
    <w:rsid w:val="0012294E"/>
    <w:rsid w:val="001312ED"/>
    <w:rsid w:val="001A6F87"/>
    <w:rsid w:val="001F1A1F"/>
    <w:rsid w:val="00251442"/>
    <w:rsid w:val="002C432B"/>
    <w:rsid w:val="002D5F33"/>
    <w:rsid w:val="002F3F21"/>
    <w:rsid w:val="003314A4"/>
    <w:rsid w:val="00341D3E"/>
    <w:rsid w:val="003A5B83"/>
    <w:rsid w:val="00406625"/>
    <w:rsid w:val="00413037"/>
    <w:rsid w:val="0048533B"/>
    <w:rsid w:val="005159BB"/>
    <w:rsid w:val="005B6BA1"/>
    <w:rsid w:val="005D1982"/>
    <w:rsid w:val="00671DEA"/>
    <w:rsid w:val="006D6F5A"/>
    <w:rsid w:val="00701647"/>
    <w:rsid w:val="00714011"/>
    <w:rsid w:val="00794C90"/>
    <w:rsid w:val="007D1096"/>
    <w:rsid w:val="007D2FD7"/>
    <w:rsid w:val="008A6E3A"/>
    <w:rsid w:val="00925013"/>
    <w:rsid w:val="00AB4896"/>
    <w:rsid w:val="00AC39D2"/>
    <w:rsid w:val="00AD4267"/>
    <w:rsid w:val="00BD7CAD"/>
    <w:rsid w:val="00CA1546"/>
    <w:rsid w:val="00CD1B4A"/>
    <w:rsid w:val="00CF28B0"/>
    <w:rsid w:val="00D00494"/>
    <w:rsid w:val="00D33C43"/>
    <w:rsid w:val="00D50D75"/>
    <w:rsid w:val="00D77C2F"/>
    <w:rsid w:val="00E3139D"/>
    <w:rsid w:val="00E72A09"/>
    <w:rsid w:val="00E7438E"/>
    <w:rsid w:val="00F03AAA"/>
    <w:rsid w:val="00F45C11"/>
    <w:rsid w:val="00FE4B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7AFB0-6B8A-4BE7-B0BA-0BB81421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DEA"/>
    <w:pPr>
      <w:bidi/>
      <w:spacing w:after="0" w:line="240" w:lineRule="auto"/>
    </w:pPr>
    <w:rPr>
      <w:rFonts w:ascii="Times New Roman" w:eastAsia="Times New Roman" w:hAnsi="Times New Roman" w:cs="David"/>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71DEA"/>
    <w:rPr>
      <w:rFonts w:ascii="Times New Roman" w:hAnsi="Times New Roman" w:cs="Times New Roman" w:hint="default"/>
      <w:sz w:val="26"/>
      <w:szCs w:val="26"/>
    </w:rPr>
  </w:style>
  <w:style w:type="paragraph" w:customStyle="1" w:styleId="P00">
    <w:name w:val="P00"/>
    <w:rsid w:val="00671DE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71DEA"/>
    <w:rPr>
      <w:rFonts w:ascii="Times New Roman" w:hAnsi="Times New Roman" w:cs="Miriam" w:hint="default"/>
      <w:sz w:val="20"/>
      <w:szCs w:val="32"/>
    </w:rPr>
  </w:style>
  <w:style w:type="character" w:styleId="Hyperlink">
    <w:name w:val="Hyperlink"/>
    <w:rsid w:val="00671DEA"/>
    <w:rPr>
      <w:color w:val="0000FF"/>
      <w:u w:val="single"/>
    </w:rPr>
  </w:style>
  <w:style w:type="paragraph" w:customStyle="1" w:styleId="P22">
    <w:name w:val="P22"/>
    <w:basedOn w:val="P00"/>
    <w:rsid w:val="00671DEA"/>
    <w:pPr>
      <w:tabs>
        <w:tab w:val="clear" w:pos="624"/>
        <w:tab w:val="clear" w:pos="1021"/>
      </w:tabs>
      <w:ind w:right="1021"/>
    </w:pPr>
    <w:rPr>
      <w:rFonts w:cs="Times New Roman"/>
    </w:rPr>
  </w:style>
  <w:style w:type="paragraph" w:styleId="a3">
    <w:name w:val="footnote text"/>
    <w:basedOn w:val="a"/>
    <w:link w:val="a4"/>
    <w:autoRedefine/>
    <w:rsid w:val="00671DEA"/>
    <w:pPr>
      <w:widowControl w:val="0"/>
      <w:autoSpaceDE w:val="0"/>
      <w:autoSpaceDN w:val="0"/>
      <w:adjustRightInd w:val="0"/>
      <w:snapToGrid w:val="0"/>
      <w:ind w:left="227" w:hanging="227"/>
      <w:jc w:val="both"/>
      <w:textAlignment w:val="center"/>
    </w:pPr>
    <w:rPr>
      <w:rFonts w:ascii="Arial" w:eastAsia="Arial Unicode MS" w:hAnsi="Arial"/>
      <w:snapToGrid w:val="0"/>
      <w:color w:val="000000"/>
      <w:sz w:val="14"/>
      <w:szCs w:val="20"/>
      <w:lang w:eastAsia="ja-JP"/>
    </w:rPr>
  </w:style>
  <w:style w:type="character" w:customStyle="1" w:styleId="a4">
    <w:name w:val="טקסט הערת שוליים תו"/>
    <w:basedOn w:val="a0"/>
    <w:link w:val="a3"/>
    <w:rsid w:val="00671DEA"/>
    <w:rPr>
      <w:rFonts w:ascii="Arial" w:eastAsia="Arial Unicode MS" w:hAnsi="Arial" w:cs="David"/>
      <w:snapToGrid w:val="0"/>
      <w:color w:val="000000"/>
      <w:sz w:val="14"/>
      <w:szCs w:val="20"/>
      <w:lang w:eastAsia="ja-JP"/>
    </w:rPr>
  </w:style>
  <w:style w:type="character" w:styleId="a5">
    <w:name w:val="footnote reference"/>
    <w:aliases w:val="Footnote Reference"/>
    <w:rsid w:val="00671DEA"/>
    <w:rPr>
      <w:vertAlign w:val="superscript"/>
    </w:rPr>
  </w:style>
  <w:style w:type="paragraph" w:styleId="a6">
    <w:name w:val="List Paragraph"/>
    <w:basedOn w:val="a"/>
    <w:uiPriority w:val="34"/>
    <w:qFormat/>
    <w:rsid w:val="00F45C11"/>
    <w:pPr>
      <w:ind w:left="720"/>
      <w:contextualSpacing/>
    </w:pPr>
  </w:style>
  <w:style w:type="table" w:styleId="a7">
    <w:name w:val="Table Grid"/>
    <w:basedOn w:val="a1"/>
    <w:uiPriority w:val="39"/>
    <w:rsid w:val="00331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AA10A-C671-41E9-9353-D3A28C22A0B8}"/>
</file>

<file path=customXml/itemProps2.xml><?xml version="1.0" encoding="utf-8"?>
<ds:datastoreItem xmlns:ds="http://schemas.openxmlformats.org/officeDocument/2006/customXml" ds:itemID="{9924939E-3D75-4052-A6C3-149343DDF015}"/>
</file>

<file path=customXml/itemProps3.xml><?xml version="1.0" encoding="utf-8"?>
<ds:datastoreItem xmlns:ds="http://schemas.openxmlformats.org/officeDocument/2006/customXml" ds:itemID="{D238AA23-07A0-4B0A-90ED-6F2987010A3D}"/>
</file>

<file path=docProps/app.xml><?xml version="1.0" encoding="utf-8"?>
<Properties xmlns="http://schemas.openxmlformats.org/officeDocument/2006/extended-properties" xmlns:vt="http://schemas.openxmlformats.org/officeDocument/2006/docPropsVTypes">
  <Template>Normal.dotm</Template>
  <TotalTime>146</TotalTime>
  <Pages>1</Pages>
  <Words>413</Words>
  <Characters>2070</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41</cp:revision>
  <cp:lastPrinted>2017-11-28T15:17:00Z</cp:lastPrinted>
  <dcterms:created xsi:type="dcterms:W3CDTF">2017-11-15T12:25:00Z</dcterms:created>
  <dcterms:modified xsi:type="dcterms:W3CDTF">2017-11-28T15:15:00Z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2023754</vt:r8>
  </property>
</Properties>
</file>