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578057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4858E544" w:rsidR="00E13C27" w:rsidRPr="00CF1AA2" w:rsidRDefault="008F6665" w:rsidP="00F625A4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 xml:space="preserve">רועי </w:t>
      </w:r>
      <w:proofErr w:type="spellStart"/>
      <w:r>
        <w:rPr>
          <w:rFonts w:hint="cs"/>
          <w:b/>
          <w:bCs/>
          <w:rtl/>
        </w:rPr>
        <w:t>פולקמן</w:t>
      </w:r>
      <w:proofErr w:type="spellEnd"/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עפר שלח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אחמד טיבי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נאוה בוקר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דוד ביטן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יעקב מרגי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יואל חסון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פ/2936/20</w:t>
      </w:r>
      <w:bookmarkEnd w:id="6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77777777" w:rsidR="00E13C27" w:rsidRPr="00F67051" w:rsidRDefault="00A443CF" w:rsidP="0021633A">
      <w:pPr>
        <w:pStyle w:val="HeadHatzaotHok"/>
        <w:rPr>
          <w:rtl/>
        </w:rPr>
      </w:pPr>
      <w:bookmarkStart w:id="7" w:name="LGS_Subject"/>
      <w:r>
        <w:rPr>
          <w:rFonts w:hint="cs"/>
          <w:rtl/>
        </w:rPr>
        <w:t xml:space="preserve">הצעת חוק התכנון והבנייה (תיקון – </w:t>
      </w:r>
      <w:bookmarkStart w:id="8" w:name="_GoBack"/>
      <w:r>
        <w:rPr>
          <w:rFonts w:hint="cs"/>
          <w:rtl/>
        </w:rPr>
        <w:t>סמכות ועדה מקומית לאשר הגדלת אחוזי בנייה בשטחים המיועדים לתעסוקה)</w:t>
      </w:r>
      <w:bookmarkEnd w:id="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התשע"ו</w:t>
      </w:r>
      <w:proofErr w:type="spellEnd"/>
      <w:r>
        <w:rPr>
          <w:rFonts w:hint="cs"/>
          <w:rtl/>
        </w:rPr>
        <w:t>–2016</w:t>
      </w:r>
      <w:bookmarkEnd w:id="7"/>
    </w:p>
    <w:p w14:paraId="7F6961AE" w14:textId="77777777" w:rsidR="00E13C27" w:rsidRDefault="00E13C27" w:rsidP="0021633A">
      <w:pPr>
        <w:pStyle w:val="HeadDivreiHesber"/>
        <w:spacing w:before="0" w:after="0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5898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161B9164" w:rsidR="002F1D80" w:rsidRPr="00485997" w:rsidRDefault="003526B7" w:rsidP="003526B7">
            <w:pPr>
              <w:pStyle w:val="TableSideHeading"/>
              <w:keepLines w:val="0"/>
              <w:rPr>
                <w:b/>
                <w:bCs/>
              </w:rPr>
            </w:pPr>
            <w:r>
              <w:rPr>
                <w:rFonts w:hint="cs"/>
                <w:sz w:val="26"/>
                <w:rtl/>
              </w:rPr>
              <w:t>תיקון</w:t>
            </w:r>
            <w:r>
              <w:rPr>
                <w:sz w:val="26"/>
                <w:rtl/>
              </w:rPr>
              <w:t xml:space="preserve"> </w:t>
            </w:r>
            <w:r w:rsidR="00485997">
              <w:rPr>
                <w:sz w:val="26"/>
                <w:rtl/>
              </w:rPr>
              <w:t xml:space="preserve">סעיף </w:t>
            </w:r>
            <w:r w:rsidR="00485997" w:rsidRPr="00662B1E">
              <w:rPr>
                <w:rFonts w:hint="cs"/>
                <w:sz w:val="26"/>
                <w:rtl/>
              </w:rPr>
              <w:t>62א</w:t>
            </w:r>
          </w:p>
        </w:tc>
        <w:tc>
          <w:tcPr>
            <w:tcW w:w="624" w:type="dxa"/>
          </w:tcPr>
          <w:p w14:paraId="6F513EF6" w14:textId="223AE943" w:rsidR="002F1D80" w:rsidRDefault="00485997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  <w:gridSpan w:val="3"/>
          </w:tcPr>
          <w:p w14:paraId="1AE94DEB" w14:textId="03EB9DFC" w:rsidR="002F1D80" w:rsidRPr="00C34DE2" w:rsidRDefault="00485997" w:rsidP="00272BC9">
            <w:pPr>
              <w:pStyle w:val="TableBlock"/>
            </w:pPr>
            <w:r w:rsidRPr="00485997">
              <w:rPr>
                <w:rtl/>
              </w:rPr>
              <w:t xml:space="preserve">בחוק </w:t>
            </w:r>
            <w:r w:rsidRPr="00485997">
              <w:rPr>
                <w:rFonts w:hint="cs"/>
                <w:rtl/>
              </w:rPr>
              <w:t>התכנון והבני</w:t>
            </w:r>
            <w:r w:rsidR="00F625A4">
              <w:rPr>
                <w:rFonts w:hint="cs"/>
                <w:rtl/>
              </w:rPr>
              <w:t>י</w:t>
            </w:r>
            <w:r w:rsidRPr="00485997">
              <w:rPr>
                <w:rFonts w:hint="cs"/>
                <w:rtl/>
              </w:rPr>
              <w:t>ה</w:t>
            </w:r>
            <w:r w:rsidRPr="00485997">
              <w:rPr>
                <w:rtl/>
              </w:rPr>
              <w:t xml:space="preserve">, </w:t>
            </w:r>
            <w:proofErr w:type="spellStart"/>
            <w:r w:rsidRPr="00485997">
              <w:rPr>
                <w:rtl/>
              </w:rPr>
              <w:t>התשכ"ה</w:t>
            </w:r>
            <w:proofErr w:type="spellEnd"/>
            <w:r w:rsidR="003526B7">
              <w:rPr>
                <w:rFonts w:hint="cs"/>
                <w:rtl/>
              </w:rPr>
              <w:t>–</w:t>
            </w:r>
            <w:r w:rsidRPr="00485997">
              <w:rPr>
                <w:rtl/>
              </w:rPr>
              <w:t>1965</w:t>
            </w:r>
            <w:r w:rsidR="00564B3B">
              <w:rPr>
                <w:rStyle w:val="a5"/>
                <w:rtl/>
              </w:rPr>
              <w:footnoteReference w:id="2"/>
            </w:r>
            <w:r w:rsidR="001C4D86">
              <w:rPr>
                <w:rFonts w:hint="cs"/>
                <w:rtl/>
              </w:rPr>
              <w:t xml:space="preserve">, בסעיף 62א </w:t>
            </w:r>
            <w:r w:rsidR="00272BC9">
              <w:rPr>
                <w:rFonts w:hint="eastAsia"/>
                <w:rtl/>
              </w:rPr>
              <w:t>–</w:t>
            </w:r>
          </w:p>
        </w:tc>
      </w:tr>
      <w:tr w:rsidR="00272BC9" w14:paraId="334CB30B" w14:textId="77777777" w:rsidTr="001A4A0A">
        <w:trPr>
          <w:cantSplit/>
          <w:trHeight w:val="60"/>
        </w:trPr>
        <w:tc>
          <w:tcPr>
            <w:tcW w:w="1871" w:type="dxa"/>
          </w:tcPr>
          <w:p w14:paraId="230C4844" w14:textId="77777777" w:rsidR="00272BC9" w:rsidRDefault="00272BC9">
            <w:pPr>
              <w:pStyle w:val="TableSideHeading"/>
            </w:pPr>
          </w:p>
        </w:tc>
        <w:tc>
          <w:tcPr>
            <w:tcW w:w="624" w:type="dxa"/>
          </w:tcPr>
          <w:p w14:paraId="293D1014" w14:textId="77777777" w:rsidR="00272BC9" w:rsidRDefault="00272BC9" w:rsidP="00993B8E">
            <w:pPr>
              <w:pStyle w:val="TableText"/>
            </w:pPr>
          </w:p>
        </w:tc>
        <w:tc>
          <w:tcPr>
            <w:tcW w:w="7146" w:type="dxa"/>
            <w:gridSpan w:val="3"/>
          </w:tcPr>
          <w:p w14:paraId="2B60954F" w14:textId="47CD2CCC" w:rsidR="00272BC9" w:rsidRDefault="00272BC9" w:rsidP="00272BC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(א), אחרי פסקה (19) </w:t>
            </w:r>
            <w:r w:rsidRPr="00485997">
              <w:rPr>
                <w:rtl/>
              </w:rPr>
              <w:t>יבוא</w:t>
            </w:r>
            <w:r>
              <w:rPr>
                <w:rFonts w:hint="cs"/>
                <w:rtl/>
              </w:rPr>
              <w:t>:</w:t>
            </w:r>
          </w:p>
        </w:tc>
      </w:tr>
      <w:tr w:rsidR="00424426" w14:paraId="0775D0B3" w14:textId="1038A57A" w:rsidTr="00424426">
        <w:trPr>
          <w:cantSplit/>
          <w:trHeight w:val="60"/>
        </w:trPr>
        <w:tc>
          <w:tcPr>
            <w:tcW w:w="1871" w:type="dxa"/>
          </w:tcPr>
          <w:p w14:paraId="54DC60A9" w14:textId="03F230F2" w:rsidR="00424426" w:rsidRDefault="00424426" w:rsidP="00424426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57521FE" w14:textId="77777777" w:rsidR="00424426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4D60F245" w14:textId="3E2E12F8" w:rsidR="00424426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2" w:type="dxa"/>
            <w:gridSpan w:val="2"/>
          </w:tcPr>
          <w:p w14:paraId="6830FDE1" w14:textId="54A78775" w:rsidR="00424426" w:rsidRDefault="00424426" w:rsidP="002A3027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"(20)</w:t>
            </w:r>
            <w:r>
              <w:rPr>
                <w:rtl/>
              </w:rPr>
              <w:tab/>
            </w:r>
            <w:r w:rsidRPr="00485997">
              <w:rPr>
                <w:rFonts w:hint="cs"/>
                <w:rtl/>
              </w:rPr>
              <w:t>הגדלת השטח הכולל המותר לבנייה במגרש שיועד לתעסוקה, בתכנית שאישרה הוועדה המחוזית, ובלבד שחלפו 3 שנים לפחות מיום תחילת התכנית ומתקיים המפורט להלן:</w:t>
            </w:r>
          </w:p>
        </w:tc>
      </w:tr>
      <w:tr w:rsidR="00424426" w14:paraId="0704C909" w14:textId="6D8CBB9D" w:rsidTr="00424426">
        <w:trPr>
          <w:cantSplit/>
          <w:trHeight w:val="60"/>
        </w:trPr>
        <w:tc>
          <w:tcPr>
            <w:tcW w:w="1871" w:type="dxa"/>
          </w:tcPr>
          <w:p w14:paraId="3B14292B" w14:textId="77777777" w:rsidR="00424426" w:rsidRDefault="00424426" w:rsidP="00424426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0F7C205B" w14:textId="77777777" w:rsidR="00424426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27F1EC59" w14:textId="234ADE18" w:rsidR="00424426" w:rsidRPr="00485997" w:rsidRDefault="00424426" w:rsidP="00424426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14:paraId="015872D1" w14:textId="18F99780" w:rsidR="00424426" w:rsidRPr="00192F90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8" w:type="dxa"/>
          </w:tcPr>
          <w:p w14:paraId="4B067065" w14:textId="4712CEA3" w:rsidR="00424426" w:rsidRPr="00192F90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  <w:r w:rsidRPr="00192F90">
              <w:rPr>
                <w:rFonts w:hint="cs"/>
                <w:sz w:val="26"/>
                <w:rtl/>
              </w:rPr>
              <w:t>(</w:t>
            </w:r>
            <w:r>
              <w:rPr>
                <w:rFonts w:hint="cs"/>
                <w:sz w:val="26"/>
                <w:rtl/>
              </w:rPr>
              <w:t>א</w:t>
            </w:r>
            <w:r w:rsidRPr="00192F90">
              <w:rPr>
                <w:rFonts w:hint="cs"/>
                <w:sz w:val="26"/>
                <w:rtl/>
              </w:rPr>
              <w:t>)</w:t>
            </w:r>
            <w:r w:rsidRPr="00192F90">
              <w:rPr>
                <w:rFonts w:hint="cs"/>
                <w:sz w:val="26"/>
                <w:rtl/>
              </w:rPr>
              <w:tab/>
              <w:t xml:space="preserve">השטח הכולל המותר לבנייה </w:t>
            </w:r>
            <w:r>
              <w:rPr>
                <w:rFonts w:hint="cs"/>
                <w:sz w:val="26"/>
                <w:rtl/>
              </w:rPr>
              <w:t>לתעסוקה ב</w:t>
            </w:r>
            <w:r w:rsidRPr="00192F90">
              <w:rPr>
                <w:rFonts w:hint="cs"/>
                <w:sz w:val="26"/>
                <w:rtl/>
              </w:rPr>
              <w:t xml:space="preserve">אותו מגרש לא יגדל ביותר מ-40% מהשטח </w:t>
            </w:r>
            <w:r>
              <w:rPr>
                <w:rFonts w:hint="cs"/>
                <w:sz w:val="26"/>
                <w:rtl/>
              </w:rPr>
              <w:t>הכולל המותר</w:t>
            </w:r>
            <w:r w:rsidRPr="00192F90">
              <w:rPr>
                <w:rFonts w:hint="cs"/>
                <w:sz w:val="26"/>
                <w:rtl/>
              </w:rPr>
              <w:t xml:space="preserve"> לבנייה</w:t>
            </w:r>
            <w:r>
              <w:rPr>
                <w:rFonts w:hint="cs"/>
                <w:sz w:val="26"/>
                <w:rtl/>
              </w:rPr>
              <w:t xml:space="preserve"> לתעסוקה במגרש;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24426" w14:paraId="770882E4" w14:textId="3805B0C2" w:rsidTr="00424426">
        <w:trPr>
          <w:cantSplit/>
          <w:trHeight w:val="60"/>
        </w:trPr>
        <w:tc>
          <w:tcPr>
            <w:tcW w:w="1871" w:type="dxa"/>
          </w:tcPr>
          <w:p w14:paraId="3AC9D6CE" w14:textId="77777777" w:rsidR="00424426" w:rsidRDefault="00424426" w:rsidP="00424426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C427B65" w14:textId="77777777" w:rsidR="00424426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4D84B45F" w14:textId="39A527BE" w:rsidR="00424426" w:rsidRPr="005038AA" w:rsidRDefault="00424426" w:rsidP="00424426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14:paraId="29C846CF" w14:textId="15CBA832" w:rsidR="00424426" w:rsidRPr="005038AA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8" w:type="dxa"/>
          </w:tcPr>
          <w:p w14:paraId="4D5AE4EF" w14:textId="37FDB49F" w:rsidR="00424426" w:rsidRPr="005038AA" w:rsidRDefault="00272BC9" w:rsidP="00424426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="00424426" w:rsidRPr="00485997">
              <w:rPr>
                <w:rFonts w:hint="cs"/>
                <w:rtl/>
              </w:rPr>
              <w:t>השטח הכולל המותר לבנייה במגרש, לאחר הגדלתו, לא יעלה על 350% משטח המגרש;</w:t>
            </w:r>
          </w:p>
        </w:tc>
      </w:tr>
      <w:tr w:rsidR="00424426" w14:paraId="1394A6BE" w14:textId="10833A6F" w:rsidTr="00424426">
        <w:trPr>
          <w:cantSplit/>
          <w:trHeight w:val="60"/>
        </w:trPr>
        <w:tc>
          <w:tcPr>
            <w:tcW w:w="1871" w:type="dxa"/>
          </w:tcPr>
          <w:p w14:paraId="27B849DD" w14:textId="77777777" w:rsidR="00424426" w:rsidRDefault="00424426" w:rsidP="00424426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63F67AB9" w14:textId="77777777" w:rsidR="00424426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01CF0A70" w14:textId="77777777" w:rsidR="00424426" w:rsidRPr="005038AA" w:rsidRDefault="00424426" w:rsidP="00424426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14:paraId="7ED02E7E" w14:textId="0163A2BC" w:rsidR="00424426" w:rsidRPr="00485997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8" w:type="dxa"/>
          </w:tcPr>
          <w:p w14:paraId="15657883" w14:textId="110E12B1" w:rsidR="00424426" w:rsidRPr="00485997" w:rsidRDefault="00424426" w:rsidP="002A3027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(ג)</w:t>
            </w:r>
            <w:r>
              <w:rPr>
                <w:rtl/>
              </w:rPr>
              <w:tab/>
            </w:r>
            <w:r w:rsidR="002A3027">
              <w:rPr>
                <w:rFonts w:hint="cs"/>
                <w:rtl/>
              </w:rPr>
              <w:t>לא ישונה היחס בין השימושים השונים במגרש לפי התכנית שאישרה הו</w:t>
            </w:r>
            <w:r w:rsidR="00272BC9">
              <w:rPr>
                <w:rFonts w:hint="cs"/>
                <w:rtl/>
              </w:rPr>
              <w:t>ו</w:t>
            </w:r>
            <w:r w:rsidR="002A3027">
              <w:rPr>
                <w:rFonts w:hint="cs"/>
                <w:rtl/>
              </w:rPr>
              <w:t>עדה המחוזי</w:t>
            </w:r>
            <w:r w:rsidR="00272BC9">
              <w:rPr>
                <w:rFonts w:hint="cs"/>
                <w:rtl/>
              </w:rPr>
              <w:t>ת</w:t>
            </w:r>
            <w:r w:rsidR="002A3027">
              <w:rPr>
                <w:rFonts w:hint="cs"/>
                <w:rtl/>
              </w:rPr>
              <w:t xml:space="preserve">. 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424426" w14:paraId="6816E120" w14:textId="178C236E" w:rsidTr="00424426">
        <w:trPr>
          <w:cantSplit/>
          <w:trHeight w:val="60"/>
        </w:trPr>
        <w:tc>
          <w:tcPr>
            <w:tcW w:w="1871" w:type="dxa"/>
          </w:tcPr>
          <w:p w14:paraId="5D411D73" w14:textId="77777777" w:rsidR="00424426" w:rsidRDefault="00424426" w:rsidP="00424426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613BADE" w14:textId="77777777" w:rsidR="00424426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5DF49450" w14:textId="77777777" w:rsidR="00424426" w:rsidRPr="005038AA" w:rsidRDefault="00424426" w:rsidP="00424426">
            <w:pPr>
              <w:pStyle w:val="TableBlock"/>
              <w:rPr>
                <w:rtl/>
              </w:rPr>
            </w:pPr>
          </w:p>
        </w:tc>
        <w:tc>
          <w:tcPr>
            <w:tcW w:w="624" w:type="dxa"/>
          </w:tcPr>
          <w:p w14:paraId="25DF5CB6" w14:textId="5664542A" w:rsidR="00424426" w:rsidRPr="00485997" w:rsidRDefault="00424426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5898" w:type="dxa"/>
          </w:tcPr>
          <w:p w14:paraId="76380228" w14:textId="22AB94AC" w:rsidR="00424426" w:rsidRPr="00485997" w:rsidRDefault="00424426" w:rsidP="0009697D">
            <w:pPr>
              <w:pStyle w:val="TableText"/>
              <w:ind w:right="0"/>
              <w:jc w:val="both"/>
              <w:rPr>
                <w:rtl/>
              </w:rPr>
            </w:pPr>
            <w:r>
              <w:rPr>
                <w:rFonts w:hint="cs"/>
                <w:rtl/>
              </w:rPr>
              <w:t>(ד)</w:t>
            </w:r>
            <w:r>
              <w:rPr>
                <w:rtl/>
              </w:rPr>
              <w:tab/>
            </w:r>
            <w:r w:rsidR="0009697D">
              <w:rPr>
                <w:rFonts w:hint="cs"/>
                <w:rtl/>
              </w:rPr>
              <w:t>בפסקה</w:t>
            </w:r>
            <w:r w:rsidR="009B7934">
              <w:rPr>
                <w:rFonts w:hint="cs"/>
                <w:rtl/>
              </w:rPr>
              <w:t xml:space="preserve"> ז</w:t>
            </w:r>
            <w:r w:rsidR="0009697D">
              <w:rPr>
                <w:rFonts w:hint="cs"/>
                <w:rtl/>
              </w:rPr>
              <w:t>ו</w:t>
            </w:r>
            <w:r w:rsidR="00272BC9">
              <w:rPr>
                <w:rFonts w:hint="cs"/>
                <w:rtl/>
              </w:rPr>
              <w:t xml:space="preserve">, </w:t>
            </w:r>
            <w:r w:rsidR="00272BC9" w:rsidRPr="00485997">
              <w:rPr>
                <w:rFonts w:hint="cs"/>
                <w:rtl/>
              </w:rPr>
              <w:t xml:space="preserve">"תעסוקה" </w:t>
            </w:r>
            <w:r w:rsidR="00272BC9" w:rsidRPr="00485997">
              <w:rPr>
                <w:rtl/>
              </w:rPr>
              <w:t>–</w:t>
            </w:r>
            <w:r w:rsidR="00272BC9" w:rsidRPr="00485997">
              <w:rPr>
                <w:rFonts w:hint="cs"/>
                <w:rtl/>
              </w:rPr>
              <w:t xml:space="preserve"> </w:t>
            </w:r>
            <w:r w:rsidR="00272BC9">
              <w:rPr>
                <w:rFonts w:hint="cs"/>
                <w:rtl/>
              </w:rPr>
              <w:t>אחד</w:t>
            </w:r>
            <w:r w:rsidR="00272BC9" w:rsidRPr="00485997">
              <w:rPr>
                <w:rFonts w:hint="cs"/>
                <w:rtl/>
              </w:rPr>
              <w:t xml:space="preserve"> משימושי קרקע אלה: תעשייה, תעשייה עתירת ידע, מלאכה, מסחר, משרדים ושירותים, למעט </w:t>
            </w:r>
            <w:r w:rsidR="00272BC9">
              <w:rPr>
                <w:rFonts w:hint="cs"/>
                <w:rtl/>
              </w:rPr>
              <w:t>שילוב מגורים עם שימושים אלו</w:t>
            </w:r>
            <w:r w:rsidR="00272BC9" w:rsidRPr="00485997">
              <w:rPr>
                <w:rFonts w:hint="cs"/>
                <w:rtl/>
              </w:rPr>
              <w:t xml:space="preserve">, וכן למעט </w:t>
            </w:r>
            <w:r w:rsidR="00272BC9">
              <w:rPr>
                <w:rFonts w:hint="cs"/>
                <w:rtl/>
              </w:rPr>
              <w:t>שימוש עיקרי במגרש למסחר.";</w:t>
            </w:r>
          </w:p>
        </w:tc>
      </w:tr>
      <w:tr w:rsidR="00272BC9" w14:paraId="52C5CC1D" w14:textId="647B6B01" w:rsidTr="009347D2">
        <w:trPr>
          <w:cantSplit/>
          <w:trHeight w:val="60"/>
        </w:trPr>
        <w:tc>
          <w:tcPr>
            <w:tcW w:w="1871" w:type="dxa"/>
          </w:tcPr>
          <w:p w14:paraId="56B1011C" w14:textId="797BDDB1" w:rsidR="00272BC9" w:rsidRDefault="00272BC9" w:rsidP="00424426">
            <w:pPr>
              <w:pStyle w:val="TableSideHeading"/>
              <w:ind w:right="0"/>
            </w:pPr>
          </w:p>
        </w:tc>
        <w:tc>
          <w:tcPr>
            <w:tcW w:w="624" w:type="dxa"/>
          </w:tcPr>
          <w:p w14:paraId="5F847B97" w14:textId="76DFFA1E" w:rsidR="00272BC9" w:rsidRDefault="00272BC9" w:rsidP="00424426">
            <w:pPr>
              <w:pStyle w:val="TableText"/>
              <w:ind w:right="0"/>
              <w:jc w:val="both"/>
            </w:pPr>
          </w:p>
        </w:tc>
        <w:tc>
          <w:tcPr>
            <w:tcW w:w="7146" w:type="dxa"/>
            <w:gridSpan w:val="3"/>
          </w:tcPr>
          <w:p w14:paraId="6DC4ECB0" w14:textId="38D015D3" w:rsidR="00272BC9" w:rsidRPr="00C34DE2" w:rsidRDefault="00272BC9" w:rsidP="00272BC9">
            <w:pPr>
              <w:pStyle w:val="TableBlock"/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בסעיף קטן (א1), בפסקה (3) </w:t>
            </w:r>
            <w:r>
              <w:rPr>
                <w:rtl/>
              </w:rPr>
              <w:t>–</w:t>
            </w:r>
          </w:p>
        </w:tc>
      </w:tr>
      <w:tr w:rsidR="00272BC9" w14:paraId="5C29EA7B" w14:textId="76007469" w:rsidTr="0024603B">
        <w:trPr>
          <w:cantSplit/>
          <w:trHeight w:val="60"/>
        </w:trPr>
        <w:tc>
          <w:tcPr>
            <w:tcW w:w="1871" w:type="dxa"/>
          </w:tcPr>
          <w:p w14:paraId="698EA1C6" w14:textId="74CE9C94" w:rsidR="00272BC9" w:rsidRDefault="00272BC9" w:rsidP="00424426">
            <w:pPr>
              <w:pStyle w:val="TableSideHeading"/>
              <w:ind w:right="0"/>
              <w:rPr>
                <w:rtl/>
              </w:rPr>
            </w:pPr>
          </w:p>
        </w:tc>
        <w:tc>
          <w:tcPr>
            <w:tcW w:w="624" w:type="dxa"/>
          </w:tcPr>
          <w:p w14:paraId="1FE11760" w14:textId="77777777" w:rsidR="00272BC9" w:rsidRDefault="00272BC9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194A8DAD" w14:textId="3ED5BEC1" w:rsidR="00272BC9" w:rsidRDefault="00272BC9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522" w:type="dxa"/>
            <w:gridSpan w:val="2"/>
          </w:tcPr>
          <w:p w14:paraId="0A7ECF31" w14:textId="4029ED3B" w:rsidR="00272BC9" w:rsidRDefault="00272BC9" w:rsidP="00272BC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</w:t>
            </w:r>
            <w:r>
              <w:rPr>
                <w:rtl/>
              </w:rPr>
              <w:tab/>
            </w:r>
            <w:r w:rsidRPr="00626FCD">
              <w:rPr>
                <w:rFonts w:hint="cs"/>
                <w:rtl/>
              </w:rPr>
              <w:t>בפסקה</w:t>
            </w:r>
            <w:r w:rsidRPr="00B42DE3">
              <w:rPr>
                <w:rFonts w:hint="cs"/>
                <w:rtl/>
              </w:rPr>
              <w:t xml:space="preserve"> (א)</w:t>
            </w:r>
            <w:r>
              <w:rPr>
                <w:rFonts w:hint="cs"/>
                <w:rtl/>
              </w:rPr>
              <w:t>,</w:t>
            </w:r>
            <w:r w:rsidRPr="00B42DE3">
              <w:rPr>
                <w:rFonts w:hint="cs"/>
                <w:rtl/>
              </w:rPr>
              <w:t xml:space="preserve"> במקום "40%" יבוא "60%"</w:t>
            </w:r>
            <w:r>
              <w:rPr>
                <w:rFonts w:hint="cs"/>
                <w:rtl/>
              </w:rPr>
              <w:t>;</w:t>
            </w:r>
          </w:p>
        </w:tc>
      </w:tr>
      <w:tr w:rsidR="00272BC9" w14:paraId="48E1B08F" w14:textId="2E9DD537" w:rsidTr="00FB1963">
        <w:trPr>
          <w:cantSplit/>
          <w:trHeight w:val="60"/>
        </w:trPr>
        <w:tc>
          <w:tcPr>
            <w:tcW w:w="1871" w:type="dxa"/>
          </w:tcPr>
          <w:p w14:paraId="6A037CA8" w14:textId="3F7F192F" w:rsidR="00272BC9" w:rsidRDefault="00272BC9" w:rsidP="00424426">
            <w:pPr>
              <w:pStyle w:val="TableSideHeading"/>
              <w:ind w:right="0"/>
              <w:rPr>
                <w:sz w:val="26"/>
                <w:rtl/>
              </w:rPr>
            </w:pPr>
          </w:p>
        </w:tc>
        <w:tc>
          <w:tcPr>
            <w:tcW w:w="624" w:type="dxa"/>
          </w:tcPr>
          <w:p w14:paraId="22D2356A" w14:textId="24FB72F4" w:rsidR="00272BC9" w:rsidRDefault="00272BC9" w:rsidP="00424426">
            <w:pPr>
              <w:pStyle w:val="TableText"/>
              <w:ind w:right="0"/>
              <w:jc w:val="both"/>
              <w:rPr>
                <w:rtl/>
              </w:rPr>
            </w:pPr>
          </w:p>
        </w:tc>
        <w:tc>
          <w:tcPr>
            <w:tcW w:w="624" w:type="dxa"/>
          </w:tcPr>
          <w:p w14:paraId="7557EB10" w14:textId="0284A07B" w:rsidR="00272BC9" w:rsidRPr="00485997" w:rsidRDefault="00272BC9" w:rsidP="00424426">
            <w:pPr>
              <w:pStyle w:val="TableBlock"/>
              <w:rPr>
                <w:rtl/>
              </w:rPr>
            </w:pPr>
          </w:p>
        </w:tc>
        <w:tc>
          <w:tcPr>
            <w:tcW w:w="6522" w:type="dxa"/>
            <w:gridSpan w:val="2"/>
          </w:tcPr>
          <w:p w14:paraId="78096962" w14:textId="16CC9771" w:rsidR="00272BC9" w:rsidRPr="00485997" w:rsidRDefault="00272BC9" w:rsidP="00272BC9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(ב)</w:t>
            </w:r>
            <w:r>
              <w:rPr>
                <w:rtl/>
              </w:rPr>
              <w:tab/>
            </w:r>
            <w:r w:rsidRPr="00B42DE3">
              <w:rPr>
                <w:rFonts w:hint="cs"/>
                <w:rtl/>
              </w:rPr>
              <w:t>בפסקה (ב)</w:t>
            </w:r>
            <w:r>
              <w:rPr>
                <w:rFonts w:hint="cs"/>
                <w:rtl/>
              </w:rPr>
              <w:t>,</w:t>
            </w:r>
            <w:r w:rsidRPr="00B42DE3">
              <w:rPr>
                <w:rFonts w:hint="cs"/>
                <w:rtl/>
              </w:rPr>
              <w:t xml:space="preserve"> במקום  "350%" יבוא "450%"</w:t>
            </w:r>
            <w:r>
              <w:rPr>
                <w:rFonts w:hint="cs"/>
                <w:rtl/>
              </w:rPr>
              <w:t>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7EB4501C" w14:textId="7F79AD0B" w:rsidR="00E54943" w:rsidRPr="00272BC9" w:rsidRDefault="0009469F" w:rsidP="00272BC9">
      <w:pPr>
        <w:pStyle w:val="Hesber"/>
        <w:rPr>
          <w:rtl/>
        </w:rPr>
      </w:pPr>
      <w:r w:rsidRPr="00272BC9">
        <w:rPr>
          <w:rFonts w:hint="cs"/>
          <w:rtl/>
        </w:rPr>
        <w:t xml:space="preserve">התעשייה הישראלית </w:t>
      </w:r>
      <w:r w:rsidR="0088200E" w:rsidRPr="00272BC9">
        <w:rPr>
          <w:rFonts w:hint="cs"/>
          <w:rtl/>
        </w:rPr>
        <w:t>היא</w:t>
      </w:r>
      <w:r w:rsidRPr="00272BC9">
        <w:rPr>
          <w:rFonts w:hint="cs"/>
          <w:rtl/>
        </w:rPr>
        <w:t xml:space="preserve"> אחד ממנועי הצמיחה המשמעותיים במשק, ומכאן החשיבות להבטיח כי התעשייה </w:t>
      </w:r>
      <w:r w:rsidR="0088200E" w:rsidRPr="00272BC9">
        <w:rPr>
          <w:rFonts w:hint="cs"/>
          <w:rtl/>
        </w:rPr>
        <w:t>תמשיך</w:t>
      </w:r>
      <w:r w:rsidRPr="00272BC9">
        <w:rPr>
          <w:rFonts w:hint="cs"/>
          <w:rtl/>
        </w:rPr>
        <w:t xml:space="preserve"> להתפתח ולהתרחב </w:t>
      </w:r>
      <w:r w:rsidR="0088200E" w:rsidRPr="00272BC9">
        <w:rPr>
          <w:rFonts w:hint="cs"/>
          <w:rtl/>
        </w:rPr>
        <w:t xml:space="preserve">באופן תדיר </w:t>
      </w:r>
      <w:r w:rsidRPr="00272BC9">
        <w:rPr>
          <w:rFonts w:hint="cs"/>
          <w:rtl/>
        </w:rPr>
        <w:t>בהתאם לדרישות ולצרכים המשתנים. אחד מהחסמים המונעים התאמתו של הענף למציאות המשתנה</w:t>
      </w:r>
      <w:r w:rsidR="00D66892" w:rsidRPr="00272BC9">
        <w:rPr>
          <w:rFonts w:hint="cs"/>
          <w:rtl/>
        </w:rPr>
        <w:t>,</w:t>
      </w:r>
      <w:r w:rsidRPr="00272BC9">
        <w:rPr>
          <w:rFonts w:hint="cs"/>
          <w:rtl/>
        </w:rPr>
        <w:t xml:space="preserve"> טמון בהליכי התכנון והבני</w:t>
      </w:r>
      <w:r w:rsidR="00272BC9">
        <w:rPr>
          <w:rFonts w:hint="cs"/>
          <w:rtl/>
        </w:rPr>
        <w:t>י</w:t>
      </w:r>
      <w:r w:rsidRPr="00272BC9">
        <w:rPr>
          <w:rFonts w:hint="cs"/>
          <w:rtl/>
        </w:rPr>
        <w:t>ה ובה</w:t>
      </w:r>
      <w:r w:rsidR="00272BC9">
        <w:rPr>
          <w:rFonts w:hint="cs"/>
          <w:rtl/>
        </w:rPr>
        <w:t>י</w:t>
      </w:r>
      <w:r w:rsidRPr="00272BC9">
        <w:rPr>
          <w:rFonts w:hint="cs"/>
          <w:rtl/>
        </w:rPr>
        <w:t xml:space="preserve">עדר סמכויות </w:t>
      </w:r>
      <w:r w:rsidR="004925BD" w:rsidRPr="00272BC9">
        <w:rPr>
          <w:rFonts w:hint="cs"/>
          <w:rtl/>
        </w:rPr>
        <w:t>ב</w:t>
      </w:r>
      <w:r w:rsidR="00272BC9">
        <w:rPr>
          <w:rFonts w:hint="cs"/>
          <w:rtl/>
        </w:rPr>
        <w:t>וועדות המקומיות לאשר ת</w:t>
      </w:r>
      <w:r w:rsidRPr="00272BC9">
        <w:rPr>
          <w:rFonts w:hint="cs"/>
          <w:rtl/>
        </w:rPr>
        <w:t>כניות שעיקרן הוספת זכויות בני</w:t>
      </w:r>
      <w:r w:rsidR="00272BC9">
        <w:rPr>
          <w:rFonts w:hint="cs"/>
          <w:rtl/>
        </w:rPr>
        <w:t>יה על אלו הקיימות לפי הת</w:t>
      </w:r>
      <w:r w:rsidRPr="00272BC9">
        <w:rPr>
          <w:rFonts w:hint="cs"/>
          <w:rtl/>
        </w:rPr>
        <w:t xml:space="preserve">כנית החלה. סמכות </w:t>
      </w:r>
      <w:r w:rsidR="004925BD" w:rsidRPr="00272BC9">
        <w:rPr>
          <w:rFonts w:hint="cs"/>
          <w:rtl/>
        </w:rPr>
        <w:t>כ</w:t>
      </w:r>
      <w:r w:rsidRPr="00272BC9">
        <w:rPr>
          <w:rFonts w:hint="cs"/>
          <w:rtl/>
        </w:rPr>
        <w:t xml:space="preserve">זו יכולה לסייע בהרחבת מפעלים קיימים ובנייתם של חדשים. </w:t>
      </w:r>
    </w:p>
    <w:p w14:paraId="0B9A211F" w14:textId="4DBA4C06" w:rsidR="0009469F" w:rsidRPr="009B57D9" w:rsidRDefault="0009469F" w:rsidP="00272BC9">
      <w:pPr>
        <w:pStyle w:val="Hesber"/>
        <w:rPr>
          <w:rtl/>
        </w:rPr>
      </w:pPr>
      <w:r w:rsidRPr="009B57D9">
        <w:rPr>
          <w:rFonts w:hint="cs"/>
          <w:rtl/>
        </w:rPr>
        <w:t>על אף שתיקון 101 לחוק התכנון והבני</w:t>
      </w:r>
      <w:r w:rsidR="00272BC9">
        <w:rPr>
          <w:rFonts w:hint="cs"/>
          <w:rtl/>
        </w:rPr>
        <w:t>י</w:t>
      </w:r>
      <w:r w:rsidRPr="009B57D9">
        <w:rPr>
          <w:rFonts w:hint="cs"/>
          <w:rtl/>
        </w:rPr>
        <w:t xml:space="preserve">ה העניק מקצת סמכויות אלו לוועדות המקומיות, הן ניתנו רק לוועדות </w:t>
      </w:r>
      <w:r w:rsidR="004C444D" w:rsidRPr="009B57D9">
        <w:rPr>
          <w:rFonts w:hint="cs"/>
          <w:rtl/>
        </w:rPr>
        <w:t>מקומיות</w:t>
      </w:r>
      <w:r w:rsidRPr="009B57D9">
        <w:rPr>
          <w:rFonts w:hint="cs"/>
          <w:rtl/>
        </w:rPr>
        <w:t xml:space="preserve"> עצמאיות (כהגדרתן בחוק התכנון והבני</w:t>
      </w:r>
      <w:r w:rsidR="00272BC9">
        <w:rPr>
          <w:rFonts w:hint="cs"/>
          <w:rtl/>
        </w:rPr>
        <w:t>י</w:t>
      </w:r>
      <w:r w:rsidRPr="009B57D9">
        <w:rPr>
          <w:rFonts w:hint="cs"/>
          <w:rtl/>
        </w:rPr>
        <w:t xml:space="preserve">ה), ותחת מגבלות שונות, כפי שניתן לראות בסעיף 62א(א1)(3) לחוק בנוסחו כיום. </w:t>
      </w:r>
      <w:r w:rsidR="00272BC9">
        <w:rPr>
          <w:rFonts w:hint="cs"/>
          <w:rtl/>
        </w:rPr>
        <w:t>היות ש</w:t>
      </w:r>
      <w:r w:rsidRPr="009B57D9">
        <w:rPr>
          <w:rFonts w:hint="cs"/>
          <w:rtl/>
        </w:rPr>
        <w:t xml:space="preserve">הליך הסמכתן של ועדות </w:t>
      </w:r>
      <w:r w:rsidR="004C444D" w:rsidRPr="009B57D9">
        <w:rPr>
          <w:rFonts w:hint="cs"/>
          <w:rtl/>
        </w:rPr>
        <w:t xml:space="preserve">מקומיות </w:t>
      </w:r>
      <w:r w:rsidRPr="009B57D9">
        <w:rPr>
          <w:rFonts w:hint="cs"/>
          <w:rtl/>
        </w:rPr>
        <w:t>עצמאיות ה</w:t>
      </w:r>
      <w:r w:rsidR="00272BC9">
        <w:rPr>
          <w:rFonts w:hint="cs"/>
          <w:rtl/>
        </w:rPr>
        <w:t>וא</w:t>
      </w:r>
      <w:r w:rsidRPr="009B57D9">
        <w:rPr>
          <w:rFonts w:hint="cs"/>
          <w:rtl/>
        </w:rPr>
        <w:t xml:space="preserve"> הליך ארוך ומורכב</w:t>
      </w:r>
      <w:r w:rsidR="00272BC9">
        <w:rPr>
          <w:rFonts w:hint="cs"/>
          <w:rtl/>
        </w:rPr>
        <w:t>,</w:t>
      </w:r>
      <w:r w:rsidRPr="009B57D9">
        <w:rPr>
          <w:rFonts w:hint="cs"/>
          <w:rtl/>
        </w:rPr>
        <w:t xml:space="preserve"> לא ניתן למעשה כיום לעשות שימוש נרחב בסמכות זו.  </w:t>
      </w:r>
    </w:p>
    <w:p w14:paraId="089688F5" w14:textId="09CDD727" w:rsidR="0009469F" w:rsidRPr="009B57D9" w:rsidRDefault="0009469F" w:rsidP="009B57D9">
      <w:pPr>
        <w:pStyle w:val="Hesber"/>
        <w:rPr>
          <w:rtl/>
        </w:rPr>
      </w:pPr>
      <w:r w:rsidRPr="009B57D9">
        <w:rPr>
          <w:rFonts w:hint="cs"/>
          <w:rtl/>
        </w:rPr>
        <w:t xml:space="preserve">לפיכך, מוצע להעניק לוועדה מקומית </w:t>
      </w:r>
      <w:r w:rsidR="004C444D" w:rsidRPr="009B57D9">
        <w:rPr>
          <w:rFonts w:hint="cs"/>
          <w:rtl/>
        </w:rPr>
        <w:t>שאינה ועדה מקומית עצמאית</w:t>
      </w:r>
      <w:r w:rsidR="00272BC9">
        <w:rPr>
          <w:rFonts w:hint="cs"/>
          <w:rtl/>
        </w:rPr>
        <w:t>, סמכויות לאשר ת</w:t>
      </w:r>
      <w:r w:rsidRPr="009B57D9">
        <w:rPr>
          <w:rFonts w:hint="cs"/>
          <w:rtl/>
        </w:rPr>
        <w:t>כניות שעיקרן הגדלת אחוזי בני</w:t>
      </w:r>
      <w:r w:rsidR="00272BC9">
        <w:rPr>
          <w:rFonts w:hint="cs"/>
          <w:rtl/>
        </w:rPr>
        <w:t>יה, בשטחים המיועדים כבר, לפי הת</w:t>
      </w:r>
      <w:r w:rsidRPr="009B57D9">
        <w:rPr>
          <w:rFonts w:hint="cs"/>
          <w:rtl/>
        </w:rPr>
        <w:t xml:space="preserve">כנית החלה, </w:t>
      </w:r>
      <w:r w:rsidR="00CC3A82" w:rsidRPr="009B57D9">
        <w:rPr>
          <w:rFonts w:hint="cs"/>
          <w:rtl/>
        </w:rPr>
        <w:t>ל</w:t>
      </w:r>
      <w:r w:rsidRPr="009B57D9">
        <w:rPr>
          <w:rFonts w:hint="cs"/>
          <w:rtl/>
        </w:rPr>
        <w:t>תעסוקה, על מנת לאפשר לוועדות המקומיות גמישות ומתן מענה מהיר ויעיל לצ</w:t>
      </w:r>
      <w:r w:rsidR="00272BC9">
        <w:rPr>
          <w:rFonts w:hint="cs"/>
          <w:rtl/>
        </w:rPr>
        <w:t>ו</w:t>
      </w:r>
      <w:r w:rsidRPr="009B57D9">
        <w:rPr>
          <w:rFonts w:hint="cs"/>
          <w:rtl/>
        </w:rPr>
        <w:t xml:space="preserve">רכי התעסוקה המשתנים בתחומן, </w:t>
      </w:r>
      <w:r w:rsidRPr="009B57D9">
        <w:rPr>
          <w:rFonts w:hint="eastAsia"/>
          <w:rtl/>
        </w:rPr>
        <w:t>תוך</w:t>
      </w:r>
      <w:r w:rsidRPr="009B57D9">
        <w:rPr>
          <w:rtl/>
        </w:rPr>
        <w:t xml:space="preserve"> </w:t>
      </w:r>
      <w:r w:rsidRPr="009B57D9">
        <w:rPr>
          <w:rFonts w:hint="eastAsia"/>
          <w:rtl/>
        </w:rPr>
        <w:t>צמצום</w:t>
      </w:r>
      <w:r w:rsidRPr="009B57D9">
        <w:rPr>
          <w:rtl/>
        </w:rPr>
        <w:t xml:space="preserve"> </w:t>
      </w:r>
      <w:r w:rsidRPr="009B57D9">
        <w:rPr>
          <w:rFonts w:hint="eastAsia"/>
          <w:rtl/>
        </w:rPr>
        <w:t>ההגבלות</w:t>
      </w:r>
      <w:r w:rsidRPr="009B57D9">
        <w:rPr>
          <w:rtl/>
        </w:rPr>
        <w:t xml:space="preserve"> </w:t>
      </w:r>
      <w:r w:rsidRPr="009B57D9">
        <w:rPr>
          <w:rFonts w:hint="eastAsia"/>
          <w:rtl/>
        </w:rPr>
        <w:t>השונות</w:t>
      </w:r>
      <w:r w:rsidRPr="009B57D9">
        <w:rPr>
          <w:rtl/>
        </w:rPr>
        <w:t xml:space="preserve"> </w:t>
      </w:r>
      <w:r w:rsidRPr="009B57D9">
        <w:rPr>
          <w:rFonts w:hint="eastAsia"/>
          <w:rtl/>
        </w:rPr>
        <w:t>כפי</w:t>
      </w:r>
      <w:r w:rsidRPr="009B57D9">
        <w:rPr>
          <w:rtl/>
        </w:rPr>
        <w:t xml:space="preserve"> </w:t>
      </w:r>
      <w:r w:rsidRPr="009B57D9">
        <w:rPr>
          <w:rFonts w:hint="eastAsia"/>
          <w:rtl/>
        </w:rPr>
        <w:t>שמופיעות</w:t>
      </w:r>
      <w:r w:rsidRPr="009B57D9">
        <w:rPr>
          <w:rtl/>
        </w:rPr>
        <w:t xml:space="preserve"> </w:t>
      </w:r>
      <w:r w:rsidRPr="009B57D9">
        <w:rPr>
          <w:rFonts w:hint="eastAsia"/>
          <w:rtl/>
        </w:rPr>
        <w:t>בנוסח</w:t>
      </w:r>
      <w:r w:rsidRPr="009B57D9">
        <w:rPr>
          <w:rtl/>
        </w:rPr>
        <w:t xml:space="preserve"> </w:t>
      </w:r>
      <w:r w:rsidRPr="009B57D9">
        <w:rPr>
          <w:rFonts w:hint="eastAsia"/>
          <w:rtl/>
        </w:rPr>
        <w:t>סעיף</w:t>
      </w:r>
      <w:r w:rsidRPr="009B57D9">
        <w:rPr>
          <w:rtl/>
        </w:rPr>
        <w:t xml:space="preserve"> 62א(א1)(3)</w:t>
      </w:r>
      <w:r w:rsidRPr="009B57D9">
        <w:rPr>
          <w:rFonts w:hint="cs"/>
          <w:rtl/>
        </w:rPr>
        <w:t xml:space="preserve"> כיום.</w:t>
      </w:r>
    </w:p>
    <w:p w14:paraId="1210D255" w14:textId="38C39AE1" w:rsidR="0009469F" w:rsidRPr="009B57D9" w:rsidRDefault="0009469F" w:rsidP="009B57D9">
      <w:pPr>
        <w:pStyle w:val="Hesber"/>
        <w:rPr>
          <w:rtl/>
        </w:rPr>
      </w:pPr>
      <w:r w:rsidRPr="009B57D9">
        <w:rPr>
          <w:rFonts w:hint="cs"/>
          <w:rtl/>
        </w:rPr>
        <w:t>נציין</w:t>
      </w:r>
      <w:r w:rsidR="00CC3A82" w:rsidRPr="009B57D9">
        <w:rPr>
          <w:rFonts w:hint="cs"/>
          <w:rtl/>
        </w:rPr>
        <w:t>,</w:t>
      </w:r>
      <w:r w:rsidRPr="009B57D9">
        <w:rPr>
          <w:rFonts w:hint="cs"/>
          <w:rtl/>
        </w:rPr>
        <w:t xml:space="preserve"> כי על מנת שלא להרחיב יתר על המידה את סמכויות הוועדות המקומיות "הרגילות", ובהתאם למוצע לעיל, צומצמה הסמכות להרחבת זכויות הבני</w:t>
      </w:r>
      <w:r w:rsidR="00272BC9">
        <w:rPr>
          <w:rFonts w:hint="cs"/>
          <w:rtl/>
        </w:rPr>
        <w:t>י</w:t>
      </w:r>
      <w:r w:rsidRPr="009B57D9">
        <w:rPr>
          <w:rFonts w:hint="cs"/>
          <w:rtl/>
        </w:rPr>
        <w:t xml:space="preserve">ה רק לאזור המיועד לתעסוקה כהגדרתו בסעיף, ולא לאזור המיועד למלונאות, כפי שקיים כיום במסגרת הסמכויות של ועדות </w:t>
      </w:r>
      <w:r w:rsidR="00CC3A82" w:rsidRPr="009B57D9">
        <w:rPr>
          <w:rFonts w:hint="cs"/>
          <w:rtl/>
        </w:rPr>
        <w:t xml:space="preserve">מקומיות </w:t>
      </w:r>
      <w:r w:rsidRPr="009B57D9">
        <w:rPr>
          <w:rFonts w:hint="cs"/>
          <w:rtl/>
        </w:rPr>
        <w:t>עצמאיות.</w:t>
      </w:r>
    </w:p>
    <w:p w14:paraId="2A61CA9E" w14:textId="13F0C2DE" w:rsidR="0009469F" w:rsidRDefault="0009469F" w:rsidP="009B57D9">
      <w:pPr>
        <w:pStyle w:val="Hesber"/>
        <w:rPr>
          <w:rtl/>
        </w:rPr>
      </w:pPr>
      <w:r w:rsidRPr="009B57D9">
        <w:rPr>
          <w:rFonts w:hint="cs"/>
          <w:rtl/>
        </w:rPr>
        <w:t xml:space="preserve">בנוסף מוצע להרחיב את סמכות הוועדות </w:t>
      </w:r>
      <w:r w:rsidR="00335FF1" w:rsidRPr="009B57D9">
        <w:rPr>
          <w:rFonts w:hint="cs"/>
          <w:rtl/>
        </w:rPr>
        <w:t xml:space="preserve">המקומיות </w:t>
      </w:r>
      <w:r w:rsidRPr="009B57D9">
        <w:rPr>
          <w:rFonts w:hint="cs"/>
          <w:rtl/>
        </w:rPr>
        <w:t>העצמאיות להגדיל את השטחים המותרים לבני</w:t>
      </w:r>
      <w:r w:rsidR="00F625A4">
        <w:rPr>
          <w:rFonts w:hint="cs"/>
          <w:rtl/>
        </w:rPr>
        <w:t>י</w:t>
      </w:r>
      <w:r w:rsidRPr="009B57D9">
        <w:rPr>
          <w:rFonts w:hint="cs"/>
          <w:rtl/>
        </w:rPr>
        <w:t>ה ואחוזי הבני</w:t>
      </w:r>
      <w:r w:rsidR="00272BC9">
        <w:rPr>
          <w:rFonts w:hint="cs"/>
          <w:rtl/>
        </w:rPr>
        <w:t>י</w:t>
      </w:r>
      <w:r w:rsidRPr="009B57D9">
        <w:rPr>
          <w:rFonts w:hint="cs"/>
          <w:rtl/>
        </w:rPr>
        <w:t>ה, על מנת לאפשר לו</w:t>
      </w:r>
      <w:r w:rsidR="00335FF1" w:rsidRPr="009B57D9">
        <w:rPr>
          <w:rFonts w:hint="cs"/>
          <w:rtl/>
        </w:rPr>
        <w:t>ו</w:t>
      </w:r>
      <w:r w:rsidR="00272BC9">
        <w:rPr>
          <w:rFonts w:hint="cs"/>
          <w:rtl/>
        </w:rPr>
        <w:t>עדות אלו</w:t>
      </w:r>
      <w:r w:rsidRPr="009B57D9">
        <w:rPr>
          <w:rFonts w:hint="cs"/>
          <w:rtl/>
        </w:rPr>
        <w:t xml:space="preserve"> ל</w:t>
      </w:r>
      <w:r w:rsidR="00335FF1" w:rsidRPr="009B57D9">
        <w:rPr>
          <w:rFonts w:hint="cs"/>
          <w:rtl/>
        </w:rPr>
        <w:t>תת</w:t>
      </w:r>
      <w:r w:rsidRPr="009B57D9">
        <w:rPr>
          <w:rFonts w:hint="cs"/>
          <w:rtl/>
        </w:rPr>
        <w:t xml:space="preserve"> מענה רחב יותר לצ</w:t>
      </w:r>
      <w:r w:rsidR="00272BC9">
        <w:rPr>
          <w:rFonts w:hint="cs"/>
          <w:rtl/>
        </w:rPr>
        <w:t>ו</w:t>
      </w:r>
      <w:r w:rsidRPr="009B57D9">
        <w:rPr>
          <w:rFonts w:hint="cs"/>
          <w:rtl/>
        </w:rPr>
        <w:t>רכי התעסוקה בתחום שיפוטן.</w:t>
      </w:r>
    </w:p>
    <w:p w14:paraId="36FEE392" w14:textId="20651175" w:rsidR="00272BC9" w:rsidRDefault="00272BC9" w:rsidP="009B57D9">
      <w:pPr>
        <w:pStyle w:val="Hesber"/>
        <w:rPr>
          <w:rtl/>
        </w:rPr>
      </w:pPr>
    </w:p>
    <w:p w14:paraId="353F0C4D" w14:textId="77777777" w:rsidR="00272BC9" w:rsidRPr="00557D2C" w:rsidRDefault="00272BC9" w:rsidP="00272BC9">
      <w:pPr>
        <w:pStyle w:val="Hesber"/>
        <w:rPr>
          <w:rtl/>
        </w:rPr>
      </w:pPr>
      <w:r w:rsidRPr="00557D2C">
        <w:rPr>
          <w:rtl/>
        </w:rPr>
        <w:t>---------------------------------</w:t>
      </w:r>
    </w:p>
    <w:p w14:paraId="4EC7B851" w14:textId="77777777" w:rsidR="00272BC9" w:rsidRPr="00557D2C" w:rsidRDefault="00272BC9" w:rsidP="00272BC9">
      <w:pPr>
        <w:pStyle w:val="Hesber"/>
        <w:rPr>
          <w:rtl/>
        </w:rPr>
      </w:pPr>
      <w:r w:rsidRPr="00557D2C">
        <w:rPr>
          <w:rtl/>
        </w:rPr>
        <w:t>הוגשה ליו"ר הכנסת והסגנים</w:t>
      </w:r>
    </w:p>
    <w:p w14:paraId="5EF6ED2A" w14:textId="77777777" w:rsidR="00272BC9" w:rsidRPr="00557D2C" w:rsidRDefault="00272BC9" w:rsidP="00272BC9">
      <w:pPr>
        <w:pStyle w:val="Hesber"/>
        <w:rPr>
          <w:rtl/>
        </w:rPr>
      </w:pPr>
      <w:r w:rsidRPr="00557D2C">
        <w:rPr>
          <w:rtl/>
        </w:rPr>
        <w:t>והונחה על שולחן הכנסת ביום</w:t>
      </w:r>
    </w:p>
    <w:p w14:paraId="41F55A1F" w14:textId="77777777" w:rsidR="00272BC9" w:rsidRPr="007D273A" w:rsidRDefault="00272BC9" w:rsidP="00272BC9">
      <w:pPr>
        <w:pStyle w:val="Hesber"/>
        <w:rPr>
          <w:rtl/>
        </w:rPr>
      </w:pPr>
      <w:r>
        <w:rPr>
          <w:rFonts w:hint="cs"/>
          <w:rtl/>
        </w:rPr>
        <w:t xml:space="preserve">כ' באדר ב' </w:t>
      </w:r>
      <w:proofErr w:type="spellStart"/>
      <w:r>
        <w:rPr>
          <w:rFonts w:hint="cs"/>
          <w:rtl/>
        </w:rPr>
        <w:t>התשע"ו</w:t>
      </w:r>
      <w:proofErr w:type="spellEnd"/>
      <w:r w:rsidRPr="00557D2C">
        <w:rPr>
          <w:rFonts w:hint="cs"/>
          <w:rtl/>
        </w:rPr>
        <w:t xml:space="preserve"> </w:t>
      </w:r>
      <w:r w:rsidRPr="00557D2C">
        <w:rPr>
          <w:rtl/>
        </w:rPr>
        <w:t>–</w:t>
      </w:r>
      <w:r>
        <w:rPr>
          <w:rFonts w:hint="cs"/>
          <w:rtl/>
        </w:rPr>
        <w:t xml:space="preserve"> 30.3.16</w:t>
      </w:r>
    </w:p>
    <w:p w14:paraId="31ABA1A5" w14:textId="77777777" w:rsidR="00272BC9" w:rsidRPr="009B57D9" w:rsidRDefault="00272BC9" w:rsidP="009B57D9">
      <w:pPr>
        <w:pStyle w:val="Hesber"/>
        <w:rPr>
          <w:rtl/>
        </w:rPr>
      </w:pPr>
    </w:p>
    <w:p w14:paraId="7F6961CB" w14:textId="77777777" w:rsidR="00E13C27" w:rsidRPr="009B57D9" w:rsidRDefault="00E13C27" w:rsidP="009B57D9">
      <w:pPr>
        <w:pStyle w:val="Hesber"/>
        <w:rPr>
          <w:rtl/>
        </w:rPr>
      </w:pPr>
    </w:p>
    <w:sectPr w:rsidR="00E13C27" w:rsidRPr="009B57D9" w:rsidSect="001207F8">
      <w:footerReference w:type="even" r:id="rId11"/>
      <w:footerReference w:type="default" r:id="rId12"/>
      <w:pgSz w:w="11907" w:h="16840" w:code="9"/>
      <w:pgMar w:top="1134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13FFEE" w14:textId="77777777" w:rsidR="00E42DF0" w:rsidRDefault="00E42DF0">
      <w:r>
        <w:separator/>
      </w:r>
    </w:p>
  </w:endnote>
  <w:endnote w:type="continuationSeparator" w:id="0">
    <w:p w14:paraId="6E7CCD2A" w14:textId="77777777" w:rsidR="00E42DF0" w:rsidRDefault="00E42DF0">
      <w:r>
        <w:continuationSeparator/>
      </w:r>
    </w:p>
  </w:endnote>
  <w:endnote w:type="continuationNotice" w:id="1">
    <w:p w14:paraId="2398E033" w14:textId="77777777" w:rsidR="00E42DF0" w:rsidRDefault="00E42DF0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22072E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7260065" w14:textId="77777777" w:rsidR="00E42DF0" w:rsidRDefault="00E42DF0">
      <w:r>
        <w:separator/>
      </w:r>
    </w:p>
  </w:footnote>
  <w:footnote w:type="continuationSeparator" w:id="0">
    <w:p w14:paraId="423710DE" w14:textId="77777777" w:rsidR="00E42DF0" w:rsidRDefault="00E42DF0">
      <w:r>
        <w:continuationSeparator/>
      </w:r>
    </w:p>
  </w:footnote>
  <w:footnote w:type="continuationNotice" w:id="1">
    <w:p w14:paraId="695CCC30" w14:textId="77777777" w:rsidR="00E42DF0" w:rsidRDefault="00E42DF0"/>
  </w:footnote>
  <w:footnote w:id="2">
    <w:p w14:paraId="751B5C78" w14:textId="0056198C" w:rsidR="00564B3B" w:rsidRDefault="00564B3B" w:rsidP="00272BC9">
      <w:pPr>
        <w:pStyle w:val="a4"/>
        <w:rPr>
          <w:rtl/>
        </w:rPr>
      </w:pPr>
      <w:r>
        <w:rPr>
          <w:rStyle w:val="a5"/>
        </w:rPr>
        <w:footnoteRef/>
      </w:r>
      <w:r>
        <w:rPr>
          <w:rtl/>
        </w:rPr>
        <w:t xml:space="preserve"> </w:t>
      </w:r>
      <w:r w:rsidR="001C4D86" w:rsidRPr="001C4D86">
        <w:rPr>
          <w:rtl/>
        </w:rPr>
        <w:t xml:space="preserve">ס"ח </w:t>
      </w:r>
      <w:proofErr w:type="spellStart"/>
      <w:r w:rsidR="001C4D86">
        <w:rPr>
          <w:rFonts w:hint="cs"/>
          <w:rtl/>
        </w:rPr>
        <w:t>ה</w:t>
      </w:r>
      <w:r w:rsidR="001C4D86" w:rsidRPr="001C4D86">
        <w:rPr>
          <w:rtl/>
        </w:rPr>
        <w:t>תשכ"ה</w:t>
      </w:r>
      <w:proofErr w:type="spellEnd"/>
      <w:r w:rsidR="001C4D86">
        <w:rPr>
          <w:rFonts w:hint="cs"/>
          <w:rtl/>
        </w:rPr>
        <w:t>,</w:t>
      </w:r>
      <w:r w:rsidR="001C4D86" w:rsidRPr="001C4D86">
        <w:rPr>
          <w:rtl/>
        </w:rPr>
        <w:t xml:space="preserve"> </w:t>
      </w:r>
      <w:r w:rsidR="001C4D86">
        <w:rPr>
          <w:rFonts w:hint="cs"/>
          <w:rtl/>
        </w:rPr>
        <w:t>עמ</w:t>
      </w:r>
      <w:r w:rsidR="001C4D86" w:rsidRPr="001C4D86">
        <w:rPr>
          <w:rtl/>
        </w:rPr>
        <w:t xml:space="preserve">' </w:t>
      </w:r>
      <w:r w:rsidR="00272BC9">
        <w:rPr>
          <w:rFonts w:hint="cs"/>
          <w:rtl/>
        </w:rPr>
        <w:t>307</w:t>
      </w:r>
      <w:r w:rsidR="001C4D86">
        <w:rPr>
          <w:rFonts w:hint="cs"/>
          <w:rtl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D14ECB"/>
    <w:multiLevelType w:val="hybridMultilevel"/>
    <w:tmpl w:val="94B44BB6"/>
    <w:lvl w:ilvl="0" w:tplc="E4ECE0FA">
      <w:start w:val="1"/>
      <w:numFmt w:val="decimal"/>
      <w:lvlText w:val="%1."/>
      <w:lvlJc w:val="left"/>
      <w:pPr>
        <w:ind w:left="360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1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2"/>
  </w:num>
  <w:num w:numId="12">
    <w:abstractNumId w:val="13"/>
  </w:num>
  <w:num w:numId="13">
    <w:abstractNumId w:val="11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15B27"/>
    <w:rsid w:val="0004226F"/>
    <w:rsid w:val="00063A3E"/>
    <w:rsid w:val="00072CAC"/>
    <w:rsid w:val="0007681A"/>
    <w:rsid w:val="0009469F"/>
    <w:rsid w:val="0009697D"/>
    <w:rsid w:val="000A542E"/>
    <w:rsid w:val="000A78FA"/>
    <w:rsid w:val="00102B6B"/>
    <w:rsid w:val="001052D4"/>
    <w:rsid w:val="0010644B"/>
    <w:rsid w:val="001172C8"/>
    <w:rsid w:val="001207F8"/>
    <w:rsid w:val="00121924"/>
    <w:rsid w:val="001279A8"/>
    <w:rsid w:val="0014195F"/>
    <w:rsid w:val="00152609"/>
    <w:rsid w:val="00153E1B"/>
    <w:rsid w:val="00190903"/>
    <w:rsid w:val="00192F90"/>
    <w:rsid w:val="001A0623"/>
    <w:rsid w:val="001C23B0"/>
    <w:rsid w:val="001C4D86"/>
    <w:rsid w:val="001C510E"/>
    <w:rsid w:val="001D7AAF"/>
    <w:rsid w:val="00203A7F"/>
    <w:rsid w:val="0021633A"/>
    <w:rsid w:val="002200A1"/>
    <w:rsid w:val="0022072E"/>
    <w:rsid w:val="002362BF"/>
    <w:rsid w:val="00241B97"/>
    <w:rsid w:val="00242205"/>
    <w:rsid w:val="002425D1"/>
    <w:rsid w:val="00246756"/>
    <w:rsid w:val="00251E58"/>
    <w:rsid w:val="00254605"/>
    <w:rsid w:val="00266D86"/>
    <w:rsid w:val="002728B4"/>
    <w:rsid w:val="00272BC9"/>
    <w:rsid w:val="0027600C"/>
    <w:rsid w:val="00292712"/>
    <w:rsid w:val="002A3027"/>
    <w:rsid w:val="002A487D"/>
    <w:rsid w:val="002C2E29"/>
    <w:rsid w:val="002C3041"/>
    <w:rsid w:val="002D1EE3"/>
    <w:rsid w:val="002F1D80"/>
    <w:rsid w:val="003232A2"/>
    <w:rsid w:val="00325C14"/>
    <w:rsid w:val="00335FF1"/>
    <w:rsid w:val="003526B7"/>
    <w:rsid w:val="0036422C"/>
    <w:rsid w:val="003710F6"/>
    <w:rsid w:val="00386E88"/>
    <w:rsid w:val="00396585"/>
    <w:rsid w:val="003D6E38"/>
    <w:rsid w:val="003D74A0"/>
    <w:rsid w:val="004033D8"/>
    <w:rsid w:val="004073F0"/>
    <w:rsid w:val="00412A7D"/>
    <w:rsid w:val="00416B4D"/>
    <w:rsid w:val="00417CFC"/>
    <w:rsid w:val="00424426"/>
    <w:rsid w:val="00480DA9"/>
    <w:rsid w:val="00485997"/>
    <w:rsid w:val="004925BD"/>
    <w:rsid w:val="004A06DC"/>
    <w:rsid w:val="004B24ED"/>
    <w:rsid w:val="004B6625"/>
    <w:rsid w:val="004C444D"/>
    <w:rsid w:val="004C46E8"/>
    <w:rsid w:val="004D2D82"/>
    <w:rsid w:val="004D3876"/>
    <w:rsid w:val="004D7D40"/>
    <w:rsid w:val="004E4552"/>
    <w:rsid w:val="004E6CDF"/>
    <w:rsid w:val="005038AA"/>
    <w:rsid w:val="005358EF"/>
    <w:rsid w:val="00553C9D"/>
    <w:rsid w:val="00562A66"/>
    <w:rsid w:val="00564B3B"/>
    <w:rsid w:val="005B064E"/>
    <w:rsid w:val="005D51AE"/>
    <w:rsid w:val="0062674B"/>
    <w:rsid w:val="00626FCD"/>
    <w:rsid w:val="006363B2"/>
    <w:rsid w:val="00644940"/>
    <w:rsid w:val="00674D62"/>
    <w:rsid w:val="006818A9"/>
    <w:rsid w:val="006A2D81"/>
    <w:rsid w:val="006C1D0D"/>
    <w:rsid w:val="006E1601"/>
    <w:rsid w:val="0070601E"/>
    <w:rsid w:val="00712C72"/>
    <w:rsid w:val="00735FE9"/>
    <w:rsid w:val="00745A4F"/>
    <w:rsid w:val="00763CAA"/>
    <w:rsid w:val="00765F66"/>
    <w:rsid w:val="0078664F"/>
    <w:rsid w:val="007C3FA6"/>
    <w:rsid w:val="007D585A"/>
    <w:rsid w:val="007D5A12"/>
    <w:rsid w:val="007E59F9"/>
    <w:rsid w:val="00810BCD"/>
    <w:rsid w:val="00812C98"/>
    <w:rsid w:val="00814D92"/>
    <w:rsid w:val="0083181D"/>
    <w:rsid w:val="00843EB2"/>
    <w:rsid w:val="00865572"/>
    <w:rsid w:val="00874BBC"/>
    <w:rsid w:val="0088200E"/>
    <w:rsid w:val="00892135"/>
    <w:rsid w:val="00895449"/>
    <w:rsid w:val="00897879"/>
    <w:rsid w:val="008A6870"/>
    <w:rsid w:val="008B2FBF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93B8E"/>
    <w:rsid w:val="009A0DB8"/>
    <w:rsid w:val="009A7257"/>
    <w:rsid w:val="009B57D9"/>
    <w:rsid w:val="009B7934"/>
    <w:rsid w:val="009D6E0A"/>
    <w:rsid w:val="009E1E33"/>
    <w:rsid w:val="00A14672"/>
    <w:rsid w:val="00A26BD6"/>
    <w:rsid w:val="00A34C60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42DE3"/>
    <w:rsid w:val="00B733A7"/>
    <w:rsid w:val="00B75C91"/>
    <w:rsid w:val="00B975AD"/>
    <w:rsid w:val="00BC2F04"/>
    <w:rsid w:val="00BC45FB"/>
    <w:rsid w:val="00BF148D"/>
    <w:rsid w:val="00C23B1A"/>
    <w:rsid w:val="00C310EB"/>
    <w:rsid w:val="00C9176A"/>
    <w:rsid w:val="00C93C13"/>
    <w:rsid w:val="00C966D7"/>
    <w:rsid w:val="00CC3A82"/>
    <w:rsid w:val="00CF1AA2"/>
    <w:rsid w:val="00D17774"/>
    <w:rsid w:val="00D63620"/>
    <w:rsid w:val="00D66892"/>
    <w:rsid w:val="00D8410D"/>
    <w:rsid w:val="00D867D7"/>
    <w:rsid w:val="00DB7060"/>
    <w:rsid w:val="00DE3153"/>
    <w:rsid w:val="00E06736"/>
    <w:rsid w:val="00E13C27"/>
    <w:rsid w:val="00E33BBD"/>
    <w:rsid w:val="00E374F2"/>
    <w:rsid w:val="00E42DF0"/>
    <w:rsid w:val="00E45103"/>
    <w:rsid w:val="00E54943"/>
    <w:rsid w:val="00E55A60"/>
    <w:rsid w:val="00E62778"/>
    <w:rsid w:val="00E63D38"/>
    <w:rsid w:val="00E665B9"/>
    <w:rsid w:val="00EA01E6"/>
    <w:rsid w:val="00EA3DE8"/>
    <w:rsid w:val="00EA758F"/>
    <w:rsid w:val="00ED4A6F"/>
    <w:rsid w:val="00EF3A3A"/>
    <w:rsid w:val="00F47AAD"/>
    <w:rsid w:val="00F625A4"/>
    <w:rsid w:val="00F628D6"/>
    <w:rsid w:val="00F67051"/>
    <w:rsid w:val="00F86A1E"/>
    <w:rsid w:val="00FA5E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873EE44F-490E-4A31-8D0E-935DD6F36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autoRedefine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5">
    <w:name w:val="footnote reference"/>
    <w:basedOn w:val="a0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6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7">
    <w:name w:val="header"/>
    <w:aliases w:val="hd,index"/>
    <w:basedOn w:val="a"/>
    <w:link w:val="a8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8">
    <w:name w:val="כותרת עליונה תו"/>
    <w:aliases w:val="hd תו,index תו"/>
    <w:basedOn w:val="a0"/>
    <w:link w:val="a7"/>
    <w:rsid w:val="0009469F"/>
    <w:rPr>
      <w:rFonts w:ascii="Hadasa Roso SL" w:hAnsi="Hadasa Roso SL" w:cs="Hadasa Roso SL"/>
      <w:color w:val="000000"/>
      <w:spacing w:val="1"/>
      <w:sz w:val="17"/>
      <w:szCs w:val="17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7A83D5-C315-4804-86F3-EBBE8C75E9E4}"/>
</file>

<file path=customXml/itemProps2.xml><?xml version="1.0" encoding="utf-8"?>
<ds:datastoreItem xmlns:ds="http://schemas.openxmlformats.org/officeDocument/2006/customXml" ds:itemID="{88F4AFE3-9455-419C-8851-785A55F4451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F243E25-85B8-43B4-8F1A-C3422F050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2366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2834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שוש אזולאי</cp:lastModifiedBy>
  <cp:revision>2</cp:revision>
  <cp:lastPrinted>2017-11-28T09:54:00Z</cp:lastPrinted>
  <dcterms:created xsi:type="dcterms:W3CDTF">2017-11-28T09:55:00Z</dcterms:created>
  <dcterms:modified xsi:type="dcterms:W3CDTF">2017-11-28T09:55:00Z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2024064</vt:r8>
  </property>
</Properties>
</file>