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913D0D" w14:textId="09D50204" w:rsidR="000C0CFC" w:rsidRPr="006F743A" w:rsidRDefault="006F3F84" w:rsidP="00F31749">
      <w:pPr>
        <w:bidi w:val="0"/>
        <w:ind w:right="1276"/>
        <w:rPr>
          <w:rFonts w:ascii="David" w:hAnsi="David" w:cs="David"/>
          <w:color w:val="000000"/>
          <w:sz w:val="22"/>
          <w:szCs w:val="22"/>
          <w:shd w:val="clear" w:color="auto" w:fill="FFFFFF"/>
        </w:rPr>
      </w:pPr>
      <w:r>
        <w:rPr>
          <w:rFonts w:ascii="David" w:hAnsi="David" w:cs="David" w:hint="cs"/>
          <w:color w:val="000000"/>
          <w:sz w:val="22"/>
          <w:szCs w:val="22"/>
          <w:shd w:val="clear" w:color="auto" w:fill="FFFFFF"/>
          <w:rtl/>
        </w:rPr>
        <w:t>דצמבר</w:t>
      </w:r>
      <w:r w:rsidR="000C0CFC" w:rsidRPr="006F743A">
        <w:rPr>
          <w:rFonts w:ascii="David" w:hAnsi="David" w:cs="David" w:hint="cs"/>
          <w:color w:val="000000"/>
          <w:sz w:val="22"/>
          <w:szCs w:val="22"/>
          <w:shd w:val="clear" w:color="auto" w:fill="FFFFFF"/>
          <w:rtl/>
        </w:rPr>
        <w:t xml:space="preserve"> 2017 </w:t>
      </w:r>
    </w:p>
    <w:p w14:paraId="52DFD352" w14:textId="77777777" w:rsidR="000C0CFC" w:rsidRPr="00976EC6" w:rsidRDefault="000C0CFC" w:rsidP="000C0CFC">
      <w:pPr>
        <w:spacing w:after="240" w:line="360" w:lineRule="auto"/>
        <w:ind w:left="1502" w:right="1276"/>
        <w:jc w:val="center"/>
        <w:rPr>
          <w:rFonts w:ascii="David" w:hAnsi="David" w:cs="David"/>
          <w:b/>
          <w:bCs/>
          <w:color w:val="000000"/>
          <w:szCs w:val="24"/>
          <w:u w:val="single"/>
          <w:shd w:val="clear" w:color="auto" w:fill="FFFFFF"/>
          <w:rtl/>
        </w:rPr>
      </w:pPr>
      <w:r w:rsidRPr="00976EC6">
        <w:rPr>
          <w:rFonts w:ascii="David" w:hAnsi="David" w:cs="David" w:hint="cs"/>
          <w:b/>
          <w:bCs/>
          <w:color w:val="000000"/>
          <w:szCs w:val="24"/>
          <w:u w:val="single"/>
          <w:shd w:val="clear" w:color="auto" w:fill="FFFFFF"/>
          <w:rtl/>
        </w:rPr>
        <w:t xml:space="preserve">נייר עמדה </w:t>
      </w:r>
      <w:r w:rsidRPr="00976EC6">
        <w:rPr>
          <w:rFonts w:ascii="David" w:hAnsi="David" w:cs="David"/>
          <w:b/>
          <w:bCs/>
          <w:color w:val="000000"/>
          <w:szCs w:val="24"/>
          <w:u w:val="single"/>
          <w:shd w:val="clear" w:color="auto" w:fill="FFFFFF"/>
          <w:rtl/>
        </w:rPr>
        <w:t>–</w:t>
      </w:r>
      <w:r w:rsidRPr="00976EC6">
        <w:rPr>
          <w:rFonts w:ascii="David" w:hAnsi="David" w:cs="David" w:hint="cs"/>
          <w:b/>
          <w:bCs/>
          <w:color w:val="000000"/>
          <w:szCs w:val="24"/>
          <w:u w:val="single"/>
          <w:shd w:val="clear" w:color="auto" w:fill="FFFFFF"/>
          <w:rtl/>
        </w:rPr>
        <w:t xml:space="preserve"> מועדוני חשפנות</w:t>
      </w:r>
    </w:p>
    <w:p w14:paraId="6FBAC215" w14:textId="77777777" w:rsidR="000C0CFC" w:rsidRDefault="000C0CFC" w:rsidP="008115A3">
      <w:pPr>
        <w:spacing w:after="240" w:line="360" w:lineRule="auto"/>
        <w:ind w:left="720" w:right="1276"/>
        <w:jc w:val="both"/>
        <w:rPr>
          <w:rFonts w:ascii="David" w:hAnsi="David" w:cs="David"/>
          <w:color w:val="000000"/>
          <w:szCs w:val="24"/>
          <w:shd w:val="clear" w:color="auto" w:fill="FFFFFF"/>
          <w:rtl/>
        </w:rPr>
      </w:pPr>
      <w:r w:rsidRPr="00FD37C6">
        <w:rPr>
          <w:rFonts w:ascii="David" w:hAnsi="David" w:cs="David"/>
          <w:color w:val="000000"/>
          <w:szCs w:val="24"/>
          <w:shd w:val="clear" w:color="auto" w:fill="FFFFFF"/>
          <w:rtl/>
        </w:rPr>
        <w:t>"</w:t>
      </w:r>
      <w:r w:rsidRPr="00FD37C6">
        <w:rPr>
          <w:rFonts w:ascii="David" w:hAnsi="David" w:cs="David"/>
          <w:b/>
          <w:bCs/>
          <w:color w:val="000000"/>
          <w:szCs w:val="24"/>
          <w:shd w:val="clear" w:color="auto" w:fill="FFFFFF"/>
          <w:rtl/>
        </w:rPr>
        <w:t xml:space="preserve">חשפנות היא כמו טיזר </w:t>
      </w:r>
      <w:bookmarkStart w:id="0" w:name="_ETM_Q1_827102"/>
      <w:bookmarkEnd w:id="0"/>
      <w:r w:rsidRPr="00FD37C6">
        <w:rPr>
          <w:rFonts w:ascii="David" w:hAnsi="David" w:cs="David"/>
          <w:b/>
          <w:bCs/>
          <w:color w:val="000000"/>
          <w:szCs w:val="24"/>
          <w:shd w:val="clear" w:color="auto" w:fill="FFFFFF"/>
          <w:rtl/>
        </w:rPr>
        <w:t>או פרסום לזנות. כי מי שהרקדנית מוצאת חן בעיני</w:t>
      </w:r>
      <w:bookmarkStart w:id="1" w:name="_ETM_Q1_830108"/>
      <w:bookmarkEnd w:id="1"/>
      <w:r w:rsidRPr="00FD37C6">
        <w:rPr>
          <w:rFonts w:ascii="David" w:hAnsi="David" w:cs="David"/>
          <w:b/>
          <w:bCs/>
          <w:color w:val="000000"/>
          <w:szCs w:val="24"/>
          <w:shd w:val="clear" w:color="auto" w:fill="FFFFFF"/>
          <w:rtl/>
        </w:rPr>
        <w:t xml:space="preserve">ו לוקח אותה לחדר פרטי ומקבל שם שירות מיני. את </w:t>
      </w:r>
      <w:bookmarkStart w:id="2" w:name="_ETM_Q1_833653"/>
      <w:bookmarkEnd w:id="2"/>
      <w:r w:rsidRPr="00FD37C6">
        <w:rPr>
          <w:rFonts w:ascii="David" w:hAnsi="David" w:cs="David"/>
          <w:b/>
          <w:bCs/>
          <w:color w:val="000000"/>
          <w:szCs w:val="24"/>
          <w:shd w:val="clear" w:color="auto" w:fill="FFFFFF"/>
          <w:rtl/>
        </w:rPr>
        <w:t>מרגישה כמו בחנות, כאילו על כל אחת תו מחיר. מי שרקדנית יותר טובה, תו המחיר כמובן יותר גבוה</w:t>
      </w:r>
      <w:r w:rsidRPr="00FD37C6">
        <w:rPr>
          <w:rFonts w:ascii="David" w:hAnsi="David" w:cs="David"/>
          <w:color w:val="000000"/>
          <w:szCs w:val="24"/>
          <w:shd w:val="clear" w:color="auto" w:fill="FFFFFF"/>
          <w:rtl/>
        </w:rPr>
        <w:t>".</w:t>
      </w:r>
      <w:bookmarkStart w:id="3" w:name="_GoBack"/>
      <w:bookmarkEnd w:id="3"/>
    </w:p>
    <w:p w14:paraId="6AB4A2E7" w14:textId="77777777" w:rsidR="000C0CFC" w:rsidRPr="00B24636" w:rsidRDefault="000C0CFC" w:rsidP="008115A3">
      <w:pPr>
        <w:spacing w:after="240" w:line="360" w:lineRule="auto"/>
        <w:ind w:left="720" w:right="1276"/>
        <w:jc w:val="both"/>
        <w:rPr>
          <w:rFonts w:ascii="David" w:hAnsi="David" w:cs="David"/>
          <w:color w:val="000000"/>
          <w:szCs w:val="24"/>
          <w:shd w:val="clear" w:color="auto" w:fill="FFFFFF"/>
        </w:rPr>
      </w:pPr>
      <w:r w:rsidRPr="00B24636">
        <w:rPr>
          <w:rFonts w:ascii="David" w:hAnsi="David" w:cs="David"/>
          <w:szCs w:val="24"/>
          <w:rtl/>
        </w:rPr>
        <w:t xml:space="preserve">(מתוך עדותה של מ', שורדת זנות, שעדותה הובאה בדיון הוועדה לקידום מעמד האישה בראשותה של ח"כ </w:t>
      </w:r>
      <w:proofErr w:type="spellStart"/>
      <w:r w:rsidRPr="00B24636">
        <w:rPr>
          <w:rFonts w:ascii="David" w:hAnsi="David" w:cs="David"/>
          <w:szCs w:val="24"/>
          <w:rtl/>
        </w:rPr>
        <w:t>עאידה</w:t>
      </w:r>
      <w:proofErr w:type="spellEnd"/>
      <w:r w:rsidRPr="00B24636">
        <w:rPr>
          <w:rFonts w:ascii="David" w:hAnsi="David" w:cs="David"/>
          <w:szCs w:val="24"/>
          <w:rtl/>
        </w:rPr>
        <w:t xml:space="preserve"> תומה </w:t>
      </w:r>
      <w:proofErr w:type="spellStart"/>
      <w:r w:rsidRPr="00B24636">
        <w:rPr>
          <w:rFonts w:ascii="David" w:hAnsi="David" w:cs="David"/>
          <w:szCs w:val="24"/>
          <w:rtl/>
        </w:rPr>
        <w:t>סלימאן</w:t>
      </w:r>
      <w:proofErr w:type="spellEnd"/>
      <w:r w:rsidRPr="00B24636">
        <w:rPr>
          <w:rFonts w:ascii="David" w:hAnsi="David" w:cs="David"/>
          <w:szCs w:val="24"/>
          <w:rtl/>
        </w:rPr>
        <w:t xml:space="preserve"> ביום 4.11.2015).</w:t>
      </w:r>
    </w:p>
    <w:p w14:paraId="2EDA5AC0" w14:textId="77777777" w:rsidR="000C0CFC" w:rsidRDefault="000C0CFC" w:rsidP="006F3F84">
      <w:pPr>
        <w:spacing w:after="240" w:line="360" w:lineRule="auto"/>
        <w:ind w:right="-284"/>
        <w:jc w:val="both"/>
        <w:rPr>
          <w:rFonts w:ascii="David" w:hAnsi="David" w:cs="David"/>
          <w:szCs w:val="24"/>
        </w:rPr>
      </w:pPr>
      <w:r>
        <w:rPr>
          <w:rFonts w:ascii="David" w:hAnsi="David" w:cs="David" w:hint="cs"/>
          <w:szCs w:val="24"/>
          <w:rtl/>
        </w:rPr>
        <w:t xml:space="preserve">עבור צעירות רבות, מועדוני החשפנות משמשים שער הכניסה לעולם הזנות. בריקודי </w:t>
      </w:r>
      <w:proofErr w:type="spellStart"/>
      <w:r>
        <w:rPr>
          <w:rFonts w:ascii="David" w:hAnsi="David" w:cs="David" w:hint="cs"/>
          <w:szCs w:val="24"/>
          <w:rtl/>
        </w:rPr>
        <w:t>הלאפ</w:t>
      </w:r>
      <w:proofErr w:type="spellEnd"/>
      <w:r>
        <w:rPr>
          <w:rFonts w:ascii="David" w:hAnsi="David" w:cs="David" w:hint="cs"/>
          <w:szCs w:val="24"/>
          <w:rtl/>
        </w:rPr>
        <w:t xml:space="preserve">-דאנס על ברכי הלקוחות, בחדרים האחוריים, או במוקדים נוספים בתוך מועדון החשפנות, נדרשות אותן צעירות לספק את צרכיהם ודרישותיהם המיניות של הלקוחות, לאפשר להם לגעת באיברי גופן, ולהינתק מעצמן ומתודעתן, מתחושותיהן ומרגשותיהן באשר לנעשה בגופן.  </w:t>
      </w:r>
    </w:p>
    <w:p w14:paraId="09D841A2" w14:textId="77777777" w:rsidR="000C0CFC" w:rsidRPr="006F743A" w:rsidRDefault="000C0CFC" w:rsidP="006F3F84">
      <w:pPr>
        <w:spacing w:after="240" w:line="360" w:lineRule="auto"/>
        <w:ind w:right="-284"/>
        <w:jc w:val="both"/>
        <w:rPr>
          <w:rFonts w:ascii="David" w:hAnsi="David" w:cs="David"/>
          <w:szCs w:val="24"/>
          <w:rtl/>
        </w:rPr>
      </w:pPr>
      <w:r>
        <w:rPr>
          <w:rFonts w:ascii="David" w:hAnsi="David" w:cs="David" w:hint="cs"/>
          <w:szCs w:val="24"/>
          <w:rtl/>
        </w:rPr>
        <w:t xml:space="preserve">מועדוני החשפנות פועלים לרוב ברישיון עסק מאת הרשות המקומית </w:t>
      </w:r>
      <w:r>
        <w:rPr>
          <w:rFonts w:ascii="David" w:hAnsi="David" w:cs="David"/>
          <w:szCs w:val="24"/>
          <w:rtl/>
        </w:rPr>
        <w:t>–</w:t>
      </w:r>
      <w:r>
        <w:rPr>
          <w:rFonts w:ascii="David" w:hAnsi="David" w:cs="David" w:hint="cs"/>
          <w:szCs w:val="24"/>
          <w:rtl/>
        </w:rPr>
        <w:t xml:space="preserve"> לעתים תחת הגדרה של "הופעות אמן/זמר (עד </w:t>
      </w:r>
      <w:proofErr w:type="spellStart"/>
      <w:r>
        <w:rPr>
          <w:rFonts w:ascii="David" w:hAnsi="David" w:cs="David" w:hint="cs"/>
          <w:szCs w:val="24"/>
          <w:rtl/>
        </w:rPr>
        <w:t>רביעיה</w:t>
      </w:r>
      <w:proofErr w:type="spellEnd"/>
      <w:r>
        <w:rPr>
          <w:rFonts w:ascii="David" w:hAnsi="David" w:cs="David" w:hint="cs"/>
          <w:szCs w:val="24"/>
          <w:rtl/>
        </w:rPr>
        <w:t>) בבית אוכל (מועדון חשפנות)</w:t>
      </w:r>
      <w:r w:rsidR="00646B4D">
        <w:rPr>
          <w:rFonts w:ascii="David" w:hAnsi="David" w:cs="David" w:hint="cs"/>
          <w:szCs w:val="24"/>
          <w:rtl/>
        </w:rPr>
        <w:t>"</w:t>
      </w:r>
      <w:r>
        <w:rPr>
          <w:rFonts w:ascii="David" w:hAnsi="David" w:cs="David" w:hint="cs"/>
          <w:szCs w:val="24"/>
          <w:rtl/>
        </w:rPr>
        <w:t>.</w:t>
      </w:r>
      <w:r w:rsidR="00314933">
        <w:rPr>
          <w:rFonts w:ascii="David" w:hAnsi="David" w:cs="David" w:hint="cs"/>
          <w:szCs w:val="24"/>
          <w:rtl/>
        </w:rPr>
        <w:t xml:space="preserve"> החשפנות הינה חוקית במדינת ישראל, אולם פעמים רבות היא משמשת מסווה לפעילות אחרת. מכאן, שיש </w:t>
      </w:r>
      <w:r>
        <w:rPr>
          <w:rFonts w:ascii="David" w:hAnsi="David" w:cs="David" w:hint="cs"/>
          <w:szCs w:val="24"/>
          <w:rtl/>
        </w:rPr>
        <w:t>צורך להפריד בין שני חלקי</w:t>
      </w:r>
      <w:r w:rsidR="00314933">
        <w:rPr>
          <w:rFonts w:ascii="David" w:hAnsi="David" w:cs="David" w:hint="cs"/>
          <w:szCs w:val="24"/>
          <w:rtl/>
        </w:rPr>
        <w:t>ם</w:t>
      </w:r>
      <w:r>
        <w:rPr>
          <w:rFonts w:ascii="David" w:hAnsi="David" w:cs="David" w:hint="cs"/>
          <w:szCs w:val="24"/>
          <w:rtl/>
        </w:rPr>
        <w:t xml:space="preserve"> </w:t>
      </w:r>
      <w:r w:rsidR="00314933">
        <w:rPr>
          <w:rFonts w:ascii="David" w:hAnsi="David" w:cs="David" w:hint="cs"/>
          <w:szCs w:val="24"/>
          <w:rtl/>
        </w:rPr>
        <w:t>ל</w:t>
      </w:r>
      <w:r>
        <w:rPr>
          <w:rFonts w:ascii="David" w:hAnsi="David" w:cs="David" w:hint="cs"/>
          <w:szCs w:val="24"/>
          <w:rtl/>
        </w:rPr>
        <w:t xml:space="preserve">דיון: </w:t>
      </w:r>
    </w:p>
    <w:p w14:paraId="485A9B13" w14:textId="2FC511A6" w:rsidR="008115A3" w:rsidRDefault="00314933" w:rsidP="006F3F84">
      <w:pPr>
        <w:spacing w:after="240" w:line="360" w:lineRule="auto"/>
        <w:ind w:right="-284"/>
        <w:jc w:val="both"/>
        <w:rPr>
          <w:rFonts w:ascii="David" w:hAnsi="David" w:cs="David"/>
          <w:szCs w:val="24"/>
          <w:rtl/>
        </w:rPr>
      </w:pPr>
      <w:r w:rsidRPr="00A72840">
        <w:rPr>
          <w:rFonts w:ascii="David" w:hAnsi="David" w:cs="David" w:hint="cs"/>
          <w:szCs w:val="24"/>
          <w:rtl/>
        </w:rPr>
        <w:t xml:space="preserve">1. </w:t>
      </w:r>
      <w:r w:rsidR="008115A3" w:rsidRPr="00A72840">
        <w:rPr>
          <w:rFonts w:ascii="David" w:hAnsi="David" w:cs="David" w:hint="cs"/>
          <w:szCs w:val="24"/>
          <w:u w:val="single"/>
          <w:rtl/>
        </w:rPr>
        <w:t xml:space="preserve">מועדוני חשפנות </w:t>
      </w:r>
      <w:r w:rsidR="000C0CFC" w:rsidRPr="00A72840">
        <w:rPr>
          <w:rFonts w:ascii="David" w:hAnsi="David" w:cs="David" w:hint="cs"/>
          <w:szCs w:val="24"/>
          <w:u w:val="single"/>
          <w:rtl/>
        </w:rPr>
        <w:t>המשמשים כסות לבתי בושת</w:t>
      </w:r>
      <w:r w:rsidR="000C0CFC">
        <w:rPr>
          <w:rFonts w:ascii="David" w:hAnsi="David" w:cs="David" w:hint="cs"/>
          <w:szCs w:val="24"/>
          <w:rtl/>
        </w:rPr>
        <w:t>, בהם מתקיימים אקטים מיניים</w:t>
      </w:r>
      <w:r w:rsidR="00646B4D">
        <w:rPr>
          <w:rFonts w:ascii="David" w:hAnsi="David" w:cs="David" w:hint="cs"/>
          <w:szCs w:val="24"/>
          <w:rtl/>
        </w:rPr>
        <w:t xml:space="preserve"> </w:t>
      </w:r>
      <w:r w:rsidR="000C0CFC">
        <w:rPr>
          <w:rFonts w:ascii="David" w:hAnsi="David" w:cs="David" w:hint="cs"/>
          <w:szCs w:val="24"/>
          <w:rtl/>
        </w:rPr>
        <w:t xml:space="preserve">- מלאים או חלקיים </w:t>
      </w:r>
      <w:r w:rsidR="000C0CFC">
        <w:rPr>
          <w:rFonts w:ascii="David" w:hAnsi="David" w:cs="David" w:hint="cs"/>
          <w:szCs w:val="24"/>
          <w:rtl/>
        </w:rPr>
        <w:t>בין הלקוחות לבין הנשים, בחסות, בעידוד ובתמיכת בעלי המועדון המרוויחים מכך את הונם.</w:t>
      </w:r>
      <w:r>
        <w:rPr>
          <w:rFonts w:ascii="David" w:hAnsi="David" w:cs="David" w:hint="cs"/>
          <w:szCs w:val="24"/>
          <w:rtl/>
        </w:rPr>
        <w:t xml:space="preserve"> </w:t>
      </w:r>
    </w:p>
    <w:p w14:paraId="56FBFCB8" w14:textId="77777777" w:rsidR="00314933" w:rsidRDefault="00314933" w:rsidP="006F3F84">
      <w:pPr>
        <w:spacing w:after="240" w:line="360" w:lineRule="auto"/>
        <w:ind w:right="-284"/>
        <w:jc w:val="both"/>
        <w:rPr>
          <w:rFonts w:ascii="David" w:hAnsi="David" w:cs="David"/>
          <w:szCs w:val="24"/>
        </w:rPr>
      </w:pPr>
      <w:r>
        <w:rPr>
          <w:rFonts w:ascii="David" w:hAnsi="David" w:cs="David" w:hint="cs"/>
          <w:szCs w:val="24"/>
          <w:rtl/>
        </w:rPr>
        <w:t>נגד מקומות אלה נדרשת המשטרה לפעול</w:t>
      </w:r>
      <w:r w:rsidR="00575E48">
        <w:rPr>
          <w:rFonts w:ascii="David" w:hAnsi="David" w:cs="David" w:hint="cs"/>
          <w:szCs w:val="24"/>
          <w:rtl/>
        </w:rPr>
        <w:t xml:space="preserve"> ברמה הפלילית</w:t>
      </w:r>
      <w:r>
        <w:rPr>
          <w:rFonts w:ascii="David" w:hAnsi="David" w:cs="David" w:hint="cs"/>
          <w:szCs w:val="24"/>
          <w:rtl/>
        </w:rPr>
        <w:t xml:space="preserve"> שכן הם עוברים </w:t>
      </w:r>
      <w:r w:rsidR="00575E48">
        <w:rPr>
          <w:rFonts w:ascii="David" w:hAnsi="David" w:cs="David" w:hint="cs"/>
          <w:szCs w:val="24"/>
          <w:rtl/>
        </w:rPr>
        <w:t>בין היתר על עבירות</w:t>
      </w:r>
      <w:r w:rsidRPr="00205B03">
        <w:rPr>
          <w:rFonts w:ascii="David" w:hAnsi="David" w:cs="David" w:hint="cs"/>
          <w:szCs w:val="24"/>
          <w:rtl/>
        </w:rPr>
        <w:t xml:space="preserve"> סרסרות למעשי זנות (199 לחוק העונשין, תשל"ז-1977 (להלן</w:t>
      </w:r>
      <w:r>
        <w:rPr>
          <w:rFonts w:ascii="David" w:hAnsi="David" w:cs="David" w:hint="cs"/>
          <w:szCs w:val="24"/>
          <w:rtl/>
        </w:rPr>
        <w:t>:</w:t>
      </w:r>
      <w:r w:rsidRPr="00205B03">
        <w:rPr>
          <w:rFonts w:ascii="David" w:hAnsi="David" w:cs="David" w:hint="cs"/>
          <w:szCs w:val="24"/>
          <w:rtl/>
        </w:rPr>
        <w:t xml:space="preserve"> </w:t>
      </w:r>
      <w:r>
        <w:rPr>
          <w:rFonts w:ascii="David" w:hAnsi="David" w:cs="David" w:hint="cs"/>
          <w:szCs w:val="24"/>
          <w:rtl/>
        </w:rPr>
        <w:t>"</w:t>
      </w:r>
      <w:r w:rsidRPr="00205B03">
        <w:rPr>
          <w:rFonts w:ascii="David" w:hAnsi="David" w:cs="David" w:hint="cs"/>
          <w:b/>
          <w:bCs/>
          <w:szCs w:val="24"/>
          <w:rtl/>
        </w:rPr>
        <w:t>החוק</w:t>
      </w:r>
      <w:r>
        <w:rPr>
          <w:rFonts w:ascii="David" w:hAnsi="David" w:cs="David" w:hint="cs"/>
          <w:szCs w:val="24"/>
          <w:rtl/>
        </w:rPr>
        <w:t>"</w:t>
      </w:r>
      <w:r w:rsidRPr="00205B03">
        <w:rPr>
          <w:rFonts w:ascii="David" w:hAnsi="David" w:cs="David" w:hint="cs"/>
          <w:szCs w:val="24"/>
          <w:rtl/>
        </w:rPr>
        <w:t>)); הבאת אדם לידי מעשה זנות בנסיבות מחמירות (סעיף 203</w:t>
      </w:r>
      <w:r>
        <w:rPr>
          <w:rFonts w:ascii="David" w:hAnsi="David" w:cs="David" w:hint="cs"/>
          <w:szCs w:val="24"/>
          <w:rtl/>
        </w:rPr>
        <w:t xml:space="preserve"> ו-202</w:t>
      </w:r>
      <w:r w:rsidRPr="00205B03">
        <w:rPr>
          <w:rFonts w:ascii="David" w:hAnsi="David" w:cs="David" w:hint="cs"/>
          <w:szCs w:val="24"/>
          <w:rtl/>
        </w:rPr>
        <w:t xml:space="preserve"> לחוק); וכן החזקת מקום לשם זנות (204 לחוק)</w:t>
      </w:r>
      <w:r>
        <w:rPr>
          <w:rFonts w:ascii="David" w:hAnsi="David" w:cs="David" w:hint="cs"/>
          <w:szCs w:val="24"/>
          <w:rtl/>
        </w:rPr>
        <w:t>.</w:t>
      </w:r>
      <w:r w:rsidR="00575E48">
        <w:rPr>
          <w:rFonts w:ascii="David" w:hAnsi="David" w:cs="David" w:hint="cs"/>
          <w:szCs w:val="24"/>
          <w:rtl/>
        </w:rPr>
        <w:t xml:space="preserve"> </w:t>
      </w:r>
    </w:p>
    <w:p w14:paraId="1C1B105D" w14:textId="3642EC9D" w:rsidR="008115A3" w:rsidRDefault="00314933" w:rsidP="006F3F84">
      <w:pPr>
        <w:spacing w:after="240" w:line="360" w:lineRule="auto"/>
        <w:ind w:right="-284"/>
        <w:jc w:val="both"/>
        <w:rPr>
          <w:rFonts w:ascii="David" w:hAnsi="David" w:cs="David"/>
          <w:szCs w:val="24"/>
          <w:rtl/>
        </w:rPr>
      </w:pPr>
      <w:r>
        <w:rPr>
          <w:rFonts w:ascii="David" w:hAnsi="David" w:cs="David" w:hint="cs"/>
          <w:szCs w:val="24"/>
          <w:rtl/>
        </w:rPr>
        <w:t xml:space="preserve">כמו כן, בידי המשטרה אפשרות לסגור את המקום ל-30 ימים באופן </w:t>
      </w:r>
      <w:proofErr w:type="spellStart"/>
      <w:r>
        <w:rPr>
          <w:rFonts w:ascii="David" w:hAnsi="David" w:cs="David" w:hint="cs"/>
          <w:szCs w:val="24"/>
          <w:rtl/>
        </w:rPr>
        <w:t>מינהלי</w:t>
      </w:r>
      <w:proofErr w:type="spellEnd"/>
      <w:r w:rsidR="00DC218B">
        <w:rPr>
          <w:rFonts w:ascii="David" w:hAnsi="David" w:cs="David" w:hint="cs"/>
          <w:szCs w:val="24"/>
          <w:rtl/>
        </w:rPr>
        <w:t xml:space="preserve"> (ולאחר מכן להאריך את הסגירה באמצעות צו בית משפט ל-90 ימים)</w:t>
      </w:r>
      <w:r>
        <w:rPr>
          <w:rFonts w:ascii="David" w:hAnsi="David" w:cs="David" w:hint="cs"/>
          <w:szCs w:val="24"/>
          <w:rtl/>
        </w:rPr>
        <w:t xml:space="preserve">, </w:t>
      </w:r>
      <w:r w:rsidR="00DC218B">
        <w:rPr>
          <w:rFonts w:ascii="David" w:hAnsi="David" w:cs="David" w:hint="cs"/>
          <w:szCs w:val="24"/>
          <w:rtl/>
        </w:rPr>
        <w:t xml:space="preserve">זאת </w:t>
      </w:r>
      <w:r w:rsidR="00B22AA7">
        <w:rPr>
          <w:rFonts w:ascii="David" w:hAnsi="David" w:cs="David" w:hint="cs"/>
          <w:szCs w:val="24"/>
          <w:rtl/>
        </w:rPr>
        <w:t xml:space="preserve">באמצעות </w:t>
      </w:r>
      <w:r w:rsidR="00DC218B" w:rsidRPr="00B22AA7">
        <w:rPr>
          <w:rFonts w:ascii="David" w:hAnsi="David" w:cs="David" w:hint="cs"/>
          <w:b/>
          <w:bCs/>
          <w:szCs w:val="24"/>
          <w:rtl/>
        </w:rPr>
        <w:t>חוק הגבלת שימוש במקום לשם מניעת ביצוע עבירות</w:t>
      </w:r>
      <w:r w:rsidR="00DC218B">
        <w:rPr>
          <w:rFonts w:ascii="David" w:hAnsi="David" w:cs="David" w:hint="cs"/>
          <w:szCs w:val="24"/>
          <w:rtl/>
        </w:rPr>
        <w:t>, תשס"ה-2005</w:t>
      </w:r>
      <w:r w:rsidR="00B22AA7">
        <w:rPr>
          <w:rFonts w:ascii="David" w:hAnsi="David" w:cs="David" w:hint="cs"/>
          <w:szCs w:val="24"/>
          <w:rtl/>
        </w:rPr>
        <w:t>.</w:t>
      </w:r>
      <w:r w:rsidR="00575E48">
        <w:rPr>
          <w:rFonts w:ascii="David" w:hAnsi="David" w:cs="David" w:hint="cs"/>
          <w:szCs w:val="24"/>
          <w:rtl/>
        </w:rPr>
        <w:t xml:space="preserve"> </w:t>
      </w:r>
    </w:p>
    <w:p w14:paraId="35ED4379" w14:textId="77777777" w:rsidR="00BD3C74" w:rsidRDefault="00BD3C74" w:rsidP="006F3F84">
      <w:pPr>
        <w:spacing w:after="240" w:line="360" w:lineRule="auto"/>
        <w:ind w:right="-284"/>
        <w:jc w:val="both"/>
        <w:rPr>
          <w:rFonts w:ascii="David" w:hAnsi="David" w:cs="David"/>
          <w:b/>
          <w:bCs/>
          <w:szCs w:val="24"/>
          <w:rtl/>
        </w:rPr>
      </w:pPr>
      <w:r>
        <w:rPr>
          <w:rFonts w:ascii="David" w:hAnsi="David" w:cs="David" w:hint="cs"/>
          <w:szCs w:val="24"/>
          <w:rtl/>
        </w:rPr>
        <w:t xml:space="preserve">נציין, כי </w:t>
      </w:r>
      <w:r w:rsidRPr="006F743A">
        <w:rPr>
          <w:rFonts w:ascii="David" w:hAnsi="David" w:cs="David" w:hint="cs"/>
          <w:szCs w:val="24"/>
          <w:rtl/>
        </w:rPr>
        <w:t xml:space="preserve">בעקבות </w:t>
      </w:r>
      <w:r>
        <w:rPr>
          <w:rFonts w:ascii="David" w:hAnsi="David" w:cs="David" w:hint="cs"/>
          <w:szCs w:val="24"/>
          <w:rtl/>
        </w:rPr>
        <w:t>ממצאים לפעילות כאמור במועדוני חשפנות</w:t>
      </w:r>
      <w:r w:rsidRPr="006F743A">
        <w:rPr>
          <w:rFonts w:ascii="David" w:hAnsi="David" w:cs="David" w:hint="cs"/>
          <w:szCs w:val="24"/>
          <w:rtl/>
        </w:rPr>
        <w:t xml:space="preserve">, פרסמה המשטרה מסמך ריענון הנחיות בו נקבע כי בטרם רישויים של מועדוני חשפנות תבוצע בדיקה כי </w:t>
      </w:r>
      <w:r>
        <w:rPr>
          <w:rFonts w:ascii="David" w:hAnsi="David" w:cs="David" w:hint="cs"/>
          <w:szCs w:val="24"/>
          <w:rtl/>
        </w:rPr>
        <w:t>אין במקום חדרים נסתרים או קומות נוספות, וככל שימצאו כאלה לא יינתן רישיון.</w:t>
      </w:r>
    </w:p>
    <w:p w14:paraId="554F7A61" w14:textId="67B4CCCE" w:rsidR="00646B4D" w:rsidRDefault="00575E48" w:rsidP="006F3F84">
      <w:pPr>
        <w:spacing w:after="240" w:line="360" w:lineRule="auto"/>
        <w:ind w:right="-284"/>
        <w:jc w:val="both"/>
        <w:rPr>
          <w:rFonts w:ascii="David" w:hAnsi="David" w:cs="David"/>
          <w:szCs w:val="24"/>
          <w:rtl/>
        </w:rPr>
      </w:pPr>
      <w:r>
        <w:rPr>
          <w:rFonts w:ascii="David" w:hAnsi="David" w:cs="David" w:hint="cs"/>
          <w:szCs w:val="24"/>
          <w:rtl/>
        </w:rPr>
        <w:t>לצד זאת</w:t>
      </w:r>
      <w:r w:rsidR="00B22AA7">
        <w:rPr>
          <w:rFonts w:ascii="David" w:hAnsi="David" w:cs="David" w:hint="cs"/>
          <w:szCs w:val="24"/>
          <w:rtl/>
        </w:rPr>
        <w:t>,</w:t>
      </w:r>
      <w:r>
        <w:rPr>
          <w:rFonts w:ascii="David" w:hAnsi="David" w:cs="David" w:hint="cs"/>
          <w:szCs w:val="24"/>
          <w:rtl/>
        </w:rPr>
        <w:t xml:space="preserve"> </w:t>
      </w:r>
      <w:r w:rsidR="00BD3C74">
        <w:rPr>
          <w:rFonts w:ascii="David" w:hAnsi="David" w:cs="David" w:hint="cs"/>
          <w:szCs w:val="24"/>
          <w:rtl/>
        </w:rPr>
        <w:t xml:space="preserve">במקומות בהם נמצא כי מועדון החשפנות משמש בפועל כבית בושת, </w:t>
      </w:r>
      <w:r>
        <w:rPr>
          <w:rFonts w:ascii="David" w:hAnsi="David" w:cs="David" w:hint="cs"/>
          <w:szCs w:val="24"/>
          <w:rtl/>
        </w:rPr>
        <w:t>יש כמובן לפעול לביטולו של רישיון</w:t>
      </w:r>
      <w:r w:rsidR="008115A3">
        <w:rPr>
          <w:rFonts w:ascii="David" w:hAnsi="David" w:cs="David" w:hint="cs"/>
          <w:szCs w:val="24"/>
          <w:rtl/>
        </w:rPr>
        <w:t xml:space="preserve"> העסק</w:t>
      </w:r>
      <w:r>
        <w:rPr>
          <w:rFonts w:ascii="David" w:hAnsi="David" w:cs="David" w:hint="cs"/>
          <w:szCs w:val="24"/>
          <w:rtl/>
        </w:rPr>
        <w:t xml:space="preserve"> שניתן</w:t>
      </w:r>
      <w:r w:rsidR="008115A3">
        <w:rPr>
          <w:rFonts w:ascii="David" w:hAnsi="David" w:cs="David" w:hint="cs"/>
          <w:szCs w:val="24"/>
          <w:rtl/>
        </w:rPr>
        <w:t xml:space="preserve"> למקומות אלה</w:t>
      </w:r>
      <w:r>
        <w:rPr>
          <w:rFonts w:ascii="David" w:hAnsi="David" w:cs="David" w:hint="cs"/>
          <w:szCs w:val="24"/>
          <w:rtl/>
        </w:rPr>
        <w:t xml:space="preserve"> מאת הרשות המקומית. </w:t>
      </w:r>
      <w:r w:rsidR="00646B4D">
        <w:rPr>
          <w:rFonts w:ascii="David" w:hAnsi="David" w:cs="David" w:hint="cs"/>
          <w:szCs w:val="24"/>
          <w:rtl/>
        </w:rPr>
        <w:t xml:space="preserve">ויודגש </w:t>
      </w:r>
      <w:r w:rsidR="00646B4D">
        <w:rPr>
          <w:rFonts w:ascii="David" w:hAnsi="David" w:cs="David"/>
          <w:szCs w:val="24"/>
          <w:rtl/>
        </w:rPr>
        <w:t>–</w:t>
      </w:r>
      <w:r w:rsidR="00646B4D">
        <w:rPr>
          <w:rFonts w:ascii="David" w:hAnsi="David" w:cs="David" w:hint="cs"/>
          <w:szCs w:val="24"/>
          <w:rtl/>
        </w:rPr>
        <w:t xml:space="preserve"> לדאבוננו, </w:t>
      </w:r>
      <w:r w:rsidR="008115A3">
        <w:rPr>
          <w:rFonts w:ascii="David" w:hAnsi="David" w:cs="David" w:hint="cs"/>
          <w:szCs w:val="24"/>
          <w:rtl/>
        </w:rPr>
        <w:t xml:space="preserve">אף בהגיענו </w:t>
      </w:r>
      <w:r w:rsidR="008115A3" w:rsidRPr="008115A3">
        <w:rPr>
          <w:rFonts w:ascii="David" w:hAnsi="David" w:cs="David" w:hint="cs"/>
          <w:b/>
          <w:bCs/>
          <w:szCs w:val="24"/>
          <w:rtl/>
        </w:rPr>
        <w:t>לש</w:t>
      </w:r>
      <w:r w:rsidR="00646B4D" w:rsidRPr="008115A3">
        <w:rPr>
          <w:rFonts w:ascii="David" w:hAnsi="David" w:cs="David" w:hint="cs"/>
          <w:b/>
          <w:bCs/>
          <w:szCs w:val="24"/>
          <w:rtl/>
        </w:rPr>
        <w:t>לילת</w:t>
      </w:r>
      <w:r w:rsidR="00646B4D">
        <w:rPr>
          <w:rFonts w:ascii="David" w:hAnsi="David" w:cs="David" w:hint="cs"/>
          <w:b/>
          <w:bCs/>
          <w:szCs w:val="24"/>
          <w:rtl/>
        </w:rPr>
        <w:t xml:space="preserve"> </w:t>
      </w:r>
      <w:r w:rsidR="008115A3">
        <w:rPr>
          <w:rFonts w:ascii="David" w:hAnsi="David" w:cs="David" w:hint="cs"/>
          <w:b/>
          <w:bCs/>
          <w:szCs w:val="24"/>
          <w:rtl/>
        </w:rPr>
        <w:t>הרישיו</w:t>
      </w:r>
      <w:r w:rsidR="008115A3">
        <w:rPr>
          <w:rFonts w:ascii="David" w:hAnsi="David" w:cs="David" w:hint="eastAsia"/>
          <w:b/>
          <w:bCs/>
          <w:szCs w:val="24"/>
          <w:rtl/>
        </w:rPr>
        <w:t>ן</w:t>
      </w:r>
      <w:r w:rsidR="008115A3">
        <w:rPr>
          <w:rFonts w:ascii="David" w:hAnsi="David" w:cs="David" w:hint="cs"/>
          <w:b/>
          <w:bCs/>
          <w:szCs w:val="24"/>
          <w:rtl/>
        </w:rPr>
        <w:t>,</w:t>
      </w:r>
      <w:r w:rsidR="00646B4D">
        <w:rPr>
          <w:rFonts w:ascii="David" w:hAnsi="David" w:cs="David" w:hint="cs"/>
          <w:b/>
          <w:bCs/>
          <w:szCs w:val="24"/>
          <w:rtl/>
        </w:rPr>
        <w:t xml:space="preserve"> לא פעם זהו לא סופו של הסיפור, וישנם עסקים שממשיכים לפעול בלא ר</w:t>
      </w:r>
      <w:r w:rsidR="008115A3">
        <w:rPr>
          <w:rFonts w:ascii="David" w:hAnsi="David" w:cs="David" w:hint="cs"/>
          <w:b/>
          <w:bCs/>
          <w:szCs w:val="24"/>
          <w:rtl/>
        </w:rPr>
        <w:t>י</w:t>
      </w:r>
      <w:r w:rsidR="00646B4D">
        <w:rPr>
          <w:rFonts w:ascii="David" w:hAnsi="David" w:cs="David" w:hint="cs"/>
          <w:b/>
          <w:bCs/>
          <w:szCs w:val="24"/>
          <w:rtl/>
        </w:rPr>
        <w:t xml:space="preserve">שיון. </w:t>
      </w:r>
      <w:r w:rsidR="00646B4D">
        <w:rPr>
          <w:rFonts w:ascii="David" w:hAnsi="David" w:cs="David" w:hint="cs"/>
          <w:szCs w:val="24"/>
          <w:rtl/>
        </w:rPr>
        <w:t xml:space="preserve">במציאות זו יש חשיבות דרמטית למוטיבציה </w:t>
      </w:r>
      <w:r w:rsidR="008115A3">
        <w:rPr>
          <w:rFonts w:ascii="David" w:hAnsi="David" w:cs="David" w:hint="cs"/>
          <w:szCs w:val="24"/>
          <w:rtl/>
        </w:rPr>
        <w:t xml:space="preserve">המקבילה </w:t>
      </w:r>
      <w:r w:rsidR="00646B4D">
        <w:rPr>
          <w:rFonts w:ascii="David" w:hAnsi="David" w:cs="David" w:hint="cs"/>
          <w:szCs w:val="24"/>
          <w:rtl/>
        </w:rPr>
        <w:t xml:space="preserve">של הרשות המקומית והמשטרה </w:t>
      </w:r>
      <w:r w:rsidR="008115A3">
        <w:rPr>
          <w:rFonts w:ascii="David" w:hAnsi="David" w:cs="David" w:hint="cs"/>
          <w:szCs w:val="24"/>
          <w:rtl/>
        </w:rPr>
        <w:t xml:space="preserve">- </w:t>
      </w:r>
      <w:r w:rsidR="00646B4D">
        <w:rPr>
          <w:rFonts w:ascii="David" w:hAnsi="David" w:cs="David" w:hint="cs"/>
          <w:szCs w:val="24"/>
          <w:rtl/>
        </w:rPr>
        <w:t xml:space="preserve">לפעול על מנת לאכוף את סגירת המקום. </w:t>
      </w:r>
    </w:p>
    <w:p w14:paraId="6516B6B9" w14:textId="7D453CF9" w:rsidR="008115A3" w:rsidRPr="00646B4D" w:rsidRDefault="008115A3" w:rsidP="006F3F84">
      <w:pPr>
        <w:spacing w:after="240" w:line="360" w:lineRule="auto"/>
        <w:ind w:right="-284"/>
        <w:jc w:val="both"/>
        <w:rPr>
          <w:rFonts w:ascii="David" w:hAnsi="David" w:cs="David"/>
          <w:szCs w:val="24"/>
          <w:rtl/>
        </w:rPr>
      </w:pPr>
      <w:r>
        <w:rPr>
          <w:rFonts w:ascii="David" w:hAnsi="David" w:cs="David" w:hint="cs"/>
          <w:szCs w:val="24"/>
          <w:rtl/>
        </w:rPr>
        <w:lastRenderedPageBreak/>
        <w:t xml:space="preserve">יצוין כי </w:t>
      </w:r>
      <w:r w:rsidR="00935966">
        <w:rPr>
          <w:rFonts w:ascii="David" w:hAnsi="David" w:cs="David" w:hint="cs"/>
          <w:szCs w:val="24"/>
          <w:rtl/>
        </w:rPr>
        <w:t xml:space="preserve">קיומה של </w:t>
      </w:r>
      <w:r>
        <w:rPr>
          <w:rFonts w:ascii="David" w:hAnsi="David" w:cs="David" w:hint="cs"/>
          <w:szCs w:val="24"/>
          <w:rtl/>
        </w:rPr>
        <w:t xml:space="preserve">סמכות מקבילה </w:t>
      </w:r>
      <w:r w:rsidR="00935966">
        <w:rPr>
          <w:rFonts w:ascii="David" w:hAnsi="David" w:cs="David" w:hint="cs"/>
          <w:szCs w:val="24"/>
          <w:rtl/>
        </w:rPr>
        <w:t>לעירייה ולמשטרת ישראל,</w:t>
      </w:r>
      <w:r>
        <w:rPr>
          <w:rFonts w:ascii="David" w:hAnsi="David" w:cs="David" w:hint="cs"/>
          <w:szCs w:val="24"/>
          <w:rtl/>
        </w:rPr>
        <w:t xml:space="preserve"> </w:t>
      </w:r>
      <w:r w:rsidR="00BD3C74">
        <w:rPr>
          <w:rFonts w:ascii="David" w:hAnsi="David" w:cs="David" w:hint="cs"/>
          <w:szCs w:val="24"/>
          <w:rtl/>
        </w:rPr>
        <w:t xml:space="preserve">כפי שקיים כיום, </w:t>
      </w:r>
      <w:r>
        <w:rPr>
          <w:rFonts w:ascii="David" w:hAnsi="David" w:cs="David" w:hint="cs"/>
          <w:szCs w:val="24"/>
          <w:rtl/>
        </w:rPr>
        <w:t>עלול</w:t>
      </w:r>
      <w:r w:rsidR="00A72840">
        <w:rPr>
          <w:rFonts w:ascii="David" w:hAnsi="David" w:cs="David" w:hint="cs"/>
          <w:szCs w:val="24"/>
          <w:rtl/>
        </w:rPr>
        <w:t>ה</w:t>
      </w:r>
      <w:r>
        <w:rPr>
          <w:rFonts w:ascii="David" w:hAnsi="David" w:cs="David" w:hint="cs"/>
          <w:szCs w:val="24"/>
          <w:rtl/>
        </w:rPr>
        <w:t xml:space="preserve"> </w:t>
      </w:r>
      <w:r w:rsidR="00935966">
        <w:rPr>
          <w:rFonts w:ascii="David" w:hAnsi="David" w:cs="David" w:hint="cs"/>
          <w:szCs w:val="24"/>
          <w:rtl/>
        </w:rPr>
        <w:t xml:space="preserve">לא פעם </w:t>
      </w:r>
      <w:r>
        <w:rPr>
          <w:rFonts w:ascii="David" w:hAnsi="David" w:cs="David" w:hint="cs"/>
          <w:szCs w:val="24"/>
          <w:rtl/>
        </w:rPr>
        <w:t>ל</w:t>
      </w:r>
      <w:r w:rsidR="00935966">
        <w:rPr>
          <w:rFonts w:ascii="David" w:hAnsi="David" w:cs="David" w:hint="cs"/>
          <w:szCs w:val="24"/>
          <w:rtl/>
        </w:rPr>
        <w:t>הוביל להסרת אחריות הדדית באשר לקבלת צו שיאפשר את</w:t>
      </w:r>
      <w:r>
        <w:rPr>
          <w:rFonts w:ascii="David" w:hAnsi="David" w:cs="David" w:hint="cs"/>
          <w:szCs w:val="24"/>
          <w:rtl/>
        </w:rPr>
        <w:t xml:space="preserve"> סגירת המקום</w:t>
      </w:r>
      <w:r w:rsidR="00935966">
        <w:rPr>
          <w:rFonts w:ascii="David" w:hAnsi="David" w:cs="David" w:hint="cs"/>
          <w:szCs w:val="24"/>
          <w:rtl/>
        </w:rPr>
        <w:t xml:space="preserve"> באופן סופי.</w:t>
      </w:r>
    </w:p>
    <w:p w14:paraId="00C3C835" w14:textId="13782C89" w:rsidR="000C0CFC" w:rsidRDefault="000C0CFC" w:rsidP="006F3F84">
      <w:pPr>
        <w:spacing w:after="240" w:line="360" w:lineRule="auto"/>
        <w:ind w:right="-284"/>
        <w:jc w:val="both"/>
        <w:rPr>
          <w:rFonts w:ascii="David" w:hAnsi="David" w:cs="David"/>
          <w:szCs w:val="24"/>
          <w:rtl/>
        </w:rPr>
      </w:pPr>
      <w:r w:rsidRPr="00A72840">
        <w:rPr>
          <w:rFonts w:ascii="David" w:hAnsi="David" w:cs="David" w:hint="cs"/>
          <w:szCs w:val="24"/>
          <w:rtl/>
        </w:rPr>
        <w:t>2.</w:t>
      </w:r>
      <w:r>
        <w:rPr>
          <w:rFonts w:ascii="David" w:hAnsi="David" w:cs="David" w:hint="cs"/>
          <w:b/>
          <w:bCs/>
          <w:szCs w:val="24"/>
          <w:rtl/>
        </w:rPr>
        <w:t xml:space="preserve"> </w:t>
      </w:r>
      <w:r w:rsidRPr="00A72840">
        <w:rPr>
          <w:rFonts w:ascii="David" w:hAnsi="David" w:cs="David" w:hint="cs"/>
          <w:szCs w:val="24"/>
          <w:u w:val="single"/>
          <w:rtl/>
        </w:rPr>
        <w:t>מועדוני חשפנות בהם לא נמצא שמתקיימים "שירותי"-מין</w:t>
      </w:r>
      <w:r>
        <w:rPr>
          <w:rFonts w:ascii="David" w:hAnsi="David" w:cs="David" w:hint="cs"/>
          <w:szCs w:val="24"/>
          <w:rtl/>
        </w:rPr>
        <w:t xml:space="preserve">, ולכן הם חוקיים לחלוטין, לא עוברים על </w:t>
      </w:r>
      <w:r>
        <w:rPr>
          <w:rFonts w:ascii="David" w:hAnsi="David" w:cs="David" w:hint="cs"/>
          <w:szCs w:val="24"/>
          <w:rtl/>
        </w:rPr>
        <w:t xml:space="preserve">שום עבירה פלילית, ועדיין </w:t>
      </w:r>
      <w:r>
        <w:rPr>
          <w:rFonts w:ascii="David" w:hAnsi="David" w:cs="David"/>
          <w:szCs w:val="24"/>
          <w:rtl/>
        </w:rPr>
        <w:t>–</w:t>
      </w:r>
      <w:r>
        <w:rPr>
          <w:rFonts w:ascii="David" w:hAnsi="David" w:cs="David" w:hint="cs"/>
          <w:szCs w:val="24"/>
          <w:rtl/>
        </w:rPr>
        <w:t xml:space="preserve"> מדובר במוקדים של ניצול וביזוי נשים. בהקשר זה חשוב לציין את פסק </w:t>
      </w:r>
      <w:r w:rsidR="00A72840">
        <w:rPr>
          <w:rFonts w:ascii="David" w:hAnsi="David" w:cs="David" w:hint="cs"/>
          <w:szCs w:val="24"/>
          <w:rtl/>
        </w:rPr>
        <w:t xml:space="preserve">דינה </w:t>
      </w:r>
      <w:r>
        <w:rPr>
          <w:rFonts w:ascii="David" w:hAnsi="David" w:cs="David" w:hint="cs"/>
          <w:szCs w:val="24"/>
          <w:rtl/>
        </w:rPr>
        <w:t xml:space="preserve">המהפכני של </w:t>
      </w:r>
      <w:r w:rsidR="00A72840">
        <w:rPr>
          <w:rFonts w:ascii="David" w:hAnsi="David" w:cs="David" w:hint="cs"/>
          <w:szCs w:val="24"/>
          <w:rtl/>
        </w:rPr>
        <w:t>השופטת מיכל אגמון גונן ב</w:t>
      </w:r>
      <w:r>
        <w:rPr>
          <w:rFonts w:ascii="David" w:hAnsi="David" w:cs="David" w:hint="cs"/>
          <w:szCs w:val="24"/>
          <w:rtl/>
        </w:rPr>
        <w:t xml:space="preserve">בית המשפט המחוזי </w:t>
      </w:r>
      <w:proofErr w:type="spellStart"/>
      <w:r w:rsidR="00A72840">
        <w:rPr>
          <w:rFonts w:ascii="David" w:hAnsi="David" w:cs="David" w:hint="cs"/>
          <w:szCs w:val="24"/>
          <w:rtl/>
        </w:rPr>
        <w:t>ב</w:t>
      </w:r>
      <w:r>
        <w:rPr>
          <w:rFonts w:ascii="David" w:hAnsi="David" w:cs="David" w:hint="cs"/>
          <w:szCs w:val="24"/>
          <w:rtl/>
        </w:rPr>
        <w:t>עת"מ</w:t>
      </w:r>
      <w:proofErr w:type="spellEnd"/>
      <w:r>
        <w:rPr>
          <w:rFonts w:ascii="David" w:hAnsi="David" w:cs="David" w:hint="cs"/>
          <w:szCs w:val="24"/>
          <w:rtl/>
        </w:rPr>
        <w:t xml:space="preserve"> </w:t>
      </w:r>
      <w:r w:rsidR="00EE104C">
        <w:rPr>
          <w:rFonts w:ascii="David" w:hAnsi="David" w:cs="David" w:hint="cs"/>
          <w:szCs w:val="24"/>
          <w:rtl/>
        </w:rPr>
        <w:t>8707-07-15</w:t>
      </w:r>
      <w:r>
        <w:rPr>
          <w:rFonts w:ascii="David" w:hAnsi="David" w:cs="David" w:hint="cs"/>
          <w:szCs w:val="24"/>
          <w:rtl/>
        </w:rPr>
        <w:t xml:space="preserve"> </w:t>
      </w:r>
      <w:r w:rsidRPr="00773932">
        <w:rPr>
          <w:rFonts w:ascii="David" w:hAnsi="David" w:cs="David" w:hint="cs"/>
          <w:b/>
          <w:bCs/>
          <w:szCs w:val="24"/>
          <w:rtl/>
        </w:rPr>
        <w:t xml:space="preserve">הוועדה </w:t>
      </w:r>
      <w:r w:rsidRPr="00773932">
        <w:rPr>
          <w:rFonts w:ascii="David" w:hAnsi="David" w:cs="David" w:hint="cs"/>
          <w:b/>
          <w:bCs/>
          <w:szCs w:val="24"/>
          <w:rtl/>
        </w:rPr>
        <w:t>המקומית לתכנון ולבניה</w:t>
      </w:r>
      <w:r w:rsidR="00EE104C">
        <w:rPr>
          <w:rFonts w:ascii="David" w:hAnsi="David" w:cs="David" w:hint="cs"/>
          <w:b/>
          <w:bCs/>
          <w:szCs w:val="24"/>
          <w:rtl/>
        </w:rPr>
        <w:t xml:space="preserve"> עיריית רמת גן נ' </w:t>
      </w:r>
      <w:r w:rsidR="00EE104C" w:rsidRPr="00773932">
        <w:rPr>
          <w:rFonts w:ascii="David" w:hAnsi="David" w:cs="David" w:hint="cs"/>
          <w:b/>
          <w:bCs/>
          <w:szCs w:val="24"/>
          <w:rtl/>
        </w:rPr>
        <w:t>ערן ירושלמי</w:t>
      </w:r>
      <w:r>
        <w:rPr>
          <w:rFonts w:ascii="David" w:hAnsi="David" w:cs="David" w:hint="cs"/>
          <w:szCs w:val="24"/>
          <w:rtl/>
        </w:rPr>
        <w:t xml:space="preserve">. בפסק הדין נקבע כי אף שמדובר במועדונים שאינם עוברים עבירה פלילית, לעירייה מסור שיקול הדעת לקבוע כי אינה מוכנה להעניק רישיון למקומות מעין אלה נוכח עקרונות היסוד של שיטתנו, ובפרט נוכח כבוד האדם וחירותו, ונוכח החקיקה המבקשת להגן על כבודן של נשים ולמנוע פגיעות והטרדות מיניות. </w:t>
      </w:r>
    </w:p>
    <w:p w14:paraId="71E44E60" w14:textId="73FDA2A6" w:rsidR="000C0CFC" w:rsidRDefault="00A72840" w:rsidP="006F3F84">
      <w:pPr>
        <w:spacing w:after="240" w:line="360" w:lineRule="auto"/>
        <w:ind w:right="-284"/>
        <w:jc w:val="both"/>
        <w:rPr>
          <w:rFonts w:ascii="David" w:hAnsi="David" w:cs="David"/>
          <w:szCs w:val="24"/>
          <w:rtl/>
        </w:rPr>
      </w:pPr>
      <w:r>
        <w:rPr>
          <w:rFonts w:ascii="David" w:hAnsi="David" w:cs="David" w:hint="cs"/>
          <w:szCs w:val="24"/>
          <w:rtl/>
        </w:rPr>
        <w:t xml:space="preserve">בעניין זה נציין כי </w:t>
      </w:r>
      <w:r w:rsidR="000C0CFC" w:rsidRPr="00773932">
        <w:rPr>
          <w:rFonts w:ascii="David" w:hAnsi="David" w:cs="David" w:hint="cs"/>
          <w:szCs w:val="24"/>
          <w:rtl/>
        </w:rPr>
        <w:t xml:space="preserve">ביום 24.8.17, </w:t>
      </w:r>
      <w:r w:rsidR="008115A3">
        <w:rPr>
          <w:rFonts w:ascii="David" w:hAnsi="David" w:cs="David" w:hint="cs"/>
          <w:szCs w:val="24"/>
          <w:rtl/>
        </w:rPr>
        <w:t>בעקבות פנייתה</w:t>
      </w:r>
      <w:r w:rsidR="00BD3C74">
        <w:rPr>
          <w:rFonts w:ascii="David" w:hAnsi="David" w:cs="David" w:hint="cs"/>
          <w:szCs w:val="24"/>
          <w:rtl/>
        </w:rPr>
        <w:t xml:space="preserve"> של</w:t>
      </w:r>
      <w:r w:rsidR="008115A3">
        <w:rPr>
          <w:rFonts w:ascii="David" w:hAnsi="David" w:cs="David" w:hint="cs"/>
          <w:szCs w:val="24"/>
          <w:rtl/>
        </w:rPr>
        <w:t xml:space="preserve"> </w:t>
      </w:r>
      <w:r w:rsidR="00BD3C74">
        <w:rPr>
          <w:rFonts w:ascii="David" w:hAnsi="David" w:cs="David" w:hint="cs"/>
          <w:szCs w:val="24"/>
          <w:rtl/>
        </w:rPr>
        <w:t>יו"ר הוועדה ח"כ עליזה לביא</w:t>
      </w:r>
      <w:r w:rsidR="00BD3C74">
        <w:rPr>
          <w:rFonts w:ascii="David" w:hAnsi="David" w:cs="David" w:hint="cs"/>
          <w:szCs w:val="24"/>
          <w:rtl/>
        </w:rPr>
        <w:t xml:space="preserve"> </w:t>
      </w:r>
      <w:r w:rsidR="008115A3">
        <w:rPr>
          <w:rFonts w:ascii="David" w:hAnsi="David" w:cs="David" w:hint="cs"/>
          <w:szCs w:val="24"/>
          <w:rtl/>
        </w:rPr>
        <w:t xml:space="preserve">בנושא </w:t>
      </w:r>
      <w:r w:rsidR="00BD3C74">
        <w:rPr>
          <w:rFonts w:ascii="David" w:hAnsi="David" w:cs="David" w:hint="cs"/>
          <w:szCs w:val="24"/>
          <w:rtl/>
        </w:rPr>
        <w:t xml:space="preserve"> אל</w:t>
      </w:r>
      <w:r w:rsidR="008115A3">
        <w:rPr>
          <w:rFonts w:ascii="David" w:hAnsi="David" w:cs="David" w:hint="cs"/>
          <w:szCs w:val="24"/>
          <w:rtl/>
        </w:rPr>
        <w:t xml:space="preserve"> </w:t>
      </w:r>
      <w:r w:rsidR="00BD3C74">
        <w:rPr>
          <w:rFonts w:ascii="David" w:hAnsi="David" w:cs="David" w:hint="cs"/>
          <w:szCs w:val="24"/>
          <w:rtl/>
        </w:rPr>
        <w:t>השר לביטחון פנים, גלעד ארדן, ענה השר כי</w:t>
      </w:r>
      <w:r w:rsidR="008115A3">
        <w:rPr>
          <w:rFonts w:ascii="David" w:hAnsi="David" w:cs="David" w:hint="cs"/>
          <w:szCs w:val="24"/>
          <w:rtl/>
        </w:rPr>
        <w:t xml:space="preserve"> הוא </w:t>
      </w:r>
      <w:r w:rsidR="000C0CFC">
        <w:rPr>
          <w:rFonts w:ascii="David" w:hAnsi="David" w:cs="David" w:hint="cs"/>
          <w:szCs w:val="24"/>
          <w:rtl/>
        </w:rPr>
        <w:t>ש</w:t>
      </w:r>
      <w:r w:rsidR="008115A3">
        <w:rPr>
          <w:rFonts w:ascii="David" w:hAnsi="David" w:cs="David" w:hint="cs"/>
          <w:szCs w:val="24"/>
          <w:rtl/>
        </w:rPr>
        <w:t>ו</w:t>
      </w:r>
      <w:r w:rsidR="000C0CFC">
        <w:rPr>
          <w:rFonts w:ascii="David" w:hAnsi="David" w:cs="David" w:hint="cs"/>
          <w:szCs w:val="24"/>
          <w:rtl/>
        </w:rPr>
        <w:t>א</w:t>
      </w:r>
      <w:r w:rsidR="008115A3">
        <w:rPr>
          <w:rFonts w:ascii="David" w:hAnsi="David" w:cs="David" w:hint="cs"/>
          <w:szCs w:val="24"/>
          <w:rtl/>
        </w:rPr>
        <w:t>ף</w:t>
      </w:r>
      <w:r w:rsidR="000C0CFC">
        <w:rPr>
          <w:rFonts w:ascii="David" w:hAnsi="David" w:cs="David" w:hint="cs"/>
          <w:szCs w:val="24"/>
          <w:rtl/>
        </w:rPr>
        <w:t xml:space="preserve"> להביא לתיקון הנחיה 2.2 של פרקליט המדינה </w:t>
      </w:r>
      <w:r w:rsidR="000C0CFC">
        <w:rPr>
          <w:rFonts w:ascii="David" w:hAnsi="David" w:cs="David" w:hint="cs"/>
          <w:szCs w:val="24"/>
          <w:rtl/>
        </w:rPr>
        <w:t xml:space="preserve">הדנה באכיפת </w:t>
      </w:r>
      <w:r w:rsidR="000C0CFC">
        <w:rPr>
          <w:rFonts w:ascii="David" w:hAnsi="David" w:cs="David" w:hint="cs"/>
          <w:szCs w:val="24"/>
          <w:rtl/>
        </w:rPr>
        <w:t xml:space="preserve">העבירות הנלוות לזנות, כך שריקוד </w:t>
      </w:r>
      <w:proofErr w:type="spellStart"/>
      <w:r w:rsidR="000C0CFC">
        <w:rPr>
          <w:rFonts w:ascii="David" w:hAnsi="David" w:cs="David" w:hint="cs"/>
          <w:szCs w:val="24"/>
          <w:rtl/>
        </w:rPr>
        <w:t>הלאפ</w:t>
      </w:r>
      <w:proofErr w:type="spellEnd"/>
      <w:r w:rsidR="000C0CFC">
        <w:rPr>
          <w:rFonts w:ascii="David" w:hAnsi="David" w:cs="David" w:hint="cs"/>
          <w:szCs w:val="24"/>
          <w:rtl/>
        </w:rPr>
        <w:t xml:space="preserve">-דאנס </w:t>
      </w:r>
      <w:proofErr w:type="spellStart"/>
      <w:r w:rsidR="000C0CFC">
        <w:rPr>
          <w:rFonts w:ascii="David" w:hAnsi="David" w:cs="David" w:hint="cs"/>
          <w:szCs w:val="24"/>
          <w:rtl/>
        </w:rPr>
        <w:t>יכלל</w:t>
      </w:r>
      <w:proofErr w:type="spellEnd"/>
      <w:r w:rsidR="000C0CFC">
        <w:rPr>
          <w:rFonts w:ascii="David" w:hAnsi="David" w:cs="David" w:hint="cs"/>
          <w:szCs w:val="24"/>
          <w:rtl/>
        </w:rPr>
        <w:t xml:space="preserve"> בגדר "מעשה זנות"</w:t>
      </w:r>
      <w:r w:rsidR="008115A3">
        <w:rPr>
          <w:rFonts w:ascii="David" w:hAnsi="David" w:cs="David" w:hint="cs"/>
          <w:szCs w:val="24"/>
          <w:rtl/>
        </w:rPr>
        <w:t xml:space="preserve">. </w:t>
      </w:r>
      <w:r w:rsidR="00BD3C74">
        <w:rPr>
          <w:rFonts w:ascii="David" w:hAnsi="David" w:cs="David" w:hint="cs"/>
          <w:szCs w:val="24"/>
          <w:rtl/>
        </w:rPr>
        <w:t xml:space="preserve">באופן זה, </w:t>
      </w:r>
      <w:r w:rsidR="008115A3">
        <w:rPr>
          <w:rFonts w:ascii="David" w:hAnsi="David" w:cs="David" w:hint="cs"/>
          <w:szCs w:val="24"/>
          <w:rtl/>
        </w:rPr>
        <w:t>ניתן יהיה</w:t>
      </w:r>
      <w:r w:rsidR="000C0CFC">
        <w:rPr>
          <w:rFonts w:ascii="David" w:hAnsi="David" w:cs="David" w:hint="cs"/>
          <w:szCs w:val="24"/>
          <w:rtl/>
        </w:rPr>
        <w:t xml:space="preserve"> להאשים </w:t>
      </w:r>
      <w:r w:rsidR="000C0CFC">
        <w:rPr>
          <w:rFonts w:ascii="David" w:hAnsi="David" w:cs="David" w:hint="cs"/>
          <w:szCs w:val="24"/>
          <w:rtl/>
        </w:rPr>
        <w:t xml:space="preserve">את מפעילי </w:t>
      </w:r>
      <w:r w:rsidR="008115A3">
        <w:rPr>
          <w:rFonts w:ascii="David" w:hAnsi="David" w:cs="David" w:hint="cs"/>
          <w:szCs w:val="24"/>
          <w:rtl/>
        </w:rPr>
        <w:t xml:space="preserve">מועדוני החשפנות בעברות של החזקת בית בושת; </w:t>
      </w:r>
      <w:r w:rsidR="000C0CFC">
        <w:rPr>
          <w:rFonts w:ascii="David" w:hAnsi="David" w:cs="David" w:hint="cs"/>
          <w:szCs w:val="24"/>
          <w:rtl/>
        </w:rPr>
        <w:t xml:space="preserve">סרסרות; שידול לזנות והעבירות הנלוות. </w:t>
      </w:r>
    </w:p>
    <w:p w14:paraId="4D7EA33D" w14:textId="57B02856" w:rsidR="00935966" w:rsidRDefault="00BD3C74" w:rsidP="006F3F84">
      <w:pPr>
        <w:spacing w:after="240" w:line="360" w:lineRule="auto"/>
        <w:ind w:right="-284"/>
        <w:jc w:val="both"/>
        <w:rPr>
          <w:rFonts w:ascii="Arial" w:hAnsi="Arial" w:cs="David"/>
          <w:b/>
          <w:bCs/>
          <w:szCs w:val="24"/>
          <w:u w:val="single"/>
        </w:rPr>
      </w:pPr>
      <w:r>
        <w:rPr>
          <w:rFonts w:ascii="Arial" w:hAnsi="Arial" w:cs="David" w:hint="cs"/>
          <w:b/>
          <w:bCs/>
          <w:szCs w:val="24"/>
          <w:u w:val="single"/>
          <w:rtl/>
        </w:rPr>
        <w:t>לסיכום והמלצות</w:t>
      </w:r>
    </w:p>
    <w:p w14:paraId="193B417B" w14:textId="1F906443" w:rsidR="00F31749" w:rsidRDefault="00BD3C74" w:rsidP="006F3F84">
      <w:pPr>
        <w:spacing w:after="240" w:line="360" w:lineRule="auto"/>
        <w:ind w:right="-284"/>
        <w:jc w:val="both"/>
        <w:rPr>
          <w:rFonts w:ascii="Arial" w:hAnsi="Arial" w:cs="David" w:hint="cs"/>
          <w:szCs w:val="24"/>
          <w:rtl/>
        </w:rPr>
      </w:pPr>
      <w:r w:rsidRPr="00BD3C74">
        <w:rPr>
          <w:rFonts w:ascii="Arial" w:hAnsi="Arial" w:cs="David" w:hint="cs"/>
          <w:szCs w:val="24"/>
          <w:rtl/>
        </w:rPr>
        <w:t xml:space="preserve">1. נברך על שינוי הנחיות המשטרה באשר לרישוי מועדוני חשפנות בהם </w:t>
      </w:r>
      <w:r>
        <w:rPr>
          <w:rFonts w:ascii="Arial" w:hAnsi="Arial" w:cs="David" w:hint="cs"/>
          <w:szCs w:val="24"/>
          <w:rtl/>
        </w:rPr>
        <w:t xml:space="preserve">נמצא כי קיימים חדרים פרטיים. עם זאת, ונוכח ההבנה כי מקומות מעין אלה מועדים מראש לביצוען של עבירות, יש חשיבות לבדיקה קפדנית הן של המשטרה והן של מחלקת רישוי עסקים, בפרט כאשר מדובר במועדונים בהם היו בעבר חדרים פרטיים, כמו גם כאשר מדובר במקומות שבעליהם מחזיקים ברקע פלילי או </w:t>
      </w:r>
      <w:r w:rsidR="00F31749">
        <w:rPr>
          <w:rFonts w:ascii="Arial" w:hAnsi="Arial" w:cs="David" w:hint="cs"/>
          <w:szCs w:val="24"/>
          <w:rtl/>
        </w:rPr>
        <w:t>משמשים כבעלים של מועדונים נוספים בהם נמצאו ראיות לביצוען של העבירות הנלוות לזנות כאמור.</w:t>
      </w:r>
    </w:p>
    <w:p w14:paraId="1C085F9C" w14:textId="4EA70D8C" w:rsidR="00BD3C74" w:rsidRDefault="00F31749" w:rsidP="006F3F84">
      <w:pPr>
        <w:spacing w:after="240" w:line="360" w:lineRule="auto"/>
        <w:ind w:right="-284"/>
        <w:jc w:val="both"/>
        <w:rPr>
          <w:rFonts w:ascii="Arial" w:hAnsi="Arial" w:cs="David" w:hint="cs"/>
          <w:szCs w:val="24"/>
          <w:rtl/>
        </w:rPr>
      </w:pPr>
      <w:r>
        <w:rPr>
          <w:rFonts w:ascii="Arial" w:hAnsi="Arial" w:cs="David" w:hint="cs"/>
          <w:szCs w:val="24"/>
          <w:rtl/>
        </w:rPr>
        <w:t xml:space="preserve">2. נוכח העבירות החמורות המתגלות במקומות אלה לא פעם על גבן של נשים רבות המצויות במצבי מצוקה, יש להגביר את פעילויות החקירה הסמויות והיזומות לשם איסוף ראיות </w:t>
      </w:r>
      <w:r>
        <w:rPr>
          <w:rFonts w:ascii="Arial" w:hAnsi="Arial" w:cs="David"/>
          <w:szCs w:val="24"/>
          <w:rtl/>
        </w:rPr>
        <w:t>–</w:t>
      </w:r>
      <w:r>
        <w:rPr>
          <w:rFonts w:ascii="Arial" w:hAnsi="Arial" w:cs="David" w:hint="cs"/>
          <w:szCs w:val="24"/>
          <w:rtl/>
        </w:rPr>
        <w:t xml:space="preserve"> </w:t>
      </w:r>
      <w:proofErr w:type="spellStart"/>
      <w:r>
        <w:rPr>
          <w:rFonts w:ascii="Arial" w:hAnsi="Arial" w:cs="David" w:hint="cs"/>
          <w:szCs w:val="24"/>
          <w:rtl/>
        </w:rPr>
        <w:t>מינהליות</w:t>
      </w:r>
      <w:proofErr w:type="spellEnd"/>
      <w:r>
        <w:rPr>
          <w:rFonts w:ascii="Arial" w:hAnsi="Arial" w:cs="David" w:hint="cs"/>
          <w:szCs w:val="24"/>
          <w:rtl/>
        </w:rPr>
        <w:t xml:space="preserve"> ופליליות כאחד. </w:t>
      </w:r>
    </w:p>
    <w:p w14:paraId="4B7C28F5" w14:textId="1102699B" w:rsidR="00F31749" w:rsidRDefault="00F31749" w:rsidP="006F3F84">
      <w:pPr>
        <w:spacing w:after="240" w:line="360" w:lineRule="auto"/>
        <w:ind w:right="-284"/>
        <w:jc w:val="both"/>
        <w:rPr>
          <w:rFonts w:ascii="Arial" w:hAnsi="Arial" w:cs="David" w:hint="cs"/>
          <w:szCs w:val="24"/>
          <w:rtl/>
        </w:rPr>
      </w:pPr>
      <w:r>
        <w:rPr>
          <w:rFonts w:ascii="Arial" w:hAnsi="Arial" w:cs="David" w:hint="cs"/>
          <w:szCs w:val="24"/>
          <w:rtl/>
        </w:rPr>
        <w:t xml:space="preserve">3. יש להביא להגשת כתבי אישום ולסגירתם המוחלטת של כלל מועדוני החשפנות הפועלים כיום בלא רישיון. </w:t>
      </w:r>
    </w:p>
    <w:p w14:paraId="07C1A82D" w14:textId="25F48F47" w:rsidR="004D262C" w:rsidRPr="004D262C" w:rsidRDefault="00F31749" w:rsidP="006F3F84">
      <w:pPr>
        <w:spacing w:after="240" w:line="360" w:lineRule="auto"/>
        <w:ind w:right="-284"/>
        <w:jc w:val="both"/>
        <w:rPr>
          <w:rFonts w:cs="David"/>
        </w:rPr>
      </w:pPr>
      <w:r>
        <w:rPr>
          <w:rFonts w:ascii="Arial" w:hAnsi="Arial" w:cs="David" w:hint="cs"/>
          <w:szCs w:val="24"/>
          <w:rtl/>
        </w:rPr>
        <w:t>4. יש לקדם את בקשת השר לביטחון פנים בנושא ריקוד</w:t>
      </w:r>
      <w:r>
        <w:rPr>
          <w:rFonts w:ascii="David" w:hAnsi="David" w:cs="David" w:hint="cs"/>
          <w:szCs w:val="24"/>
          <w:rtl/>
        </w:rPr>
        <w:t xml:space="preserve"> ה"לא</w:t>
      </w:r>
      <w:r w:rsidRPr="007F318F">
        <w:rPr>
          <w:rFonts w:ascii="David" w:hAnsi="David" w:cs="David" w:hint="cs"/>
          <w:szCs w:val="24"/>
          <w:rtl/>
        </w:rPr>
        <w:t xml:space="preserve">פ-דאנס" </w:t>
      </w:r>
      <w:r>
        <w:rPr>
          <w:rFonts w:ascii="David" w:hAnsi="David" w:cs="David" w:hint="cs"/>
          <w:szCs w:val="24"/>
          <w:rtl/>
        </w:rPr>
        <w:t>בו מתחככת האישה במחלצותיו של הגבר עד הגעתו לפרקן מיני</w:t>
      </w:r>
      <w:r>
        <w:rPr>
          <w:rFonts w:ascii="Arial" w:hAnsi="Arial" w:cs="David" w:hint="cs"/>
          <w:szCs w:val="24"/>
          <w:rtl/>
        </w:rPr>
        <w:t>, ולהוציא הנחיית פרקליטות ברורה המכלילה ריקוד זה כ"מעשה זנות". הדרישה מתחדדת נוכח העובדה כי כיום אין הגדרה ברורה למעשה זנות, אולם מן הפסיקה עולה כי מעשה זנות הינו שימוש בגוף האישה לשם סיפוק תאווה מינית, וכן קיומו של אתנן</w:t>
      </w:r>
      <w:r>
        <w:rPr>
          <w:rStyle w:val="af1"/>
          <w:rFonts w:ascii="Arial" w:hAnsi="Arial" w:cs="David"/>
          <w:szCs w:val="24"/>
          <w:rtl/>
        </w:rPr>
        <w:footnoteReference w:id="1"/>
      </w:r>
      <w:r>
        <w:rPr>
          <w:rFonts w:ascii="Arial" w:hAnsi="Arial" w:cs="David" w:hint="cs"/>
          <w:szCs w:val="24"/>
          <w:rtl/>
        </w:rPr>
        <w:t>, כאשר זנות אינה חייבת לבוא לידי ביטוי בהכרח בקיומם של יחסי מין</w:t>
      </w:r>
      <w:r>
        <w:rPr>
          <w:rStyle w:val="af1"/>
          <w:rFonts w:ascii="Arial" w:hAnsi="Arial" w:cs="David"/>
          <w:szCs w:val="24"/>
          <w:rtl/>
        </w:rPr>
        <w:footnoteReference w:id="2"/>
      </w:r>
      <w:r>
        <w:rPr>
          <w:rFonts w:ascii="Arial" w:hAnsi="Arial" w:cs="David" w:hint="cs"/>
          <w:szCs w:val="24"/>
          <w:rtl/>
        </w:rPr>
        <w:t xml:space="preserve">.  </w:t>
      </w:r>
    </w:p>
    <w:p w14:paraId="2B5D85D0" w14:textId="77777777" w:rsidR="00337D39" w:rsidRPr="004D262C" w:rsidRDefault="00337D39">
      <w:pPr>
        <w:rPr>
          <w:rFonts w:cs="David"/>
        </w:rPr>
      </w:pPr>
    </w:p>
    <w:sectPr w:rsidR="00337D39" w:rsidRPr="004D262C" w:rsidSect="0090647D">
      <w:headerReference w:type="default" r:id="rId9"/>
      <w:pgSz w:w="11906" w:h="16838"/>
      <w:pgMar w:top="1440" w:right="1440" w:bottom="1440" w:left="1440" w:header="720" w:footer="720" w:gutter="0"/>
      <w:cols w:space="720"/>
      <w:bidi/>
      <w:rtlGutter/>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1A77C9" w15:done="0"/>
  <w15:commentEx w15:paraId="4A721AC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1A77C9" w16cid:durableId="1DCEA71E"/>
  <w16cid:commentId w16cid:paraId="4A721AC2" w16cid:durableId="1DCEA2F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814078" w14:textId="77777777" w:rsidR="003B410D" w:rsidRDefault="003B410D" w:rsidP="009D1156">
      <w:r>
        <w:separator/>
      </w:r>
    </w:p>
  </w:endnote>
  <w:endnote w:type="continuationSeparator" w:id="0">
    <w:p w14:paraId="1044F6FF" w14:textId="77777777" w:rsidR="003B410D" w:rsidRDefault="003B410D" w:rsidP="009D1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BBCF55" w14:textId="77777777" w:rsidR="003B410D" w:rsidRDefault="003B410D" w:rsidP="009D1156">
      <w:r>
        <w:separator/>
      </w:r>
    </w:p>
  </w:footnote>
  <w:footnote w:type="continuationSeparator" w:id="0">
    <w:p w14:paraId="281FDC96" w14:textId="77777777" w:rsidR="003B410D" w:rsidRDefault="003B410D" w:rsidP="009D1156">
      <w:r>
        <w:continuationSeparator/>
      </w:r>
    </w:p>
  </w:footnote>
  <w:footnote w:id="1">
    <w:p w14:paraId="627DEC33" w14:textId="7EA235DB" w:rsidR="00F31749" w:rsidRDefault="00F31749">
      <w:pPr>
        <w:pStyle w:val="af"/>
        <w:rPr>
          <w:rFonts w:hint="cs"/>
        </w:rPr>
      </w:pPr>
      <w:r>
        <w:rPr>
          <w:rStyle w:val="af1"/>
        </w:rPr>
        <w:footnoteRef/>
      </w:r>
      <w:r>
        <w:rPr>
          <w:rtl/>
        </w:rPr>
        <w:t xml:space="preserve"> </w:t>
      </w:r>
      <w:r>
        <w:rPr>
          <w:rFonts w:ascii="Arial" w:hAnsi="Arial" w:cs="David" w:hint="cs"/>
          <w:szCs w:val="24"/>
          <w:rtl/>
        </w:rPr>
        <w:t xml:space="preserve">ע"פ 531/75 </w:t>
      </w:r>
      <w:r w:rsidRPr="00C47580">
        <w:rPr>
          <w:rFonts w:ascii="Arial" w:hAnsi="Arial" w:cs="David" w:hint="cs"/>
          <w:b/>
          <w:bCs/>
          <w:szCs w:val="24"/>
          <w:rtl/>
        </w:rPr>
        <w:t>אביטל נ' מדינת ישראל</w:t>
      </w:r>
      <w:r>
        <w:rPr>
          <w:rFonts w:ascii="Arial" w:hAnsi="Arial" w:cs="David" w:hint="cs"/>
          <w:szCs w:val="24"/>
          <w:rtl/>
        </w:rPr>
        <w:t xml:space="preserve"> פ"ד ל(2) 579)</w:t>
      </w:r>
    </w:p>
  </w:footnote>
  <w:footnote w:id="2">
    <w:p w14:paraId="32295D27" w14:textId="64380839" w:rsidR="00F31749" w:rsidRDefault="00F31749">
      <w:pPr>
        <w:pStyle w:val="af"/>
        <w:rPr>
          <w:rFonts w:hint="cs"/>
          <w:rtl/>
        </w:rPr>
      </w:pPr>
      <w:r>
        <w:rPr>
          <w:rStyle w:val="af1"/>
        </w:rPr>
        <w:footnoteRef/>
      </w:r>
      <w:r>
        <w:rPr>
          <w:rtl/>
        </w:rPr>
        <w:t xml:space="preserve"> </w:t>
      </w:r>
      <w:r>
        <w:rPr>
          <w:rFonts w:ascii="Arial" w:hAnsi="Arial" w:cs="David" w:hint="cs"/>
          <w:szCs w:val="24"/>
          <w:rtl/>
        </w:rPr>
        <w:t xml:space="preserve">ע"פ 538/75 </w:t>
      </w:r>
      <w:r w:rsidRPr="00C47580">
        <w:rPr>
          <w:rFonts w:ascii="Arial" w:hAnsi="Arial" w:cs="David" w:hint="cs"/>
          <w:b/>
          <w:bCs/>
          <w:szCs w:val="24"/>
          <w:rtl/>
        </w:rPr>
        <w:t>לבן נ' מדינת ישראל</w:t>
      </w:r>
      <w:r>
        <w:rPr>
          <w:rFonts w:ascii="Arial" w:hAnsi="Arial" w:cs="David" w:hint="cs"/>
          <w:szCs w:val="24"/>
          <w:rtl/>
        </w:rPr>
        <w:t xml:space="preserve"> פ"ד ל(2) 583)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6954E7" w14:textId="77777777" w:rsidR="00FA2D17" w:rsidRDefault="00FA2D17" w:rsidP="009D1156">
    <w:pPr>
      <w:pStyle w:val="a3"/>
      <w:jc w:val="right"/>
    </w:pPr>
    <w:r>
      <w:rPr>
        <w:noProof/>
      </w:rPr>
      <w:drawing>
        <wp:inline distT="0" distB="0" distL="0" distR="0" wp14:anchorId="5AC2E928" wp14:editId="02779C78">
          <wp:extent cx="990600" cy="990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atte ivrit small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90600" cy="990600"/>
                  </a:xfrm>
                  <a:prstGeom prst="rect">
                    <a:avLst/>
                  </a:prstGeom>
                </pic:spPr>
              </pic:pic>
            </a:graphicData>
          </a:graphic>
        </wp:inline>
      </w:drawing>
    </w:r>
  </w:p>
  <w:p w14:paraId="4CEB0D11" w14:textId="77777777" w:rsidR="009D1156" w:rsidRPr="009D1156" w:rsidRDefault="009D1156" w:rsidP="009D1156">
    <w:pPr>
      <w:pStyle w:val="a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53210"/>
    <w:multiLevelType w:val="hybridMultilevel"/>
    <w:tmpl w:val="ABFEB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E20BAC"/>
    <w:multiLevelType w:val="singleLevel"/>
    <w:tmpl w:val="E0E2DC0E"/>
    <w:lvl w:ilvl="0">
      <w:start w:val="1"/>
      <w:numFmt w:val="decimal"/>
      <w:lvlText w:val="%1."/>
      <w:lvlJc w:val="left"/>
      <w:pPr>
        <w:tabs>
          <w:tab w:val="num" w:pos="647"/>
        </w:tabs>
        <w:ind w:left="647" w:hanging="705"/>
      </w:pPr>
      <w:rPr>
        <w:rFonts w:cs="David" w:hint="default"/>
        <w:b w:val="0"/>
        <w:bCs w:val="0"/>
        <w:sz w:val="24"/>
        <w:lang w:val="en-US" w:bidi="he-IL"/>
      </w:rPr>
    </w:lvl>
  </w:abstractNum>
  <w:abstractNum w:abstractNumId="2">
    <w:nsid w:val="1A462DD9"/>
    <w:multiLevelType w:val="hybridMultilevel"/>
    <w:tmpl w:val="38A0B94A"/>
    <w:lvl w:ilvl="0" w:tplc="32044E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CE1261"/>
    <w:multiLevelType w:val="hybridMultilevel"/>
    <w:tmpl w:val="788E4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אייל מנחם בן סעדון">
    <w15:presenceInfo w15:providerId="AD" w15:userId="S-1-5-21-2426511824-2964839349-2927825220-10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156"/>
    <w:rsid w:val="000C0CFC"/>
    <w:rsid w:val="00133E8A"/>
    <w:rsid w:val="001B323B"/>
    <w:rsid w:val="00314933"/>
    <w:rsid w:val="00337D39"/>
    <w:rsid w:val="0038353A"/>
    <w:rsid w:val="003B410D"/>
    <w:rsid w:val="004D262C"/>
    <w:rsid w:val="00515A0D"/>
    <w:rsid w:val="00575E48"/>
    <w:rsid w:val="00646B4D"/>
    <w:rsid w:val="00672F0C"/>
    <w:rsid w:val="0068163F"/>
    <w:rsid w:val="006F3F84"/>
    <w:rsid w:val="006F4AEF"/>
    <w:rsid w:val="007A6EC5"/>
    <w:rsid w:val="008115A3"/>
    <w:rsid w:val="0090647D"/>
    <w:rsid w:val="00935966"/>
    <w:rsid w:val="009D1156"/>
    <w:rsid w:val="00A72840"/>
    <w:rsid w:val="00B22AA7"/>
    <w:rsid w:val="00BC1149"/>
    <w:rsid w:val="00BD3C74"/>
    <w:rsid w:val="00CB2C04"/>
    <w:rsid w:val="00CE2D13"/>
    <w:rsid w:val="00DC218B"/>
    <w:rsid w:val="00DE3D72"/>
    <w:rsid w:val="00E2651A"/>
    <w:rsid w:val="00EE104C"/>
    <w:rsid w:val="00F31749"/>
    <w:rsid w:val="00F855F0"/>
    <w:rsid w:val="00FA2D17"/>
    <w:rsid w:val="00FB77C8"/>
    <w:rsid w:val="00FD5266"/>
    <w:rsid w:val="00FE297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BC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CFC"/>
    <w:pPr>
      <w:bidi/>
      <w:spacing w:after="0" w:line="240" w:lineRule="auto"/>
    </w:pPr>
    <w:rPr>
      <w:rFonts w:ascii="Times New Roman" w:eastAsia="Times New Roman" w:hAnsi="Times New Roman" w:cs="Times New Roman"/>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1156"/>
    <w:pPr>
      <w:tabs>
        <w:tab w:val="center" w:pos="4513"/>
        <w:tab w:val="right" w:pos="9026"/>
      </w:tabs>
    </w:pPr>
  </w:style>
  <w:style w:type="character" w:customStyle="1" w:styleId="a4">
    <w:name w:val="כותרת עליונה תו"/>
    <w:basedOn w:val="a0"/>
    <w:link w:val="a3"/>
    <w:uiPriority w:val="99"/>
    <w:rsid w:val="009D1156"/>
  </w:style>
  <w:style w:type="paragraph" w:styleId="a5">
    <w:name w:val="footer"/>
    <w:basedOn w:val="a"/>
    <w:link w:val="a6"/>
    <w:uiPriority w:val="99"/>
    <w:unhideWhenUsed/>
    <w:rsid w:val="009D1156"/>
    <w:pPr>
      <w:tabs>
        <w:tab w:val="center" w:pos="4513"/>
        <w:tab w:val="right" w:pos="9026"/>
      </w:tabs>
    </w:pPr>
  </w:style>
  <w:style w:type="character" w:customStyle="1" w:styleId="a6">
    <w:name w:val="כותרת תחתונה תו"/>
    <w:basedOn w:val="a0"/>
    <w:link w:val="a5"/>
    <w:uiPriority w:val="99"/>
    <w:rsid w:val="009D1156"/>
  </w:style>
  <w:style w:type="paragraph" w:styleId="a7">
    <w:name w:val="Balloon Text"/>
    <w:basedOn w:val="a"/>
    <w:link w:val="a8"/>
    <w:uiPriority w:val="99"/>
    <w:semiHidden/>
    <w:unhideWhenUsed/>
    <w:rsid w:val="009D1156"/>
    <w:rPr>
      <w:rFonts w:ascii="Tahoma" w:hAnsi="Tahoma" w:cs="Tahoma"/>
      <w:sz w:val="16"/>
      <w:szCs w:val="16"/>
    </w:rPr>
  </w:style>
  <w:style w:type="character" w:customStyle="1" w:styleId="a8">
    <w:name w:val="טקסט בלונים תו"/>
    <w:basedOn w:val="a0"/>
    <w:link w:val="a7"/>
    <w:uiPriority w:val="99"/>
    <w:semiHidden/>
    <w:rsid w:val="009D1156"/>
    <w:rPr>
      <w:rFonts w:ascii="Tahoma" w:hAnsi="Tahoma" w:cs="Tahoma"/>
      <w:sz w:val="16"/>
      <w:szCs w:val="16"/>
    </w:rPr>
  </w:style>
  <w:style w:type="character" w:styleId="Hyperlink">
    <w:name w:val="Hyperlink"/>
    <w:basedOn w:val="a0"/>
    <w:uiPriority w:val="99"/>
    <w:unhideWhenUsed/>
    <w:rsid w:val="004D262C"/>
    <w:rPr>
      <w:color w:val="0000FF"/>
      <w:u w:val="single"/>
    </w:rPr>
  </w:style>
  <w:style w:type="paragraph" w:styleId="a9">
    <w:name w:val="List Paragraph"/>
    <w:basedOn w:val="a"/>
    <w:uiPriority w:val="34"/>
    <w:qFormat/>
    <w:rsid w:val="004D262C"/>
    <w:pPr>
      <w:spacing w:after="160" w:line="259" w:lineRule="auto"/>
      <w:ind w:left="720"/>
      <w:contextualSpacing/>
    </w:pPr>
  </w:style>
  <w:style w:type="character" w:styleId="aa">
    <w:name w:val="annotation reference"/>
    <w:basedOn w:val="a0"/>
    <w:uiPriority w:val="99"/>
    <w:semiHidden/>
    <w:unhideWhenUsed/>
    <w:rsid w:val="00646B4D"/>
    <w:rPr>
      <w:sz w:val="16"/>
      <w:szCs w:val="16"/>
    </w:rPr>
  </w:style>
  <w:style w:type="paragraph" w:styleId="ab">
    <w:name w:val="annotation text"/>
    <w:basedOn w:val="a"/>
    <w:link w:val="ac"/>
    <w:uiPriority w:val="99"/>
    <w:semiHidden/>
    <w:unhideWhenUsed/>
    <w:rsid w:val="00646B4D"/>
    <w:rPr>
      <w:sz w:val="20"/>
      <w:szCs w:val="20"/>
    </w:rPr>
  </w:style>
  <w:style w:type="character" w:customStyle="1" w:styleId="ac">
    <w:name w:val="טקסט הערה תו"/>
    <w:basedOn w:val="a0"/>
    <w:link w:val="ab"/>
    <w:uiPriority w:val="99"/>
    <w:semiHidden/>
    <w:rsid w:val="00646B4D"/>
    <w:rPr>
      <w:rFonts w:ascii="Times New Roman" w:eastAsia="Times New Roman" w:hAnsi="Times New Roman" w:cs="Times New Roman"/>
      <w:sz w:val="20"/>
      <w:szCs w:val="20"/>
    </w:rPr>
  </w:style>
  <w:style w:type="paragraph" w:styleId="ad">
    <w:name w:val="annotation subject"/>
    <w:basedOn w:val="ab"/>
    <w:next w:val="ab"/>
    <w:link w:val="ae"/>
    <w:uiPriority w:val="99"/>
    <w:semiHidden/>
    <w:unhideWhenUsed/>
    <w:rsid w:val="00646B4D"/>
    <w:rPr>
      <w:b/>
      <w:bCs/>
    </w:rPr>
  </w:style>
  <w:style w:type="character" w:customStyle="1" w:styleId="ae">
    <w:name w:val="נושא הערה תו"/>
    <w:basedOn w:val="ac"/>
    <w:link w:val="ad"/>
    <w:uiPriority w:val="99"/>
    <w:semiHidden/>
    <w:rsid w:val="00646B4D"/>
    <w:rPr>
      <w:rFonts w:ascii="Times New Roman" w:eastAsia="Times New Roman" w:hAnsi="Times New Roman" w:cs="Times New Roman"/>
      <w:b/>
      <w:bCs/>
      <w:sz w:val="20"/>
      <w:szCs w:val="20"/>
    </w:rPr>
  </w:style>
  <w:style w:type="paragraph" w:styleId="af">
    <w:name w:val="footnote text"/>
    <w:basedOn w:val="a"/>
    <w:link w:val="af0"/>
    <w:uiPriority w:val="99"/>
    <w:semiHidden/>
    <w:unhideWhenUsed/>
    <w:rsid w:val="00F31749"/>
    <w:rPr>
      <w:sz w:val="20"/>
      <w:szCs w:val="20"/>
    </w:rPr>
  </w:style>
  <w:style w:type="character" w:customStyle="1" w:styleId="af0">
    <w:name w:val="טקסט הערת שוליים תו"/>
    <w:basedOn w:val="a0"/>
    <w:link w:val="af"/>
    <w:uiPriority w:val="99"/>
    <w:semiHidden/>
    <w:rsid w:val="00F31749"/>
    <w:rPr>
      <w:rFonts w:ascii="Times New Roman" w:eastAsia="Times New Roman" w:hAnsi="Times New Roman" w:cs="Times New Roman"/>
      <w:sz w:val="20"/>
      <w:szCs w:val="20"/>
    </w:rPr>
  </w:style>
  <w:style w:type="character" w:styleId="af1">
    <w:name w:val="footnote reference"/>
    <w:basedOn w:val="a0"/>
    <w:uiPriority w:val="99"/>
    <w:semiHidden/>
    <w:unhideWhenUsed/>
    <w:rsid w:val="00F3174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CFC"/>
    <w:pPr>
      <w:bidi/>
      <w:spacing w:after="0" w:line="240" w:lineRule="auto"/>
    </w:pPr>
    <w:rPr>
      <w:rFonts w:ascii="Times New Roman" w:eastAsia="Times New Roman" w:hAnsi="Times New Roman" w:cs="Times New Roman"/>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1156"/>
    <w:pPr>
      <w:tabs>
        <w:tab w:val="center" w:pos="4513"/>
        <w:tab w:val="right" w:pos="9026"/>
      </w:tabs>
    </w:pPr>
  </w:style>
  <w:style w:type="character" w:customStyle="1" w:styleId="a4">
    <w:name w:val="כותרת עליונה תו"/>
    <w:basedOn w:val="a0"/>
    <w:link w:val="a3"/>
    <w:uiPriority w:val="99"/>
    <w:rsid w:val="009D1156"/>
  </w:style>
  <w:style w:type="paragraph" w:styleId="a5">
    <w:name w:val="footer"/>
    <w:basedOn w:val="a"/>
    <w:link w:val="a6"/>
    <w:uiPriority w:val="99"/>
    <w:unhideWhenUsed/>
    <w:rsid w:val="009D1156"/>
    <w:pPr>
      <w:tabs>
        <w:tab w:val="center" w:pos="4513"/>
        <w:tab w:val="right" w:pos="9026"/>
      </w:tabs>
    </w:pPr>
  </w:style>
  <w:style w:type="character" w:customStyle="1" w:styleId="a6">
    <w:name w:val="כותרת תחתונה תו"/>
    <w:basedOn w:val="a0"/>
    <w:link w:val="a5"/>
    <w:uiPriority w:val="99"/>
    <w:rsid w:val="009D1156"/>
  </w:style>
  <w:style w:type="paragraph" w:styleId="a7">
    <w:name w:val="Balloon Text"/>
    <w:basedOn w:val="a"/>
    <w:link w:val="a8"/>
    <w:uiPriority w:val="99"/>
    <w:semiHidden/>
    <w:unhideWhenUsed/>
    <w:rsid w:val="009D1156"/>
    <w:rPr>
      <w:rFonts w:ascii="Tahoma" w:hAnsi="Tahoma" w:cs="Tahoma"/>
      <w:sz w:val="16"/>
      <w:szCs w:val="16"/>
    </w:rPr>
  </w:style>
  <w:style w:type="character" w:customStyle="1" w:styleId="a8">
    <w:name w:val="טקסט בלונים תו"/>
    <w:basedOn w:val="a0"/>
    <w:link w:val="a7"/>
    <w:uiPriority w:val="99"/>
    <w:semiHidden/>
    <w:rsid w:val="009D1156"/>
    <w:rPr>
      <w:rFonts w:ascii="Tahoma" w:hAnsi="Tahoma" w:cs="Tahoma"/>
      <w:sz w:val="16"/>
      <w:szCs w:val="16"/>
    </w:rPr>
  </w:style>
  <w:style w:type="character" w:styleId="Hyperlink">
    <w:name w:val="Hyperlink"/>
    <w:basedOn w:val="a0"/>
    <w:uiPriority w:val="99"/>
    <w:unhideWhenUsed/>
    <w:rsid w:val="004D262C"/>
    <w:rPr>
      <w:color w:val="0000FF"/>
      <w:u w:val="single"/>
    </w:rPr>
  </w:style>
  <w:style w:type="paragraph" w:styleId="a9">
    <w:name w:val="List Paragraph"/>
    <w:basedOn w:val="a"/>
    <w:uiPriority w:val="34"/>
    <w:qFormat/>
    <w:rsid w:val="004D262C"/>
    <w:pPr>
      <w:spacing w:after="160" w:line="259" w:lineRule="auto"/>
      <w:ind w:left="720"/>
      <w:contextualSpacing/>
    </w:pPr>
  </w:style>
  <w:style w:type="character" w:styleId="aa">
    <w:name w:val="annotation reference"/>
    <w:basedOn w:val="a0"/>
    <w:uiPriority w:val="99"/>
    <w:semiHidden/>
    <w:unhideWhenUsed/>
    <w:rsid w:val="00646B4D"/>
    <w:rPr>
      <w:sz w:val="16"/>
      <w:szCs w:val="16"/>
    </w:rPr>
  </w:style>
  <w:style w:type="paragraph" w:styleId="ab">
    <w:name w:val="annotation text"/>
    <w:basedOn w:val="a"/>
    <w:link w:val="ac"/>
    <w:uiPriority w:val="99"/>
    <w:semiHidden/>
    <w:unhideWhenUsed/>
    <w:rsid w:val="00646B4D"/>
    <w:rPr>
      <w:sz w:val="20"/>
      <w:szCs w:val="20"/>
    </w:rPr>
  </w:style>
  <w:style w:type="character" w:customStyle="1" w:styleId="ac">
    <w:name w:val="טקסט הערה תו"/>
    <w:basedOn w:val="a0"/>
    <w:link w:val="ab"/>
    <w:uiPriority w:val="99"/>
    <w:semiHidden/>
    <w:rsid w:val="00646B4D"/>
    <w:rPr>
      <w:rFonts w:ascii="Times New Roman" w:eastAsia="Times New Roman" w:hAnsi="Times New Roman" w:cs="Times New Roman"/>
      <w:sz w:val="20"/>
      <w:szCs w:val="20"/>
    </w:rPr>
  </w:style>
  <w:style w:type="paragraph" w:styleId="ad">
    <w:name w:val="annotation subject"/>
    <w:basedOn w:val="ab"/>
    <w:next w:val="ab"/>
    <w:link w:val="ae"/>
    <w:uiPriority w:val="99"/>
    <w:semiHidden/>
    <w:unhideWhenUsed/>
    <w:rsid w:val="00646B4D"/>
    <w:rPr>
      <w:b/>
      <w:bCs/>
    </w:rPr>
  </w:style>
  <w:style w:type="character" w:customStyle="1" w:styleId="ae">
    <w:name w:val="נושא הערה תו"/>
    <w:basedOn w:val="ac"/>
    <w:link w:val="ad"/>
    <w:uiPriority w:val="99"/>
    <w:semiHidden/>
    <w:rsid w:val="00646B4D"/>
    <w:rPr>
      <w:rFonts w:ascii="Times New Roman" w:eastAsia="Times New Roman" w:hAnsi="Times New Roman" w:cs="Times New Roman"/>
      <w:b/>
      <w:bCs/>
      <w:sz w:val="20"/>
      <w:szCs w:val="20"/>
    </w:rPr>
  </w:style>
  <w:style w:type="paragraph" w:styleId="af">
    <w:name w:val="footnote text"/>
    <w:basedOn w:val="a"/>
    <w:link w:val="af0"/>
    <w:uiPriority w:val="99"/>
    <w:semiHidden/>
    <w:unhideWhenUsed/>
    <w:rsid w:val="00F31749"/>
    <w:rPr>
      <w:sz w:val="20"/>
      <w:szCs w:val="20"/>
    </w:rPr>
  </w:style>
  <w:style w:type="character" w:customStyle="1" w:styleId="af0">
    <w:name w:val="טקסט הערת שוליים תו"/>
    <w:basedOn w:val="a0"/>
    <w:link w:val="af"/>
    <w:uiPriority w:val="99"/>
    <w:semiHidden/>
    <w:rsid w:val="00F31749"/>
    <w:rPr>
      <w:rFonts w:ascii="Times New Roman" w:eastAsia="Times New Roman" w:hAnsi="Times New Roman" w:cs="Times New Roman"/>
      <w:sz w:val="20"/>
      <w:szCs w:val="20"/>
    </w:rPr>
  </w:style>
  <w:style w:type="character" w:styleId="af1">
    <w:name w:val="footnote reference"/>
    <w:basedOn w:val="a0"/>
    <w:uiPriority w:val="99"/>
    <w:semiHidden/>
    <w:unhideWhenUsed/>
    <w:rsid w:val="00F317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464852">
      <w:bodyDiv w:val="1"/>
      <w:marLeft w:val="0"/>
      <w:marRight w:val="0"/>
      <w:marTop w:val="0"/>
      <w:marBottom w:val="0"/>
      <w:divBdr>
        <w:top w:val="none" w:sz="0" w:space="0" w:color="auto"/>
        <w:left w:val="none" w:sz="0" w:space="0" w:color="auto"/>
        <w:bottom w:val="none" w:sz="0" w:space="0" w:color="auto"/>
        <w:right w:val="none" w:sz="0" w:space="0" w:color="auto"/>
      </w:divBdr>
      <w:divsChild>
        <w:div w:id="720254518">
          <w:marLeft w:val="0"/>
          <w:marRight w:val="0"/>
          <w:marTop w:val="0"/>
          <w:marBottom w:val="0"/>
          <w:divBdr>
            <w:top w:val="none" w:sz="0" w:space="0" w:color="auto"/>
            <w:left w:val="none" w:sz="0" w:space="0" w:color="auto"/>
            <w:bottom w:val="none" w:sz="0" w:space="0" w:color="auto"/>
            <w:right w:val="none" w:sz="0" w:space="0" w:color="auto"/>
          </w:divBdr>
        </w:div>
        <w:div w:id="1182552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695E38-22CC-43CA-9BF0-15F3C3984B95}">
  <ds:schemaRefs>
    <ds:schemaRef ds:uri="http://schemas.openxmlformats.org/officeDocument/2006/bibliography"/>
  </ds:schemaRefs>
</ds:datastoreItem>
</file>

<file path=customXml/itemProps2.xml><?xml version="1.0" encoding="utf-8"?>
<ds:datastoreItem xmlns:ds="http://schemas.openxmlformats.org/officeDocument/2006/customXml" ds:itemID="{0636FF9F-4A17-46E7-93A5-87ADFA8D78E1}"/>
</file>

<file path=customXml/itemProps3.xml><?xml version="1.0" encoding="utf-8"?>
<ds:datastoreItem xmlns:ds="http://schemas.openxmlformats.org/officeDocument/2006/customXml" ds:itemID="{6BA270CE-E33F-4483-AFAA-C65F5EC6E91A}"/>
</file>

<file path=customXml/itemProps4.xml><?xml version="1.0" encoding="utf-8"?>
<ds:datastoreItem xmlns:ds="http://schemas.openxmlformats.org/officeDocument/2006/customXml" ds:itemID="{0E8AD93F-3774-44B4-95F2-662328A0420F}"/>
</file>

<file path=docProps/app.xml><?xml version="1.0" encoding="utf-8"?>
<Properties xmlns="http://schemas.openxmlformats.org/officeDocument/2006/extended-properties" xmlns:vt="http://schemas.openxmlformats.org/officeDocument/2006/docPropsVTypes">
  <Template>Normal</Template>
  <TotalTime>89</TotalTime>
  <Pages>2</Pages>
  <Words>727</Words>
  <Characters>3636</Characters>
  <Application>Microsoft Office Word</Application>
  <DocSecurity>0</DocSecurity>
  <Lines>30</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Reuma</dc:creator>
  <cp:lastModifiedBy>יעל בן סעדון</cp:lastModifiedBy>
  <cp:revision>6</cp:revision>
  <cp:lastPrinted>2016-08-07T07:49:00Z</cp:lastPrinted>
  <dcterms:created xsi:type="dcterms:W3CDTF">2017-11-30T14:11:00Z</dcterms:created>
  <dcterms:modified xsi:type="dcterms:W3CDTF">2017-12-04T12:30:00Z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2023003</vt:r8>
  </property>
</Properties>
</file>