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0D8" w:rsidRDefault="004650D8" w:rsidP="004650D8">
      <w:pPr>
        <w:pStyle w:val="HeadHatzaotHok"/>
        <w:contextualSpacing/>
        <w:rPr>
          <w:rtl/>
        </w:rPr>
      </w:pPr>
      <w:bookmarkStart w:id="0" w:name="_GoBack"/>
      <w:bookmarkEnd w:id="0"/>
      <w:r>
        <w:rPr>
          <w:rtl/>
        </w:rPr>
        <w:t xml:space="preserve">תקנות רישום קבלנים לעבודות הנדסה בנאיות </w:t>
      </w:r>
    </w:p>
    <w:p w:rsidR="006E4BE5" w:rsidRDefault="004650D8" w:rsidP="008C556C">
      <w:pPr>
        <w:pStyle w:val="HeadHatzaotHok"/>
        <w:contextualSpacing/>
        <w:rPr>
          <w:rtl/>
        </w:rPr>
      </w:pPr>
      <w:r>
        <w:rPr>
          <w:rtl/>
        </w:rPr>
        <w:t>(קביעת ענפים וחלוקת ענפים לענפי משנה) (תיקון), התשע"</w:t>
      </w:r>
      <w:r w:rsidR="008C556C">
        <w:rPr>
          <w:rFonts w:hint="cs"/>
          <w:rtl/>
        </w:rPr>
        <w:t>ח</w:t>
      </w:r>
      <w:r>
        <w:rPr>
          <w:rtl/>
        </w:rPr>
        <w:t>-2017</w:t>
      </w:r>
    </w:p>
    <w:p w:rsidR="004650D8" w:rsidRDefault="004650D8" w:rsidP="004650D8">
      <w:pPr>
        <w:pStyle w:val="HeadHatzaotHok"/>
        <w:contextualSpacing/>
        <w:rPr>
          <w:rtl/>
        </w:rPr>
      </w:pPr>
    </w:p>
    <w:tbl>
      <w:tblPr>
        <w:bidiVisual/>
        <w:tblW w:w="9068" w:type="dxa"/>
        <w:tblInd w:w="-620" w:type="dxa"/>
        <w:tblLayout w:type="fixed"/>
        <w:tblCellMar>
          <w:top w:w="57" w:type="dxa"/>
          <w:left w:w="0" w:type="dxa"/>
          <w:bottom w:w="57" w:type="dxa"/>
          <w:right w:w="0" w:type="dxa"/>
        </w:tblCellMar>
        <w:tblLook w:val="01E0" w:firstRow="1" w:lastRow="1" w:firstColumn="1" w:lastColumn="1" w:noHBand="0" w:noVBand="0"/>
      </w:tblPr>
      <w:tblGrid>
        <w:gridCol w:w="1759"/>
        <w:gridCol w:w="587"/>
        <w:gridCol w:w="6722"/>
      </w:tblGrid>
      <w:tr w:rsidR="006868AE" w:rsidTr="006868AE">
        <w:trPr>
          <w:cantSplit/>
          <w:trHeight w:val="60"/>
        </w:trPr>
        <w:tc>
          <w:tcPr>
            <w:tcW w:w="9058" w:type="dxa"/>
            <w:gridSpan w:val="3"/>
          </w:tcPr>
          <w:p w:rsidR="006868AE" w:rsidRPr="006E4BE5" w:rsidRDefault="006868AE" w:rsidP="00720BE2">
            <w:pPr>
              <w:pStyle w:val="TableBlock"/>
            </w:pPr>
            <w:r>
              <w:rPr>
                <w:rFonts w:hint="cs"/>
                <w:rtl/>
              </w:rPr>
              <w:t xml:space="preserve">בתוקף סמכותי לפי </w:t>
            </w:r>
            <w:r w:rsidRPr="004650D8">
              <w:rPr>
                <w:rtl/>
              </w:rPr>
              <w:t>סעיפים 1, 2 ו-17 לחוק רישום קבלנים לעבודות הנדסה בנאיות, התשכ"ט-1969</w:t>
            </w:r>
            <w:r>
              <w:rPr>
                <w:rStyle w:val="a7"/>
                <w:rFonts w:cs="FrankRuehl"/>
                <w:noProof/>
                <w:sz w:val="26"/>
                <w:rtl/>
                <w:lang w:eastAsia="he-IL"/>
              </w:rPr>
              <w:footnoteReference w:id="1"/>
            </w:r>
            <w:r>
              <w:rPr>
                <w:rStyle w:val="default"/>
                <w:rFonts w:cs="FrankRuehl" w:hint="cs"/>
                <w:noProof/>
                <w:rtl/>
                <w:lang w:eastAsia="he-IL"/>
              </w:rPr>
              <w:t xml:space="preserve"> </w:t>
            </w:r>
            <w:r w:rsidRPr="004650D8">
              <w:rPr>
                <w:rtl/>
              </w:rPr>
              <w:t xml:space="preserve">(להלן – </w:t>
            </w:r>
            <w:r w:rsidRPr="007A07C3">
              <w:rPr>
                <w:rtl/>
              </w:rPr>
              <w:t>החוק), לאחר התייעצות עם המועצה ו</w:t>
            </w:r>
            <w:r w:rsidR="00243DF9" w:rsidRPr="001B36BB">
              <w:rPr>
                <w:rFonts w:hint="eastAsia"/>
                <w:rtl/>
              </w:rPr>
              <w:t>לאחר</w:t>
            </w:r>
            <w:r w:rsidR="00243DF9" w:rsidRPr="001B36BB">
              <w:rPr>
                <w:rtl/>
              </w:rPr>
              <w:t xml:space="preserve"> התייעצות </w:t>
            </w:r>
            <w:r w:rsidR="00720BE2" w:rsidRPr="007A07C3">
              <w:rPr>
                <w:rFonts w:hint="eastAsia"/>
                <w:rtl/>
              </w:rPr>
              <w:t>עם</w:t>
            </w:r>
            <w:r w:rsidRPr="007A07C3">
              <w:rPr>
                <w:rtl/>
              </w:rPr>
              <w:t xml:space="preserve"> ועדת הכלכלה של הכנסת</w:t>
            </w:r>
            <w:r w:rsidR="00720BE2" w:rsidRPr="007A07C3">
              <w:rPr>
                <w:rtl/>
              </w:rPr>
              <w:t xml:space="preserve"> ובאישורה</w:t>
            </w:r>
            <w:r w:rsidRPr="007A07C3">
              <w:rPr>
                <w:rtl/>
              </w:rPr>
              <w:t>,</w:t>
            </w:r>
            <w:r w:rsidRPr="004650D8">
              <w:rPr>
                <w:rtl/>
              </w:rPr>
              <w:t xml:space="preserve"> אני מתקין תקנות אלה:</w:t>
            </w:r>
          </w:p>
        </w:tc>
      </w:tr>
      <w:tr w:rsidR="006E4BE5" w:rsidTr="006868AE">
        <w:trPr>
          <w:cantSplit/>
          <w:trHeight w:val="60"/>
        </w:trPr>
        <w:tc>
          <w:tcPr>
            <w:tcW w:w="1757" w:type="dxa"/>
          </w:tcPr>
          <w:p w:rsidR="006E4BE5" w:rsidRDefault="007A07C3" w:rsidP="007E751D">
            <w:pPr>
              <w:pStyle w:val="TableSideHeading"/>
              <w:keepLines w:val="0"/>
            </w:pPr>
            <w:r>
              <w:rPr>
                <w:rFonts w:hint="cs"/>
                <w:rtl/>
              </w:rPr>
              <w:t xml:space="preserve">תיקון </w:t>
            </w:r>
            <w:r w:rsidR="006E4BE5">
              <w:rPr>
                <w:rFonts w:hint="cs"/>
                <w:rtl/>
              </w:rPr>
              <w:t>תקנה 1</w:t>
            </w:r>
          </w:p>
        </w:tc>
        <w:tc>
          <w:tcPr>
            <w:tcW w:w="586" w:type="dxa"/>
          </w:tcPr>
          <w:p w:rsidR="006E4BE5" w:rsidRDefault="006E4BE5" w:rsidP="006E4BE5">
            <w:pPr>
              <w:pStyle w:val="TableText"/>
              <w:keepLines w:val="0"/>
              <w:numPr>
                <w:ilvl w:val="0"/>
                <w:numId w:val="1"/>
              </w:numPr>
            </w:pPr>
          </w:p>
        </w:tc>
        <w:tc>
          <w:tcPr>
            <w:tcW w:w="6715" w:type="dxa"/>
          </w:tcPr>
          <w:p w:rsidR="006E4BE5" w:rsidRPr="00C34DE2" w:rsidRDefault="004650D8" w:rsidP="007A07C3">
            <w:pPr>
              <w:pStyle w:val="TableBlock"/>
              <w:keepLines w:val="0"/>
            </w:pPr>
            <w:r w:rsidRPr="004650D8">
              <w:rPr>
                <w:rtl/>
              </w:rPr>
              <w:t>בתקנות רישום קבלנים לעבודות הנדסה בנאיות (קביעת ענפים וחלוקת ענפים לענפי משנה), התשנ"ג-1993</w:t>
            </w:r>
            <w:r w:rsidR="007243C7" w:rsidRPr="00CB34AA">
              <w:rPr>
                <w:rStyle w:val="a7"/>
                <w:rFonts w:cs="FrankRuehl"/>
                <w:rtl/>
              </w:rPr>
              <w:footnoteReference w:id="2"/>
            </w:r>
            <w:r w:rsidRPr="004650D8">
              <w:rPr>
                <w:rtl/>
              </w:rPr>
              <w:t xml:space="preserve"> (להלן – התקנות העיקריות)</w:t>
            </w:r>
            <w:r w:rsidR="007A07C3">
              <w:rPr>
                <w:rFonts w:hint="cs"/>
                <w:rtl/>
              </w:rPr>
              <w:t>, האמור ב</w:t>
            </w:r>
            <w:r w:rsidRPr="004650D8">
              <w:rPr>
                <w:rtl/>
              </w:rPr>
              <w:t xml:space="preserve">תקנה 1 </w:t>
            </w:r>
            <w:r w:rsidR="007A07C3">
              <w:rPr>
                <w:rFonts w:hint="cs"/>
                <w:rtl/>
              </w:rPr>
              <w:t xml:space="preserve">יסומן "(א)" ואחריו </w:t>
            </w:r>
            <w:r w:rsidRPr="004650D8">
              <w:rPr>
                <w:rtl/>
              </w:rPr>
              <w:t>יבוא:</w:t>
            </w:r>
          </w:p>
        </w:tc>
      </w:tr>
      <w:tr w:rsidR="007A07C3" w:rsidTr="006868AE">
        <w:trPr>
          <w:cantSplit/>
          <w:trHeight w:val="60"/>
        </w:trPr>
        <w:tc>
          <w:tcPr>
            <w:tcW w:w="1757" w:type="dxa"/>
          </w:tcPr>
          <w:p w:rsidR="007A07C3" w:rsidDel="007A07C3" w:rsidRDefault="007A07C3" w:rsidP="007E751D">
            <w:pPr>
              <w:pStyle w:val="TableSideHeading"/>
              <w:keepLines w:val="0"/>
              <w:rPr>
                <w:rtl/>
              </w:rPr>
            </w:pPr>
          </w:p>
        </w:tc>
        <w:tc>
          <w:tcPr>
            <w:tcW w:w="586" w:type="dxa"/>
          </w:tcPr>
          <w:p w:rsidR="007A07C3" w:rsidRDefault="007A07C3" w:rsidP="001B36BB">
            <w:pPr>
              <w:pStyle w:val="TableText"/>
            </w:pPr>
          </w:p>
        </w:tc>
        <w:tc>
          <w:tcPr>
            <w:tcW w:w="6715" w:type="dxa"/>
          </w:tcPr>
          <w:p w:rsidR="007A07C3" w:rsidRPr="004650D8" w:rsidRDefault="007A07C3" w:rsidP="007A07C3">
            <w:pPr>
              <w:pStyle w:val="TableBlock"/>
              <w:keepLines w:val="0"/>
              <w:rPr>
                <w:rtl/>
              </w:rPr>
            </w:pPr>
            <w:r w:rsidRPr="009368FC">
              <w:rPr>
                <w:rFonts w:hint="cs"/>
                <w:rtl/>
              </w:rPr>
              <w:t xml:space="preserve">"(ב) </w:t>
            </w:r>
            <w:r w:rsidRPr="001B36BB">
              <w:rPr>
                <w:rFonts w:hint="eastAsia"/>
                <w:rtl/>
              </w:rPr>
              <w:t>על</w:t>
            </w:r>
            <w:r w:rsidRPr="001B36BB">
              <w:rPr>
                <w:rtl/>
              </w:rPr>
              <w:t xml:space="preserve"> אף האמור בתקנת משנה (א), לעניין סעיף 4 לחוק, יראו את ענפי המשנה 130 ו-150 כענפים ראשיים."</w:t>
            </w:r>
          </w:p>
        </w:tc>
      </w:tr>
      <w:tr w:rsidR="006E4BE5" w:rsidTr="006868AE">
        <w:trPr>
          <w:trHeight w:val="60"/>
        </w:trPr>
        <w:tc>
          <w:tcPr>
            <w:tcW w:w="1757" w:type="dxa"/>
          </w:tcPr>
          <w:p w:rsidR="006E4BE5" w:rsidRDefault="006E4BE5" w:rsidP="006E4BE5">
            <w:pPr>
              <w:pStyle w:val="TableSideHeading"/>
              <w:keepLines w:val="0"/>
            </w:pPr>
            <w:r>
              <w:rPr>
                <w:rFonts w:hint="cs"/>
                <w:rtl/>
              </w:rPr>
              <w:t>תיקון התוספת</w:t>
            </w:r>
          </w:p>
        </w:tc>
        <w:tc>
          <w:tcPr>
            <w:tcW w:w="586" w:type="dxa"/>
          </w:tcPr>
          <w:p w:rsidR="006E4BE5" w:rsidRDefault="006E4BE5" w:rsidP="006E4BE5">
            <w:pPr>
              <w:pStyle w:val="TableText"/>
              <w:keepLines w:val="0"/>
              <w:numPr>
                <w:ilvl w:val="0"/>
                <w:numId w:val="1"/>
              </w:numPr>
            </w:pPr>
          </w:p>
        </w:tc>
        <w:tc>
          <w:tcPr>
            <w:tcW w:w="6715" w:type="dxa"/>
          </w:tcPr>
          <w:p w:rsidR="006E4BE5" w:rsidRDefault="00E56E63" w:rsidP="00E56E63">
            <w:pPr>
              <w:pStyle w:val="TableBlock"/>
              <w:keepLines w:val="0"/>
              <w:rPr>
                <w:rtl/>
              </w:rPr>
            </w:pPr>
            <w:r w:rsidRPr="00324A6C">
              <w:rPr>
                <w:rFonts w:hint="cs"/>
                <w:rtl/>
              </w:rPr>
              <w:t xml:space="preserve">בתוספת לתקנות העיקריות </w:t>
            </w:r>
            <w:r w:rsidRPr="00324A6C">
              <w:rPr>
                <w:rtl/>
              </w:rPr>
              <w:t>–</w:t>
            </w:r>
          </w:p>
          <w:p w:rsidR="00E56E63" w:rsidRDefault="00E56E63" w:rsidP="006868AE">
            <w:pPr>
              <w:pStyle w:val="TableBlock"/>
              <w:rPr>
                <w:rtl/>
              </w:rPr>
            </w:pPr>
            <w:r>
              <w:rPr>
                <w:rtl/>
              </w:rPr>
              <w:t>(א)</w:t>
            </w:r>
            <w:r>
              <w:rPr>
                <w:rtl/>
              </w:rPr>
              <w:tab/>
              <w:t xml:space="preserve">יימחקו הענפים וענפי המשנה </w:t>
            </w:r>
            <w:r w:rsidR="006868AE">
              <w:rPr>
                <w:rtl/>
              </w:rPr>
              <w:t>ה</w:t>
            </w:r>
            <w:r w:rsidR="006868AE">
              <w:rPr>
                <w:rFonts w:hint="cs"/>
                <w:rtl/>
              </w:rPr>
              <w:t>אלה</w:t>
            </w:r>
            <w:r>
              <w:rPr>
                <w:rtl/>
              </w:rPr>
              <w:t xml:space="preserve">: </w:t>
            </w:r>
          </w:p>
          <w:p w:rsidR="00E56E63" w:rsidRDefault="00E56E63" w:rsidP="00E56E63">
            <w:pPr>
              <w:pStyle w:val="TableBlock"/>
              <w:rPr>
                <w:rtl/>
              </w:rPr>
            </w:pPr>
            <w:r>
              <w:rPr>
                <w:rtl/>
              </w:rPr>
              <w:t xml:space="preserve">"110 – עפר, </w:t>
            </w:r>
            <w:proofErr w:type="spellStart"/>
            <w:r>
              <w:rPr>
                <w:rtl/>
              </w:rPr>
              <w:t>חיצוב</w:t>
            </w:r>
            <w:proofErr w:type="spellEnd"/>
            <w:r>
              <w:rPr>
                <w:rtl/>
              </w:rPr>
              <w:t xml:space="preserve"> ופיצוץ";</w:t>
            </w:r>
          </w:p>
          <w:p w:rsidR="00E56E63" w:rsidRDefault="00E56E63" w:rsidP="00E56E63">
            <w:pPr>
              <w:pStyle w:val="TableBlock"/>
              <w:rPr>
                <w:rtl/>
              </w:rPr>
            </w:pPr>
            <w:r>
              <w:rPr>
                <w:rtl/>
              </w:rPr>
              <w:t>"121 – כלונס בסלע (</w:t>
            </w:r>
            <w:proofErr w:type="spellStart"/>
            <w:r>
              <w:rPr>
                <w:rtl/>
              </w:rPr>
              <w:t>מיקרופייל</w:t>
            </w:r>
            <w:proofErr w:type="spellEnd"/>
            <w:r>
              <w:rPr>
                <w:rtl/>
              </w:rPr>
              <w:t>)";</w:t>
            </w:r>
          </w:p>
          <w:p w:rsidR="00E56E63" w:rsidRDefault="00E56E63" w:rsidP="00E56E63">
            <w:pPr>
              <w:pStyle w:val="TableBlock"/>
              <w:rPr>
                <w:rtl/>
              </w:rPr>
            </w:pPr>
            <w:r>
              <w:rPr>
                <w:rtl/>
              </w:rPr>
              <w:t xml:space="preserve">"172 – </w:t>
            </w:r>
            <w:proofErr w:type="spellStart"/>
            <w:r>
              <w:rPr>
                <w:rtl/>
              </w:rPr>
              <w:t>מ</w:t>
            </w:r>
            <w:r w:rsidR="006868AE">
              <w:rPr>
                <w:rFonts w:hint="cs"/>
                <w:rtl/>
              </w:rPr>
              <w:t>י</w:t>
            </w:r>
            <w:r>
              <w:rPr>
                <w:rtl/>
              </w:rPr>
              <w:t>תקני</w:t>
            </w:r>
            <w:proofErr w:type="spellEnd"/>
            <w:r>
              <w:rPr>
                <w:rtl/>
              </w:rPr>
              <w:t xml:space="preserve"> קירור";</w:t>
            </w:r>
          </w:p>
          <w:p w:rsidR="00E56E63" w:rsidRDefault="00E56E63" w:rsidP="00E56E63">
            <w:pPr>
              <w:pStyle w:val="TableBlock"/>
              <w:rPr>
                <w:rtl/>
              </w:rPr>
            </w:pPr>
            <w:r>
              <w:rPr>
                <w:rtl/>
              </w:rPr>
              <w:t>"192 – מכלים טרומיים (ברכות, ממגורות) ממתכת או מחומר פלסטי";</w:t>
            </w:r>
          </w:p>
          <w:p w:rsidR="00E56E63" w:rsidRDefault="00E56E63" w:rsidP="00E56E63">
            <w:pPr>
              <w:pStyle w:val="TableBlock"/>
              <w:rPr>
                <w:rtl/>
              </w:rPr>
            </w:pPr>
            <w:r>
              <w:rPr>
                <w:rtl/>
              </w:rPr>
              <w:t>"250 – הנחת קווי חשמל";</w:t>
            </w:r>
          </w:p>
          <w:p w:rsidR="00E56E63" w:rsidRDefault="00E56E63" w:rsidP="00455A15">
            <w:pPr>
              <w:pStyle w:val="TableBlock"/>
              <w:rPr>
                <w:rtl/>
              </w:rPr>
            </w:pPr>
            <w:r>
              <w:rPr>
                <w:rtl/>
              </w:rPr>
              <w:t>"330 – כלונסאות וקידוחים לגשרים";</w:t>
            </w:r>
          </w:p>
          <w:p w:rsidR="00E56E63" w:rsidRDefault="00E56E63" w:rsidP="00E56E63">
            <w:pPr>
              <w:pStyle w:val="TableBlock"/>
              <w:rPr>
                <w:rtl/>
              </w:rPr>
            </w:pPr>
            <w:r>
              <w:rPr>
                <w:rtl/>
              </w:rPr>
              <w:t>"410 – הנחת צינורות";</w:t>
            </w:r>
          </w:p>
          <w:p w:rsidR="00E56E63" w:rsidRDefault="00E56E63" w:rsidP="00E56E63">
            <w:pPr>
              <w:pStyle w:val="TableBlock"/>
              <w:rPr>
                <w:rtl/>
              </w:rPr>
            </w:pPr>
            <w:r>
              <w:rPr>
                <w:rtl/>
              </w:rPr>
              <w:t>"420 – תיעול וביוב";</w:t>
            </w:r>
          </w:p>
          <w:p w:rsidR="00E56E63" w:rsidRDefault="00E56E63" w:rsidP="00E56E63">
            <w:pPr>
              <w:pStyle w:val="TableBlock"/>
              <w:rPr>
                <w:rtl/>
              </w:rPr>
            </w:pPr>
            <w:r>
              <w:rPr>
                <w:rtl/>
              </w:rPr>
              <w:t>"600 – ענף ראשי – נמלים";</w:t>
            </w:r>
          </w:p>
          <w:p w:rsidR="00E56E63" w:rsidRDefault="00E56E63" w:rsidP="00E56E63">
            <w:pPr>
              <w:pStyle w:val="TableBlock"/>
              <w:rPr>
                <w:rtl/>
              </w:rPr>
            </w:pPr>
            <w:r>
              <w:rPr>
                <w:rtl/>
              </w:rPr>
              <w:t>"610 – רציפים";</w:t>
            </w:r>
          </w:p>
          <w:p w:rsidR="00E56E63" w:rsidRDefault="00E56E63" w:rsidP="00E56E63">
            <w:pPr>
              <w:pStyle w:val="TableBlock"/>
              <w:rPr>
                <w:rtl/>
              </w:rPr>
            </w:pPr>
            <w:r>
              <w:rPr>
                <w:rtl/>
              </w:rPr>
              <w:t>"620 – סוללות ושוברי גלים";</w:t>
            </w:r>
          </w:p>
          <w:p w:rsidR="00E56E63" w:rsidRDefault="00E56E63" w:rsidP="00E56E63">
            <w:pPr>
              <w:pStyle w:val="TableBlock"/>
              <w:rPr>
                <w:rtl/>
              </w:rPr>
            </w:pPr>
            <w:r>
              <w:rPr>
                <w:rtl/>
              </w:rPr>
              <w:t>"630 – הרחקת סלעים תת מימיים";</w:t>
            </w:r>
          </w:p>
          <w:p w:rsidR="00E56E63" w:rsidRDefault="00E56E63" w:rsidP="00455A15">
            <w:pPr>
              <w:pStyle w:val="TableBlock"/>
              <w:rPr>
                <w:rtl/>
              </w:rPr>
            </w:pPr>
            <w:r>
              <w:rPr>
                <w:rtl/>
              </w:rPr>
              <w:t>"640 – קידוחים ימיים"</w:t>
            </w:r>
            <w:r w:rsidR="00455A15">
              <w:rPr>
                <w:rFonts w:hint="cs"/>
                <w:rtl/>
              </w:rPr>
              <w:t>.</w:t>
            </w:r>
          </w:p>
          <w:p w:rsidR="00E56E63" w:rsidRDefault="00E56E63" w:rsidP="00E56E63">
            <w:pPr>
              <w:pStyle w:val="TableBlock"/>
              <w:rPr>
                <w:rtl/>
              </w:rPr>
            </w:pPr>
            <w:r>
              <w:rPr>
                <w:rtl/>
              </w:rPr>
              <w:t>(ב)</w:t>
            </w:r>
            <w:r>
              <w:rPr>
                <w:rtl/>
              </w:rPr>
              <w:tab/>
              <w:t xml:space="preserve">במקום ענף משנה 120 יבוא "120 – כלונסאות, </w:t>
            </w:r>
            <w:proofErr w:type="spellStart"/>
            <w:r>
              <w:rPr>
                <w:rtl/>
              </w:rPr>
              <w:t>מיקרופייל</w:t>
            </w:r>
            <w:proofErr w:type="spellEnd"/>
            <w:r>
              <w:rPr>
                <w:rtl/>
              </w:rPr>
              <w:t xml:space="preserve"> וקירות </w:t>
            </w:r>
            <w:proofErr w:type="spellStart"/>
            <w:r>
              <w:rPr>
                <w:rtl/>
              </w:rPr>
              <w:t>סלארי</w:t>
            </w:r>
            <w:proofErr w:type="spellEnd"/>
            <w:r>
              <w:rPr>
                <w:rtl/>
              </w:rPr>
              <w:t>";</w:t>
            </w:r>
          </w:p>
          <w:p w:rsidR="00E56E63" w:rsidRDefault="00E56E63" w:rsidP="00E56E63">
            <w:pPr>
              <w:pStyle w:val="TableBlock"/>
              <w:rPr>
                <w:rtl/>
              </w:rPr>
            </w:pPr>
            <w:r>
              <w:rPr>
                <w:rtl/>
              </w:rPr>
              <w:t>(ג)</w:t>
            </w:r>
            <w:r>
              <w:rPr>
                <w:rtl/>
              </w:rPr>
              <w:tab/>
              <w:t>במקום ענף משנה 132 יבוא "132 – חיפוי אבן ביבש או ברטוב על קירות מבנים קיימים";</w:t>
            </w:r>
          </w:p>
          <w:p w:rsidR="00E56E63" w:rsidRDefault="00E56E63" w:rsidP="00E56E63">
            <w:pPr>
              <w:pStyle w:val="TableBlock"/>
              <w:rPr>
                <w:rtl/>
              </w:rPr>
            </w:pPr>
            <w:r>
              <w:rPr>
                <w:rtl/>
              </w:rPr>
              <w:t>(ד)</w:t>
            </w:r>
            <w:r>
              <w:rPr>
                <w:rtl/>
              </w:rPr>
              <w:tab/>
              <w:t xml:space="preserve">במקום ענף משנה 150 יבוא "150 – קונסטרוקציות פלדה לעומס </w:t>
            </w:r>
            <w:r>
              <w:rPr>
                <w:rtl/>
              </w:rPr>
              <w:lastRenderedPageBreak/>
              <w:t>אדם ולגשרי צנרת";</w:t>
            </w:r>
          </w:p>
          <w:p w:rsidR="00E56E63" w:rsidRDefault="00E56E63" w:rsidP="00E56E63">
            <w:pPr>
              <w:pStyle w:val="TableBlock"/>
              <w:rPr>
                <w:rtl/>
              </w:rPr>
            </w:pPr>
            <w:r>
              <w:rPr>
                <w:rtl/>
              </w:rPr>
              <w:t>(ה)</w:t>
            </w:r>
            <w:r>
              <w:rPr>
                <w:rtl/>
              </w:rPr>
              <w:tab/>
              <w:t>במקום ענף משנה 160 יבוא "160 – חשמלאות ותקשורת במבנים";</w:t>
            </w:r>
          </w:p>
          <w:p w:rsidR="00E56E63" w:rsidRDefault="00E56E63" w:rsidP="00E56E63">
            <w:pPr>
              <w:pStyle w:val="TableBlock"/>
              <w:rPr>
                <w:rtl/>
              </w:rPr>
            </w:pPr>
            <w:r>
              <w:rPr>
                <w:rtl/>
              </w:rPr>
              <w:t>(ו)</w:t>
            </w:r>
            <w:r>
              <w:rPr>
                <w:rtl/>
              </w:rPr>
              <w:tab/>
              <w:t xml:space="preserve">במקום ענף משנה 170 יבוא "170 – </w:t>
            </w:r>
            <w:proofErr w:type="spellStart"/>
            <w:r>
              <w:rPr>
                <w:rtl/>
              </w:rPr>
              <w:t>מ</w:t>
            </w:r>
            <w:r w:rsidR="006868AE">
              <w:rPr>
                <w:rFonts w:hint="cs"/>
                <w:rtl/>
              </w:rPr>
              <w:t>י</w:t>
            </w:r>
            <w:r>
              <w:rPr>
                <w:rtl/>
              </w:rPr>
              <w:t>תקני</w:t>
            </w:r>
            <w:proofErr w:type="spellEnd"/>
            <w:r>
              <w:rPr>
                <w:rtl/>
              </w:rPr>
              <w:t xml:space="preserve"> מיזוג אוויר וקירור";</w:t>
            </w:r>
          </w:p>
          <w:p w:rsidR="00E56E63" w:rsidRDefault="00E56E63" w:rsidP="00E56E63">
            <w:pPr>
              <w:pStyle w:val="TableBlock"/>
              <w:rPr>
                <w:rtl/>
              </w:rPr>
            </w:pPr>
            <w:r>
              <w:rPr>
                <w:rtl/>
              </w:rPr>
              <w:t>(ז)</w:t>
            </w:r>
            <w:r>
              <w:rPr>
                <w:rtl/>
              </w:rPr>
              <w:tab/>
              <w:t xml:space="preserve">במקום ענף משנה 171 יבוא "171 – </w:t>
            </w:r>
            <w:proofErr w:type="spellStart"/>
            <w:r>
              <w:rPr>
                <w:rtl/>
              </w:rPr>
              <w:t>מ</w:t>
            </w:r>
            <w:r w:rsidR="006868AE">
              <w:rPr>
                <w:rFonts w:hint="cs"/>
                <w:rtl/>
              </w:rPr>
              <w:t>י</w:t>
            </w:r>
            <w:r>
              <w:rPr>
                <w:rtl/>
              </w:rPr>
              <w:t>תקני</w:t>
            </w:r>
            <w:proofErr w:type="spellEnd"/>
            <w:r>
              <w:rPr>
                <w:rtl/>
              </w:rPr>
              <w:t xml:space="preserve"> הסקה";</w:t>
            </w:r>
          </w:p>
          <w:p w:rsidR="00E56E63" w:rsidRDefault="00E56E63" w:rsidP="00E56E63">
            <w:pPr>
              <w:pStyle w:val="TableBlock"/>
              <w:rPr>
                <w:rtl/>
              </w:rPr>
            </w:pPr>
            <w:r>
              <w:rPr>
                <w:rtl/>
              </w:rPr>
              <w:t>(ח)</w:t>
            </w:r>
            <w:r>
              <w:rPr>
                <w:rtl/>
              </w:rPr>
              <w:tab/>
              <w:t xml:space="preserve">במקום ענף משנה 190 יבוא "190 – </w:t>
            </w:r>
            <w:proofErr w:type="spellStart"/>
            <w:r>
              <w:rPr>
                <w:rtl/>
              </w:rPr>
              <w:t>מ</w:t>
            </w:r>
            <w:r w:rsidR="006868AE">
              <w:rPr>
                <w:rFonts w:hint="cs"/>
                <w:rtl/>
              </w:rPr>
              <w:t>י</w:t>
            </w:r>
            <w:r>
              <w:rPr>
                <w:rtl/>
              </w:rPr>
              <w:t>תקני</w:t>
            </w:r>
            <w:proofErr w:type="spellEnd"/>
            <w:r>
              <w:rPr>
                <w:rtl/>
              </w:rPr>
              <w:t xml:space="preserve"> תברואה (אינסטלציה ומערכות כיבוי אש);</w:t>
            </w:r>
          </w:p>
          <w:p w:rsidR="00E56E63" w:rsidRDefault="00E56E63" w:rsidP="00E56E63">
            <w:pPr>
              <w:pStyle w:val="TableBlock"/>
              <w:rPr>
                <w:rtl/>
              </w:rPr>
            </w:pPr>
            <w:r>
              <w:rPr>
                <w:rtl/>
              </w:rPr>
              <w:t>(ט)</w:t>
            </w:r>
            <w:r>
              <w:rPr>
                <w:rtl/>
              </w:rPr>
              <w:tab/>
              <w:t xml:space="preserve">במקום ענף משנה 191 יבוא "191 – </w:t>
            </w:r>
            <w:proofErr w:type="spellStart"/>
            <w:r>
              <w:rPr>
                <w:rtl/>
              </w:rPr>
              <w:t>מ</w:t>
            </w:r>
            <w:r w:rsidR="009F706A">
              <w:rPr>
                <w:rFonts w:hint="cs"/>
                <w:rtl/>
              </w:rPr>
              <w:t>י</w:t>
            </w:r>
            <w:r>
              <w:rPr>
                <w:rtl/>
              </w:rPr>
              <w:t>תקני</w:t>
            </w:r>
            <w:proofErr w:type="spellEnd"/>
            <w:r>
              <w:rPr>
                <w:rtl/>
              </w:rPr>
              <w:t xml:space="preserve"> אנרגיה סולרית ותאים פוטו </w:t>
            </w:r>
            <w:proofErr w:type="spellStart"/>
            <w:r>
              <w:rPr>
                <w:rtl/>
              </w:rPr>
              <w:t>וולט</w:t>
            </w:r>
            <w:r w:rsidR="006868AE">
              <w:rPr>
                <w:rFonts w:hint="cs"/>
                <w:rtl/>
              </w:rPr>
              <w:t>א</w:t>
            </w:r>
            <w:r>
              <w:rPr>
                <w:rtl/>
              </w:rPr>
              <w:t>ים</w:t>
            </w:r>
            <w:proofErr w:type="spellEnd"/>
            <w:r>
              <w:rPr>
                <w:rtl/>
              </w:rPr>
              <w:t>";</w:t>
            </w:r>
          </w:p>
          <w:p w:rsidR="00E56E63" w:rsidRDefault="00E56E63" w:rsidP="00E56E63">
            <w:pPr>
              <w:pStyle w:val="TableBlock"/>
              <w:rPr>
                <w:rtl/>
              </w:rPr>
            </w:pPr>
            <w:r>
              <w:rPr>
                <w:rtl/>
              </w:rPr>
              <w:t>(י)</w:t>
            </w:r>
            <w:r>
              <w:rPr>
                <w:rtl/>
              </w:rPr>
              <w:tab/>
              <w:t>במקום ענף משנה 210 יבוא "210 – עבודות עפר וחציבה";</w:t>
            </w:r>
          </w:p>
          <w:p w:rsidR="00E56E63" w:rsidRDefault="00E56E63" w:rsidP="006868AE">
            <w:pPr>
              <w:pStyle w:val="TableBlock"/>
              <w:rPr>
                <w:rtl/>
              </w:rPr>
            </w:pPr>
            <w:r>
              <w:rPr>
                <w:rtl/>
              </w:rPr>
              <w:t>(יא)</w:t>
            </w:r>
            <w:r>
              <w:rPr>
                <w:rtl/>
              </w:rPr>
              <w:tab/>
              <w:t>במקום ענף משנה 260 יבוא "260 – ביצוע קווי מים, ביוב וניקוז";</w:t>
            </w:r>
          </w:p>
          <w:p w:rsidR="00E56E63" w:rsidRDefault="00E56E63" w:rsidP="00E56E63">
            <w:pPr>
              <w:pStyle w:val="TableBlock"/>
              <w:rPr>
                <w:rtl/>
              </w:rPr>
            </w:pPr>
            <w:r>
              <w:rPr>
                <w:rtl/>
              </w:rPr>
              <w:t>(</w:t>
            </w:r>
            <w:proofErr w:type="spellStart"/>
            <w:r>
              <w:rPr>
                <w:rtl/>
              </w:rPr>
              <w:t>יב</w:t>
            </w:r>
            <w:proofErr w:type="spellEnd"/>
            <w:r>
              <w:rPr>
                <w:rtl/>
              </w:rPr>
              <w:t>)</w:t>
            </w:r>
            <w:r>
              <w:rPr>
                <w:rtl/>
              </w:rPr>
              <w:tab/>
              <w:t>במקום ענף משנה 270 יבוא "270 – קווי חשמל (צנרת וכבלים) ומערכות תאורת כבישים ורחובות";</w:t>
            </w:r>
          </w:p>
          <w:p w:rsidR="00E56E63" w:rsidRDefault="00E56E63" w:rsidP="00E56E63">
            <w:pPr>
              <w:pStyle w:val="TableBlock"/>
              <w:rPr>
                <w:rtl/>
              </w:rPr>
            </w:pPr>
            <w:r>
              <w:rPr>
                <w:rtl/>
              </w:rPr>
              <w:t>(</w:t>
            </w:r>
            <w:proofErr w:type="spellStart"/>
            <w:r>
              <w:rPr>
                <w:rtl/>
              </w:rPr>
              <w:t>יג</w:t>
            </w:r>
            <w:proofErr w:type="spellEnd"/>
            <w:r>
              <w:rPr>
                <w:rtl/>
              </w:rPr>
              <w:t>)</w:t>
            </w:r>
            <w:r>
              <w:rPr>
                <w:rtl/>
              </w:rPr>
              <w:tab/>
              <w:t>במקום ענף משנה 320 יבוא "320 – קונסטרוקציות פלדה לגשרים לעומסי תחבורה";</w:t>
            </w:r>
          </w:p>
          <w:p w:rsidR="00E56E63" w:rsidRDefault="00E56E63" w:rsidP="00E56E63">
            <w:pPr>
              <w:pStyle w:val="TableBlock"/>
              <w:rPr>
                <w:rtl/>
              </w:rPr>
            </w:pPr>
            <w:r>
              <w:rPr>
                <w:rtl/>
              </w:rPr>
              <w:t>(יד)</w:t>
            </w:r>
            <w:r>
              <w:rPr>
                <w:rtl/>
              </w:rPr>
              <w:tab/>
              <w:t>במקום ענף ראשי 400 יבוא "400 – ענף ראשי – נמלים, עבודות ימיות";</w:t>
            </w:r>
          </w:p>
          <w:p w:rsidR="00E56E63" w:rsidRPr="00E56E63" w:rsidRDefault="00E56E63" w:rsidP="00E56E63">
            <w:pPr>
              <w:pStyle w:val="TableBlock"/>
              <w:keepLines w:val="0"/>
            </w:pPr>
            <w:r>
              <w:rPr>
                <w:rtl/>
              </w:rPr>
              <w:t>(טו)</w:t>
            </w:r>
            <w:r>
              <w:rPr>
                <w:rtl/>
              </w:rPr>
              <w:tab/>
              <w:t xml:space="preserve">במקום ענף ראשי 500 יבוא "500 – ענף ראשי – מערכות </w:t>
            </w:r>
            <w:proofErr w:type="spellStart"/>
            <w:r>
              <w:rPr>
                <w:rtl/>
              </w:rPr>
              <w:t>אלקטרומכאניות</w:t>
            </w:r>
            <w:proofErr w:type="spellEnd"/>
            <w:r>
              <w:rPr>
                <w:rtl/>
              </w:rPr>
              <w:t xml:space="preserve"> בתחנות שאיבה (ללא המבנה)".</w:t>
            </w:r>
          </w:p>
        </w:tc>
      </w:tr>
      <w:tr w:rsidR="006E4BE5" w:rsidTr="006868AE">
        <w:trPr>
          <w:cantSplit/>
          <w:trHeight w:val="60"/>
        </w:trPr>
        <w:tc>
          <w:tcPr>
            <w:tcW w:w="1757" w:type="dxa"/>
          </w:tcPr>
          <w:p w:rsidR="006E4BE5" w:rsidRDefault="009F706A" w:rsidP="009368FC">
            <w:pPr>
              <w:pStyle w:val="TableSideHeading"/>
              <w:keepLines w:val="0"/>
            </w:pPr>
            <w:r w:rsidRPr="009368FC">
              <w:rPr>
                <w:rFonts w:hint="eastAsia"/>
                <w:rtl/>
              </w:rPr>
              <w:lastRenderedPageBreak/>
              <w:t>ביטול</w:t>
            </w:r>
            <w:r w:rsidRPr="009368FC">
              <w:rPr>
                <w:rtl/>
              </w:rPr>
              <w:t xml:space="preserve"> </w:t>
            </w:r>
            <w:r w:rsidR="009368FC">
              <w:rPr>
                <w:rFonts w:hint="cs"/>
                <w:rtl/>
              </w:rPr>
              <w:t>תקנה 4</w:t>
            </w:r>
            <w:r w:rsidR="00324A6C" w:rsidRPr="00324A6C">
              <w:rPr>
                <w:rtl/>
              </w:rPr>
              <w:t xml:space="preserve"> </w:t>
            </w:r>
          </w:p>
        </w:tc>
        <w:tc>
          <w:tcPr>
            <w:tcW w:w="586" w:type="dxa"/>
          </w:tcPr>
          <w:p w:rsidR="006E4BE5" w:rsidRDefault="006E4BE5" w:rsidP="006E4BE5">
            <w:pPr>
              <w:pStyle w:val="TableText"/>
              <w:keepLines w:val="0"/>
              <w:numPr>
                <w:ilvl w:val="0"/>
                <w:numId w:val="1"/>
              </w:numPr>
            </w:pPr>
          </w:p>
        </w:tc>
        <w:tc>
          <w:tcPr>
            <w:tcW w:w="6715" w:type="dxa"/>
          </w:tcPr>
          <w:p w:rsidR="006E4BE5" w:rsidRPr="00C34DE2" w:rsidRDefault="00324A6C" w:rsidP="009F706A">
            <w:pPr>
              <w:pStyle w:val="TableBlock"/>
              <w:keepLines w:val="0"/>
            </w:pPr>
            <w:r w:rsidRPr="00324A6C">
              <w:rPr>
                <w:rtl/>
              </w:rPr>
              <w:t xml:space="preserve">תקנה 4 לתקנות העיקריות – </w:t>
            </w:r>
            <w:r w:rsidR="009F706A">
              <w:rPr>
                <w:rFonts w:hint="cs"/>
                <w:rtl/>
              </w:rPr>
              <w:t>בטלה</w:t>
            </w:r>
            <w:r w:rsidRPr="00324A6C">
              <w:rPr>
                <w:rtl/>
              </w:rPr>
              <w:t>.</w:t>
            </w:r>
          </w:p>
        </w:tc>
      </w:tr>
      <w:tr w:rsidR="006E4BE5" w:rsidTr="006868AE">
        <w:trPr>
          <w:cantSplit/>
          <w:trHeight w:val="60"/>
        </w:trPr>
        <w:tc>
          <w:tcPr>
            <w:tcW w:w="1757" w:type="dxa"/>
          </w:tcPr>
          <w:p w:rsidR="006E4BE5" w:rsidRDefault="00324A6C" w:rsidP="007E751D">
            <w:pPr>
              <w:pStyle w:val="TableSideHeading"/>
              <w:keepLines w:val="0"/>
              <w:rPr>
                <w:rtl/>
              </w:rPr>
            </w:pPr>
            <w:r w:rsidRPr="00324A6C">
              <w:rPr>
                <w:rtl/>
              </w:rPr>
              <w:t>תחילה</w:t>
            </w:r>
            <w:r w:rsidR="009F706A">
              <w:rPr>
                <w:rFonts w:hint="cs"/>
                <w:rtl/>
              </w:rPr>
              <w:t xml:space="preserve"> ותחולה</w:t>
            </w:r>
          </w:p>
        </w:tc>
        <w:tc>
          <w:tcPr>
            <w:tcW w:w="586" w:type="dxa"/>
          </w:tcPr>
          <w:p w:rsidR="006E4BE5" w:rsidRDefault="006E4BE5" w:rsidP="00324A6C">
            <w:pPr>
              <w:pStyle w:val="TableText"/>
              <w:numPr>
                <w:ilvl w:val="0"/>
                <w:numId w:val="1"/>
              </w:numPr>
            </w:pPr>
          </w:p>
        </w:tc>
        <w:tc>
          <w:tcPr>
            <w:tcW w:w="6715" w:type="dxa"/>
          </w:tcPr>
          <w:p w:rsidR="006E4BE5" w:rsidRPr="00C34DE2" w:rsidRDefault="00324A6C" w:rsidP="001B36BB">
            <w:pPr>
              <w:pStyle w:val="TableBlock"/>
              <w:numPr>
                <w:ilvl w:val="0"/>
                <w:numId w:val="6"/>
              </w:numPr>
              <w:tabs>
                <w:tab w:val="left" w:pos="624"/>
              </w:tabs>
            </w:pPr>
            <w:r>
              <w:rPr>
                <w:rtl/>
              </w:rPr>
              <w:t>תחילתן של תקנות אלה 90 ימים מיום פרסומן (להלן – יום התחילה)</w:t>
            </w:r>
            <w:r w:rsidR="00C5742C">
              <w:rPr>
                <w:rFonts w:hint="cs"/>
                <w:rtl/>
              </w:rPr>
              <w:t>.</w:t>
            </w:r>
          </w:p>
        </w:tc>
      </w:tr>
      <w:tr w:rsidR="0031347A" w:rsidTr="006868AE">
        <w:trPr>
          <w:cantSplit/>
          <w:trHeight w:val="60"/>
        </w:trPr>
        <w:tc>
          <w:tcPr>
            <w:tcW w:w="1757" w:type="dxa"/>
          </w:tcPr>
          <w:p w:rsidR="0031347A" w:rsidRPr="00324A6C" w:rsidRDefault="0031347A" w:rsidP="007E751D">
            <w:pPr>
              <w:pStyle w:val="TableSideHeading"/>
              <w:keepLines w:val="0"/>
              <w:rPr>
                <w:rtl/>
              </w:rPr>
            </w:pPr>
          </w:p>
        </w:tc>
        <w:tc>
          <w:tcPr>
            <w:tcW w:w="586" w:type="dxa"/>
          </w:tcPr>
          <w:p w:rsidR="0031347A" w:rsidRDefault="0031347A" w:rsidP="001B36BB">
            <w:pPr>
              <w:pStyle w:val="TableText"/>
            </w:pPr>
          </w:p>
        </w:tc>
        <w:tc>
          <w:tcPr>
            <w:tcW w:w="6715" w:type="dxa"/>
          </w:tcPr>
          <w:p w:rsidR="0031347A" w:rsidRDefault="0031347A" w:rsidP="001B36BB">
            <w:pPr>
              <w:pStyle w:val="TableBlock"/>
              <w:numPr>
                <w:ilvl w:val="0"/>
                <w:numId w:val="6"/>
              </w:numPr>
              <w:rPr>
                <w:rtl/>
              </w:rPr>
            </w:pPr>
            <w:r>
              <w:rPr>
                <w:rtl/>
              </w:rPr>
              <w:t>על אף האמור בתקנת משנה (א), תחילתה של תקנה 1 ביום פרסומן של תקנות אלה</w:t>
            </w:r>
            <w:r>
              <w:rPr>
                <w:rFonts w:hint="cs"/>
                <w:rtl/>
              </w:rPr>
              <w:t>, והיא תחול</w:t>
            </w:r>
            <w:r w:rsidRPr="004D67B4">
              <w:rPr>
                <w:rtl/>
              </w:rPr>
              <w:t xml:space="preserve"> על מי שהגיש בקשה להירשם בפנקס בענף משנה 130 או 150 ביום פרסומן של תקנות אלה ואילך</w:t>
            </w:r>
            <w:r>
              <w:rPr>
                <w:rtl/>
              </w:rPr>
              <w:t>.</w:t>
            </w:r>
          </w:p>
        </w:tc>
      </w:tr>
      <w:tr w:rsidR="00324A6C" w:rsidTr="006868AE">
        <w:trPr>
          <w:trHeight w:val="60"/>
        </w:trPr>
        <w:tc>
          <w:tcPr>
            <w:tcW w:w="1757" w:type="dxa"/>
          </w:tcPr>
          <w:p w:rsidR="00324A6C" w:rsidRPr="00324A6C" w:rsidRDefault="007243C7" w:rsidP="00FE0F93">
            <w:pPr>
              <w:pStyle w:val="TableSideHeading"/>
              <w:keepLines w:val="0"/>
              <w:rPr>
                <w:rtl/>
              </w:rPr>
            </w:pPr>
            <w:r w:rsidRPr="00A01323">
              <w:rPr>
                <w:rtl/>
              </w:rPr>
              <w:t xml:space="preserve">הוראות </w:t>
            </w:r>
            <w:r w:rsidR="00FE0F93" w:rsidRPr="00C5742C">
              <w:rPr>
                <w:rFonts w:hint="eastAsia"/>
                <w:rtl/>
              </w:rPr>
              <w:t>מעבר</w:t>
            </w:r>
          </w:p>
        </w:tc>
        <w:tc>
          <w:tcPr>
            <w:tcW w:w="586" w:type="dxa"/>
          </w:tcPr>
          <w:p w:rsidR="00324A6C" w:rsidRDefault="00324A6C" w:rsidP="00324A6C">
            <w:pPr>
              <w:pStyle w:val="TableText"/>
              <w:numPr>
                <w:ilvl w:val="0"/>
                <w:numId w:val="1"/>
              </w:numPr>
            </w:pPr>
          </w:p>
        </w:tc>
        <w:tc>
          <w:tcPr>
            <w:tcW w:w="6715" w:type="dxa"/>
          </w:tcPr>
          <w:p w:rsidR="00324A6C" w:rsidRPr="007243C7" w:rsidRDefault="00FE0F93" w:rsidP="009368FC">
            <w:pPr>
              <w:pStyle w:val="TableBlock"/>
              <w:rPr>
                <w:rtl/>
              </w:rPr>
            </w:pPr>
            <w:r>
              <w:rPr>
                <w:rFonts w:hint="cs"/>
                <w:rtl/>
              </w:rPr>
              <w:t xml:space="preserve">(א)  </w:t>
            </w:r>
            <w:r w:rsidR="007243C7">
              <w:rPr>
                <w:rtl/>
              </w:rPr>
              <w:t xml:space="preserve">קבלן </w:t>
            </w:r>
            <w:r w:rsidR="0066324D">
              <w:rPr>
                <w:rFonts w:hint="cs"/>
                <w:rtl/>
              </w:rPr>
              <w:t xml:space="preserve">לעבודות הנדסה בנאיות </w:t>
            </w:r>
            <w:r w:rsidR="006868AE">
              <w:rPr>
                <w:rFonts w:hint="cs"/>
                <w:rtl/>
              </w:rPr>
              <w:t>ש</w:t>
            </w:r>
            <w:r w:rsidR="006868AE">
              <w:rPr>
                <w:rtl/>
              </w:rPr>
              <w:t xml:space="preserve">ערב יום התחילה </w:t>
            </w:r>
            <w:r w:rsidR="007243C7">
              <w:rPr>
                <w:rtl/>
              </w:rPr>
              <w:t xml:space="preserve">היה רשום בפנקס בענף המופיע בטור א' לתוספת, ימשיך להיות רשום, החל מיום התחילה, בענף המופיע </w:t>
            </w:r>
            <w:proofErr w:type="spellStart"/>
            <w:r>
              <w:rPr>
                <w:rFonts w:hint="cs"/>
                <w:rtl/>
              </w:rPr>
              <w:t>לצידו</w:t>
            </w:r>
            <w:proofErr w:type="spellEnd"/>
            <w:r w:rsidR="007243C7">
              <w:rPr>
                <w:rtl/>
              </w:rPr>
              <w:t xml:space="preserve"> בטור ב' לתוספת, ללא שינוי בסיווג שנתן לו הרשם לפי תקנות </w:t>
            </w:r>
            <w:r w:rsidR="006868AE">
              <w:rPr>
                <w:rFonts w:hint="cs"/>
                <w:rtl/>
              </w:rPr>
              <w:t>רישום קבלנים לעבודות הנדסה בנאיות (סיווג קבלנים רשומים), התשמ"ח-1988</w:t>
            </w:r>
            <w:r w:rsidR="006868AE">
              <w:rPr>
                <w:rStyle w:val="a7"/>
                <w:rtl/>
              </w:rPr>
              <w:footnoteReference w:id="3"/>
            </w:r>
            <w:r w:rsidR="007243C7">
              <w:rPr>
                <w:rtl/>
              </w:rPr>
              <w:t>.</w:t>
            </w:r>
          </w:p>
        </w:tc>
      </w:tr>
      <w:tr w:rsidR="0031347A" w:rsidTr="006868AE">
        <w:trPr>
          <w:trHeight w:val="60"/>
        </w:trPr>
        <w:tc>
          <w:tcPr>
            <w:tcW w:w="1757" w:type="dxa"/>
          </w:tcPr>
          <w:p w:rsidR="0031347A" w:rsidRPr="007243C7" w:rsidRDefault="0031347A" w:rsidP="00534801">
            <w:pPr>
              <w:pStyle w:val="TableSideHeading"/>
              <w:keepLines w:val="0"/>
              <w:rPr>
                <w:rtl/>
              </w:rPr>
            </w:pPr>
          </w:p>
        </w:tc>
        <w:tc>
          <w:tcPr>
            <w:tcW w:w="586" w:type="dxa"/>
          </w:tcPr>
          <w:p w:rsidR="0031347A" w:rsidRDefault="0031347A" w:rsidP="001B36BB">
            <w:pPr>
              <w:pStyle w:val="TableText"/>
            </w:pPr>
          </w:p>
        </w:tc>
        <w:tc>
          <w:tcPr>
            <w:tcW w:w="6715" w:type="dxa"/>
          </w:tcPr>
          <w:p w:rsidR="00A01323" w:rsidDel="00984169" w:rsidRDefault="00C5742C" w:rsidP="001B36BB">
            <w:pPr>
              <w:pStyle w:val="TableBlock"/>
              <w:tabs>
                <w:tab w:val="clear" w:pos="624"/>
              </w:tabs>
              <w:rPr>
                <w:rtl/>
              </w:rPr>
            </w:pPr>
            <w:r w:rsidRPr="00A01323">
              <w:rPr>
                <w:rFonts w:hint="cs"/>
                <w:rtl/>
              </w:rPr>
              <w:t>(ב</w:t>
            </w:r>
            <w:r>
              <w:rPr>
                <w:rFonts w:hint="cs"/>
                <w:rtl/>
              </w:rPr>
              <w:t xml:space="preserve">)  </w:t>
            </w:r>
            <w:r w:rsidR="00656B62">
              <w:rPr>
                <w:rFonts w:hint="cs"/>
                <w:rtl/>
              </w:rPr>
              <w:t>החל מיום התחילה ואילך לא ניתן יהיה להגיש בקשה להירשם בפנקס ב</w:t>
            </w:r>
            <w:r w:rsidR="0031347A">
              <w:rPr>
                <w:rFonts w:hint="cs"/>
                <w:rtl/>
              </w:rPr>
              <w:t>ענפי משנה 135, 140 ו-310 ו</w:t>
            </w:r>
            <w:r w:rsidR="00656B62">
              <w:rPr>
                <w:rFonts w:hint="cs"/>
                <w:rtl/>
              </w:rPr>
              <w:t>בענף ראשי 700.</w:t>
            </w:r>
          </w:p>
        </w:tc>
      </w:tr>
    </w:tbl>
    <w:p w:rsidR="00A01323" w:rsidRPr="00CA7087" w:rsidRDefault="00A01323" w:rsidP="007243C7">
      <w:pPr>
        <w:spacing w:line="240" w:lineRule="auto"/>
        <w:jc w:val="center"/>
        <w:rPr>
          <w:rStyle w:val="default"/>
          <w:rFonts w:cs="FrankRuehl"/>
          <w:b/>
          <w:bCs/>
          <w:noProof/>
          <w:rtl/>
          <w:lang w:eastAsia="he-IL"/>
        </w:rPr>
      </w:pPr>
    </w:p>
    <w:p w:rsidR="007243C7" w:rsidRPr="007243C7" w:rsidRDefault="007243C7" w:rsidP="00A01323">
      <w:pPr>
        <w:spacing w:line="240" w:lineRule="auto"/>
        <w:jc w:val="center"/>
        <w:rPr>
          <w:rStyle w:val="default"/>
          <w:rFonts w:cs="David"/>
          <w:b/>
          <w:bCs/>
          <w:noProof/>
          <w:rtl/>
          <w:lang w:eastAsia="he-IL"/>
        </w:rPr>
      </w:pPr>
      <w:r w:rsidRPr="007243C7">
        <w:rPr>
          <w:rStyle w:val="default"/>
          <w:rFonts w:cs="David" w:hint="cs"/>
          <w:b/>
          <w:bCs/>
          <w:noProof/>
          <w:rtl/>
          <w:lang w:eastAsia="he-IL"/>
        </w:rPr>
        <w:t>תוספת</w:t>
      </w:r>
    </w:p>
    <w:tbl>
      <w:tblPr>
        <w:tblStyle w:val="ae"/>
        <w:bidiVisual/>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986"/>
        <w:gridCol w:w="3080"/>
      </w:tblGrid>
      <w:tr w:rsidR="007243C7" w:rsidRPr="007243C7" w:rsidTr="00CA3EDE">
        <w:trPr>
          <w:jc w:val="center"/>
        </w:trPr>
        <w:tc>
          <w:tcPr>
            <w:tcW w:w="2986" w:type="dxa"/>
            <w:tcBorders>
              <w:top w:val="nil"/>
              <w:bottom w:val="nil"/>
            </w:tcBorders>
          </w:tcPr>
          <w:p w:rsidR="007243C7" w:rsidRPr="007243C7" w:rsidRDefault="007243C7" w:rsidP="00CA3EDE">
            <w:pPr>
              <w:spacing w:line="240" w:lineRule="auto"/>
              <w:ind w:firstLine="0"/>
              <w:jc w:val="center"/>
              <w:rPr>
                <w:rStyle w:val="default"/>
                <w:rFonts w:cs="David"/>
                <w:b/>
                <w:bCs/>
                <w:noProof/>
                <w:u w:val="single"/>
                <w:rtl/>
                <w:lang w:eastAsia="he-IL"/>
              </w:rPr>
            </w:pPr>
            <w:r w:rsidRPr="007243C7">
              <w:rPr>
                <w:rStyle w:val="default"/>
                <w:rFonts w:cs="David" w:hint="cs"/>
                <w:b/>
                <w:bCs/>
                <w:noProof/>
                <w:u w:val="single"/>
                <w:rtl/>
                <w:lang w:eastAsia="he-IL"/>
              </w:rPr>
              <w:t xml:space="preserve">טור א' </w:t>
            </w:r>
            <w:r w:rsidRPr="007243C7">
              <w:rPr>
                <w:rStyle w:val="default"/>
                <w:rFonts w:cs="David"/>
                <w:b/>
                <w:bCs/>
                <w:noProof/>
                <w:u w:val="single"/>
                <w:rtl/>
                <w:lang w:eastAsia="he-IL"/>
              </w:rPr>
              <w:t>–</w:t>
            </w:r>
            <w:r w:rsidRPr="007243C7">
              <w:rPr>
                <w:rStyle w:val="default"/>
                <w:rFonts w:cs="David" w:hint="cs"/>
                <w:b/>
                <w:bCs/>
                <w:noProof/>
                <w:u w:val="single"/>
                <w:rtl/>
                <w:lang w:eastAsia="he-IL"/>
              </w:rPr>
              <w:t xml:space="preserve"> </w:t>
            </w:r>
          </w:p>
          <w:p w:rsidR="007243C7" w:rsidRPr="007243C7" w:rsidRDefault="007243C7" w:rsidP="007243C7">
            <w:pPr>
              <w:spacing w:line="240" w:lineRule="auto"/>
              <w:ind w:firstLine="5"/>
              <w:jc w:val="center"/>
              <w:rPr>
                <w:rStyle w:val="default"/>
                <w:rFonts w:cs="David"/>
                <w:b/>
                <w:bCs/>
                <w:noProof/>
                <w:u w:val="single"/>
                <w:rtl/>
                <w:lang w:eastAsia="he-IL"/>
              </w:rPr>
            </w:pPr>
            <w:r w:rsidRPr="007243C7">
              <w:rPr>
                <w:rStyle w:val="default"/>
                <w:rFonts w:cs="David" w:hint="cs"/>
                <w:b/>
                <w:bCs/>
                <w:noProof/>
                <w:u w:val="single"/>
                <w:rtl/>
                <w:lang w:eastAsia="he-IL"/>
              </w:rPr>
              <w:t>סמל הענף ערב יום התחילה</w:t>
            </w:r>
          </w:p>
          <w:p w:rsidR="007243C7" w:rsidRPr="007243C7" w:rsidRDefault="007243C7" w:rsidP="00E065B7">
            <w:pPr>
              <w:spacing w:line="240" w:lineRule="auto"/>
              <w:jc w:val="center"/>
              <w:rPr>
                <w:rStyle w:val="default"/>
                <w:rFonts w:cs="David"/>
                <w:b/>
                <w:bCs/>
                <w:noProof/>
                <w:u w:val="single"/>
                <w:rtl/>
                <w:lang w:eastAsia="he-IL"/>
              </w:rPr>
            </w:pPr>
          </w:p>
        </w:tc>
        <w:tc>
          <w:tcPr>
            <w:tcW w:w="3080" w:type="dxa"/>
            <w:tcBorders>
              <w:top w:val="nil"/>
              <w:bottom w:val="nil"/>
            </w:tcBorders>
          </w:tcPr>
          <w:p w:rsidR="007243C7" w:rsidRPr="007243C7" w:rsidRDefault="007243C7" w:rsidP="00CA3EDE">
            <w:pPr>
              <w:spacing w:line="240" w:lineRule="auto"/>
              <w:ind w:firstLine="0"/>
              <w:jc w:val="center"/>
              <w:rPr>
                <w:rStyle w:val="default"/>
                <w:rFonts w:cs="David"/>
                <w:b/>
                <w:bCs/>
                <w:noProof/>
                <w:u w:val="single"/>
                <w:rtl/>
                <w:lang w:eastAsia="he-IL"/>
              </w:rPr>
            </w:pPr>
            <w:r w:rsidRPr="007243C7">
              <w:rPr>
                <w:rStyle w:val="default"/>
                <w:rFonts w:cs="David" w:hint="cs"/>
                <w:b/>
                <w:bCs/>
                <w:noProof/>
                <w:u w:val="single"/>
                <w:rtl/>
                <w:lang w:eastAsia="he-IL"/>
              </w:rPr>
              <w:t>טור ב'</w:t>
            </w:r>
          </w:p>
          <w:p w:rsidR="007243C7" w:rsidRPr="007243C7" w:rsidRDefault="007243C7" w:rsidP="007243C7">
            <w:pPr>
              <w:spacing w:line="240" w:lineRule="auto"/>
              <w:ind w:firstLine="0"/>
              <w:jc w:val="center"/>
              <w:rPr>
                <w:rStyle w:val="default"/>
                <w:rFonts w:cs="David"/>
                <w:b/>
                <w:bCs/>
                <w:noProof/>
                <w:u w:val="single"/>
                <w:rtl/>
                <w:lang w:eastAsia="he-IL"/>
              </w:rPr>
            </w:pPr>
            <w:r w:rsidRPr="007243C7">
              <w:rPr>
                <w:rStyle w:val="default"/>
                <w:rFonts w:cs="David" w:hint="cs"/>
                <w:b/>
                <w:bCs/>
                <w:noProof/>
                <w:u w:val="single"/>
                <w:rtl/>
                <w:lang w:eastAsia="he-IL"/>
              </w:rPr>
              <w:t>סמל הענף לאחר יום התחילה</w:t>
            </w:r>
          </w:p>
        </w:tc>
      </w:tr>
      <w:tr w:rsidR="007243C7" w:rsidRPr="007243C7" w:rsidTr="00CA3EDE">
        <w:trPr>
          <w:jc w:val="center"/>
        </w:trPr>
        <w:tc>
          <w:tcPr>
            <w:tcW w:w="2986" w:type="dxa"/>
            <w:tcBorders>
              <w:top w:val="nil"/>
              <w:bottom w:val="single" w:sz="4" w:space="0" w:color="auto"/>
            </w:tcBorders>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100</w:t>
            </w:r>
          </w:p>
        </w:tc>
        <w:tc>
          <w:tcPr>
            <w:tcW w:w="3080" w:type="dxa"/>
            <w:tcBorders>
              <w:top w:val="nil"/>
              <w:bottom w:val="single" w:sz="4" w:space="0" w:color="auto"/>
            </w:tcBorders>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100</w:t>
            </w:r>
          </w:p>
        </w:tc>
      </w:tr>
      <w:tr w:rsidR="00C44BD7" w:rsidRPr="007243C7" w:rsidTr="00CA3EDE">
        <w:trPr>
          <w:jc w:val="center"/>
        </w:trPr>
        <w:tc>
          <w:tcPr>
            <w:tcW w:w="2986" w:type="dxa"/>
            <w:tcBorders>
              <w:top w:val="nil"/>
              <w:bottom w:val="single" w:sz="4" w:space="0" w:color="auto"/>
            </w:tcBorders>
          </w:tcPr>
          <w:p w:rsidR="00C44BD7" w:rsidRPr="007243C7" w:rsidRDefault="00C44BD7" w:rsidP="00E065B7">
            <w:pPr>
              <w:spacing w:line="240" w:lineRule="auto"/>
              <w:jc w:val="center"/>
              <w:rPr>
                <w:rStyle w:val="default"/>
                <w:rFonts w:cs="David"/>
                <w:noProof/>
                <w:rtl/>
                <w:lang w:eastAsia="he-IL"/>
              </w:rPr>
            </w:pPr>
            <w:r w:rsidRPr="007243C7">
              <w:rPr>
                <w:rStyle w:val="default"/>
                <w:rFonts w:cs="David" w:hint="cs"/>
                <w:noProof/>
                <w:rtl/>
                <w:lang w:eastAsia="he-IL"/>
              </w:rPr>
              <w:t>110</w:t>
            </w:r>
          </w:p>
        </w:tc>
        <w:tc>
          <w:tcPr>
            <w:tcW w:w="3080" w:type="dxa"/>
            <w:tcBorders>
              <w:top w:val="nil"/>
              <w:bottom w:val="single" w:sz="4" w:space="0" w:color="auto"/>
            </w:tcBorders>
          </w:tcPr>
          <w:p w:rsidR="00C44BD7" w:rsidRPr="007243C7" w:rsidRDefault="00C44BD7" w:rsidP="00E065B7">
            <w:pPr>
              <w:spacing w:line="240" w:lineRule="auto"/>
              <w:jc w:val="center"/>
              <w:rPr>
                <w:rStyle w:val="default"/>
                <w:rFonts w:cs="David"/>
                <w:noProof/>
                <w:rtl/>
                <w:lang w:eastAsia="he-IL"/>
              </w:rPr>
            </w:pPr>
            <w:r w:rsidRPr="007243C7">
              <w:rPr>
                <w:rStyle w:val="default"/>
                <w:rFonts w:cs="David" w:hint="cs"/>
                <w:noProof/>
                <w:rtl/>
                <w:lang w:eastAsia="he-IL"/>
              </w:rPr>
              <w:t>210</w:t>
            </w:r>
          </w:p>
        </w:tc>
      </w:tr>
      <w:tr w:rsidR="007243C7" w:rsidRPr="007243C7" w:rsidTr="00CA3EDE">
        <w:trPr>
          <w:jc w:val="center"/>
        </w:trPr>
        <w:tc>
          <w:tcPr>
            <w:tcW w:w="2986" w:type="dxa"/>
            <w:tcBorders>
              <w:top w:val="single" w:sz="4" w:space="0" w:color="auto"/>
              <w:bottom w:val="single" w:sz="4" w:space="0" w:color="auto"/>
            </w:tcBorders>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111</w:t>
            </w:r>
          </w:p>
        </w:tc>
        <w:tc>
          <w:tcPr>
            <w:tcW w:w="3080" w:type="dxa"/>
            <w:tcBorders>
              <w:top w:val="single" w:sz="4" w:space="0" w:color="auto"/>
              <w:bottom w:val="single" w:sz="4" w:space="0" w:color="auto"/>
            </w:tcBorders>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111</w:t>
            </w:r>
          </w:p>
        </w:tc>
      </w:tr>
      <w:tr w:rsidR="007243C7" w:rsidRPr="007243C7" w:rsidTr="00CA3EDE">
        <w:trPr>
          <w:jc w:val="center"/>
        </w:trPr>
        <w:tc>
          <w:tcPr>
            <w:tcW w:w="2986" w:type="dxa"/>
            <w:tcBorders>
              <w:top w:val="single" w:sz="4" w:space="0" w:color="auto"/>
            </w:tcBorders>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120</w:t>
            </w:r>
          </w:p>
        </w:tc>
        <w:tc>
          <w:tcPr>
            <w:tcW w:w="3080" w:type="dxa"/>
            <w:tcBorders>
              <w:top w:val="single" w:sz="4" w:space="0" w:color="auto"/>
            </w:tcBorders>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120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121</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120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131</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131</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132</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132</w:t>
            </w:r>
          </w:p>
        </w:tc>
      </w:tr>
      <w:tr w:rsidR="00C73AD9" w:rsidRPr="007243C7" w:rsidTr="00CA3EDE">
        <w:trPr>
          <w:jc w:val="center"/>
        </w:trPr>
        <w:tc>
          <w:tcPr>
            <w:tcW w:w="2986" w:type="dxa"/>
          </w:tcPr>
          <w:p w:rsidR="00C73AD9" w:rsidRPr="007243C7" w:rsidRDefault="00C73AD9" w:rsidP="00E065B7">
            <w:pPr>
              <w:spacing w:line="240" w:lineRule="auto"/>
              <w:jc w:val="center"/>
              <w:rPr>
                <w:rStyle w:val="default"/>
                <w:rFonts w:cs="David"/>
                <w:noProof/>
                <w:rtl/>
                <w:lang w:eastAsia="he-IL"/>
              </w:rPr>
            </w:pPr>
            <w:r>
              <w:rPr>
                <w:rStyle w:val="default"/>
                <w:rFonts w:cs="David" w:hint="cs"/>
                <w:noProof/>
                <w:rtl/>
                <w:lang w:eastAsia="he-IL"/>
              </w:rPr>
              <w:t>133</w:t>
            </w:r>
          </w:p>
        </w:tc>
        <w:tc>
          <w:tcPr>
            <w:tcW w:w="3080" w:type="dxa"/>
          </w:tcPr>
          <w:p w:rsidR="00C73AD9" w:rsidRPr="007243C7" w:rsidRDefault="00C73AD9" w:rsidP="00E065B7">
            <w:pPr>
              <w:spacing w:line="240" w:lineRule="auto"/>
              <w:jc w:val="center"/>
              <w:rPr>
                <w:rStyle w:val="default"/>
                <w:rFonts w:cs="David"/>
                <w:noProof/>
                <w:rtl/>
                <w:lang w:eastAsia="he-IL"/>
              </w:rPr>
            </w:pPr>
            <w:r>
              <w:rPr>
                <w:rStyle w:val="default"/>
                <w:rFonts w:cs="David" w:hint="cs"/>
                <w:noProof/>
                <w:rtl/>
                <w:lang w:eastAsia="he-IL"/>
              </w:rPr>
              <w:t>133</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134</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134</w:t>
            </w:r>
          </w:p>
        </w:tc>
      </w:tr>
      <w:tr w:rsidR="00455A15" w:rsidRPr="007243C7" w:rsidTr="00CA3EDE">
        <w:trPr>
          <w:jc w:val="center"/>
        </w:trPr>
        <w:tc>
          <w:tcPr>
            <w:tcW w:w="2986"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t>135</w:t>
            </w:r>
          </w:p>
        </w:tc>
        <w:tc>
          <w:tcPr>
            <w:tcW w:w="3080"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t>135</w:t>
            </w:r>
          </w:p>
        </w:tc>
      </w:tr>
      <w:tr w:rsidR="00455A15" w:rsidRPr="007243C7" w:rsidTr="00CA3EDE">
        <w:trPr>
          <w:jc w:val="center"/>
        </w:trPr>
        <w:tc>
          <w:tcPr>
            <w:tcW w:w="2986"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t>140</w:t>
            </w:r>
          </w:p>
        </w:tc>
        <w:tc>
          <w:tcPr>
            <w:tcW w:w="3080"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t>140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150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150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160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160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170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170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171</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171</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172</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170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180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180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190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190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191</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191</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192</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150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193</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193</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200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200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210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210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220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220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230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230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240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240</w:t>
            </w:r>
          </w:p>
        </w:tc>
      </w:tr>
      <w:tr w:rsidR="00C44BD7" w:rsidRPr="007243C7" w:rsidTr="00CA3EDE">
        <w:trPr>
          <w:jc w:val="center"/>
        </w:trPr>
        <w:tc>
          <w:tcPr>
            <w:tcW w:w="2986" w:type="dxa"/>
          </w:tcPr>
          <w:p w:rsidR="00C44BD7" w:rsidRPr="007243C7" w:rsidRDefault="00C44BD7" w:rsidP="00E065B7">
            <w:pPr>
              <w:spacing w:line="240" w:lineRule="auto"/>
              <w:jc w:val="center"/>
              <w:rPr>
                <w:rStyle w:val="default"/>
                <w:rFonts w:cs="David"/>
                <w:noProof/>
                <w:rtl/>
                <w:lang w:eastAsia="he-IL"/>
              </w:rPr>
            </w:pPr>
            <w:r w:rsidRPr="007243C7">
              <w:rPr>
                <w:rStyle w:val="default"/>
                <w:rFonts w:cs="David" w:hint="cs"/>
                <w:noProof/>
                <w:rtl/>
                <w:lang w:eastAsia="he-IL"/>
              </w:rPr>
              <w:t>250</w:t>
            </w:r>
          </w:p>
        </w:tc>
        <w:tc>
          <w:tcPr>
            <w:tcW w:w="3080" w:type="dxa"/>
          </w:tcPr>
          <w:p w:rsidR="00C44BD7" w:rsidRPr="007243C7" w:rsidRDefault="00C44BD7" w:rsidP="00E065B7">
            <w:pPr>
              <w:spacing w:line="240" w:lineRule="auto"/>
              <w:jc w:val="center"/>
              <w:rPr>
                <w:rStyle w:val="default"/>
                <w:rFonts w:cs="David"/>
                <w:noProof/>
                <w:rtl/>
                <w:lang w:eastAsia="he-IL"/>
              </w:rPr>
            </w:pPr>
            <w:r w:rsidRPr="007243C7">
              <w:rPr>
                <w:rStyle w:val="default"/>
                <w:rFonts w:cs="David" w:hint="cs"/>
                <w:noProof/>
                <w:rtl/>
                <w:lang w:eastAsia="he-IL"/>
              </w:rPr>
              <w:t>270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260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260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270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270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280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280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300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300</w:t>
            </w:r>
          </w:p>
        </w:tc>
      </w:tr>
      <w:tr w:rsidR="00455A15" w:rsidRPr="007243C7" w:rsidTr="00CA3EDE">
        <w:trPr>
          <w:jc w:val="center"/>
        </w:trPr>
        <w:tc>
          <w:tcPr>
            <w:tcW w:w="2986"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lastRenderedPageBreak/>
              <w:t>310</w:t>
            </w:r>
          </w:p>
        </w:tc>
        <w:tc>
          <w:tcPr>
            <w:tcW w:w="3080"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t>310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320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320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330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120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400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260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410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260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420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260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500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500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600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400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610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400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620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400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630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400</w:t>
            </w:r>
          </w:p>
        </w:tc>
      </w:tr>
      <w:tr w:rsidR="007243C7" w:rsidRPr="007243C7" w:rsidTr="00CA3EDE">
        <w:trPr>
          <w:jc w:val="center"/>
        </w:trPr>
        <w:tc>
          <w:tcPr>
            <w:tcW w:w="2986"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640</w:t>
            </w:r>
          </w:p>
        </w:tc>
        <w:tc>
          <w:tcPr>
            <w:tcW w:w="3080" w:type="dxa"/>
          </w:tcPr>
          <w:p w:rsidR="007243C7" w:rsidRPr="007243C7" w:rsidRDefault="007243C7" w:rsidP="00E065B7">
            <w:pPr>
              <w:spacing w:line="240" w:lineRule="auto"/>
              <w:jc w:val="center"/>
              <w:rPr>
                <w:rStyle w:val="default"/>
                <w:rFonts w:cs="David"/>
                <w:noProof/>
                <w:rtl/>
                <w:lang w:eastAsia="he-IL"/>
              </w:rPr>
            </w:pPr>
            <w:r w:rsidRPr="007243C7">
              <w:rPr>
                <w:rStyle w:val="default"/>
                <w:rFonts w:cs="David" w:hint="cs"/>
                <w:noProof/>
                <w:rtl/>
                <w:lang w:eastAsia="he-IL"/>
              </w:rPr>
              <w:t>400</w:t>
            </w:r>
          </w:p>
        </w:tc>
      </w:tr>
      <w:tr w:rsidR="00455A15" w:rsidRPr="007243C7" w:rsidTr="00CA3EDE">
        <w:trPr>
          <w:jc w:val="center"/>
        </w:trPr>
        <w:tc>
          <w:tcPr>
            <w:tcW w:w="2986"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t>700</w:t>
            </w:r>
          </w:p>
        </w:tc>
        <w:tc>
          <w:tcPr>
            <w:tcW w:w="3080" w:type="dxa"/>
          </w:tcPr>
          <w:p w:rsidR="00455A15" w:rsidRPr="007243C7" w:rsidRDefault="00455A15" w:rsidP="00E065B7">
            <w:pPr>
              <w:spacing w:line="240" w:lineRule="auto"/>
              <w:jc w:val="center"/>
              <w:rPr>
                <w:rStyle w:val="default"/>
                <w:rFonts w:cs="David"/>
                <w:noProof/>
                <w:rtl/>
                <w:lang w:eastAsia="he-IL"/>
              </w:rPr>
            </w:pPr>
            <w:r>
              <w:rPr>
                <w:rStyle w:val="default"/>
                <w:rFonts w:cs="David" w:hint="cs"/>
                <w:noProof/>
                <w:rtl/>
                <w:lang w:eastAsia="he-IL"/>
              </w:rPr>
              <w:t>700</w:t>
            </w:r>
          </w:p>
        </w:tc>
      </w:tr>
    </w:tbl>
    <w:p w:rsidR="007243C7" w:rsidRPr="007243C7" w:rsidRDefault="007243C7" w:rsidP="007243C7">
      <w:pPr>
        <w:spacing w:line="240" w:lineRule="auto"/>
        <w:jc w:val="center"/>
        <w:rPr>
          <w:rStyle w:val="default"/>
          <w:rFonts w:cs="David"/>
          <w:b/>
          <w:bCs/>
          <w:noProof/>
          <w:rtl/>
          <w:lang w:eastAsia="he-IL"/>
        </w:rPr>
      </w:pPr>
    </w:p>
    <w:p w:rsidR="007243C7" w:rsidRPr="007243C7" w:rsidRDefault="007243C7" w:rsidP="007243C7">
      <w:pPr>
        <w:spacing w:line="240" w:lineRule="auto"/>
        <w:jc w:val="center"/>
        <w:rPr>
          <w:rStyle w:val="default"/>
          <w:rFonts w:cs="David"/>
          <w:b/>
          <w:bCs/>
          <w:noProof/>
          <w:rtl/>
          <w:lang w:eastAsia="he-IL"/>
        </w:rPr>
      </w:pPr>
    </w:p>
    <w:p w:rsidR="007243C7" w:rsidRPr="007243C7" w:rsidRDefault="007243C7" w:rsidP="007243C7">
      <w:pPr>
        <w:spacing w:line="240" w:lineRule="auto"/>
        <w:rPr>
          <w:rStyle w:val="default"/>
          <w:rFonts w:cs="David"/>
          <w:noProof/>
          <w:rtl/>
          <w:lang w:eastAsia="he-IL"/>
        </w:rPr>
      </w:pPr>
    </w:p>
    <w:p w:rsidR="007243C7" w:rsidRPr="00B908B0" w:rsidRDefault="007243C7" w:rsidP="007243C7">
      <w:pPr>
        <w:spacing w:line="240" w:lineRule="auto"/>
        <w:rPr>
          <w:rStyle w:val="default"/>
          <w:rFonts w:cs="FrankRuehl"/>
          <w:noProof/>
          <w:rtl/>
          <w:lang w:eastAsia="he-IL"/>
        </w:rPr>
      </w:pPr>
    </w:p>
    <w:p w:rsidR="00CA3EDE" w:rsidRPr="005A1028" w:rsidRDefault="00CA3EDE" w:rsidP="00CA3EDE">
      <w:pPr>
        <w:widowControl/>
        <w:autoSpaceDE/>
        <w:autoSpaceDN/>
        <w:adjustRightInd/>
        <w:spacing w:before="0" w:line="360" w:lineRule="auto"/>
        <w:ind w:left="2880" w:firstLine="0"/>
        <w:jc w:val="left"/>
        <w:textAlignment w:val="auto"/>
        <w:rPr>
          <w:rFonts w:ascii="Times New Roman" w:eastAsia="Times New Roman" w:hAnsi="Times New Roman" w:cs="David"/>
          <w:color w:val="auto"/>
          <w:spacing w:val="0"/>
          <w:sz w:val="20"/>
          <w:szCs w:val="26"/>
          <w:rtl/>
          <w:lang w:eastAsia="en-US"/>
        </w:rPr>
      </w:pP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t>יואב גלנט</w:t>
      </w:r>
    </w:p>
    <w:p w:rsidR="00CA3EDE" w:rsidRPr="005A1028" w:rsidRDefault="00CA3EDE" w:rsidP="00CA3EDE">
      <w:pPr>
        <w:widowControl/>
        <w:autoSpaceDE/>
        <w:autoSpaceDN/>
        <w:adjustRightInd/>
        <w:spacing w:before="0" w:line="360" w:lineRule="auto"/>
        <w:ind w:firstLine="0"/>
        <w:jc w:val="left"/>
        <w:textAlignment w:val="auto"/>
        <w:rPr>
          <w:rFonts w:ascii="Times New Roman" w:eastAsia="Times New Roman" w:hAnsi="Times New Roman" w:cs="David"/>
          <w:color w:val="auto"/>
          <w:spacing w:val="0"/>
          <w:sz w:val="20"/>
          <w:szCs w:val="26"/>
          <w:rtl/>
          <w:lang w:eastAsia="en-US"/>
        </w:rPr>
      </w:pP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r>
      <w:r w:rsidRPr="005A1028">
        <w:rPr>
          <w:rFonts w:ascii="Times New Roman" w:eastAsia="Times New Roman" w:hAnsi="Times New Roman" w:cs="David" w:hint="cs"/>
          <w:color w:val="auto"/>
          <w:spacing w:val="0"/>
          <w:sz w:val="20"/>
          <w:szCs w:val="26"/>
          <w:rtl/>
          <w:lang w:eastAsia="en-US"/>
        </w:rPr>
        <w:tab/>
        <w:t>שר הבינוי והשיכון</w:t>
      </w:r>
    </w:p>
    <w:p w:rsidR="00CA3EDE" w:rsidRPr="005A1028" w:rsidRDefault="00CA3EDE" w:rsidP="00427482">
      <w:pPr>
        <w:widowControl/>
        <w:autoSpaceDE/>
        <w:autoSpaceDN/>
        <w:adjustRightInd/>
        <w:spacing w:before="0" w:line="360" w:lineRule="auto"/>
        <w:ind w:firstLine="0"/>
        <w:jc w:val="left"/>
        <w:textAlignment w:val="auto"/>
        <w:rPr>
          <w:rFonts w:ascii="Times New Roman" w:eastAsia="Times New Roman" w:hAnsi="Times New Roman" w:cs="David"/>
          <w:color w:val="auto"/>
          <w:spacing w:val="0"/>
          <w:sz w:val="20"/>
          <w:szCs w:val="26"/>
          <w:rtl/>
          <w:lang w:eastAsia="en-US"/>
        </w:rPr>
      </w:pPr>
      <w:r w:rsidRPr="005A1028">
        <w:rPr>
          <w:rFonts w:ascii="Times New Roman" w:eastAsia="Times New Roman" w:hAnsi="Times New Roman" w:cs="David" w:hint="cs"/>
          <w:color w:val="auto"/>
          <w:spacing w:val="0"/>
          <w:sz w:val="20"/>
          <w:szCs w:val="26"/>
          <w:rtl/>
          <w:lang w:eastAsia="en-US"/>
        </w:rPr>
        <w:t xml:space="preserve">____________ </w:t>
      </w:r>
      <w:proofErr w:type="spellStart"/>
      <w:r w:rsidRPr="005A1028">
        <w:rPr>
          <w:rFonts w:ascii="Times New Roman" w:eastAsia="Times New Roman" w:hAnsi="Times New Roman" w:cs="David" w:hint="cs"/>
          <w:color w:val="auto"/>
          <w:spacing w:val="0"/>
          <w:sz w:val="20"/>
          <w:szCs w:val="26"/>
          <w:rtl/>
          <w:lang w:eastAsia="en-US"/>
        </w:rPr>
        <w:t>התשע"</w:t>
      </w:r>
      <w:r w:rsidR="00427482">
        <w:rPr>
          <w:rFonts w:ascii="Times New Roman" w:eastAsia="Times New Roman" w:hAnsi="Times New Roman" w:cs="David" w:hint="cs"/>
          <w:color w:val="auto"/>
          <w:spacing w:val="0"/>
          <w:sz w:val="20"/>
          <w:szCs w:val="26"/>
          <w:rtl/>
          <w:lang w:eastAsia="en-US"/>
        </w:rPr>
        <w:t>ח</w:t>
      </w:r>
      <w:proofErr w:type="spellEnd"/>
    </w:p>
    <w:p w:rsidR="00CA3EDE" w:rsidRPr="005A1028" w:rsidRDefault="00CA3EDE" w:rsidP="00CA3EDE">
      <w:pPr>
        <w:widowControl/>
        <w:autoSpaceDE/>
        <w:autoSpaceDN/>
        <w:adjustRightInd/>
        <w:spacing w:before="0" w:line="360" w:lineRule="auto"/>
        <w:ind w:firstLine="0"/>
        <w:jc w:val="left"/>
        <w:textAlignment w:val="auto"/>
        <w:rPr>
          <w:rFonts w:ascii="Times New Roman" w:eastAsia="Times New Roman" w:hAnsi="Times New Roman" w:cs="David"/>
          <w:color w:val="auto"/>
          <w:spacing w:val="0"/>
          <w:sz w:val="20"/>
          <w:szCs w:val="26"/>
          <w:rtl/>
          <w:lang w:eastAsia="en-US"/>
        </w:rPr>
      </w:pPr>
      <w:r w:rsidRPr="005A1028">
        <w:rPr>
          <w:rFonts w:ascii="Times New Roman" w:eastAsia="Times New Roman" w:hAnsi="Times New Roman" w:cs="David" w:hint="cs"/>
          <w:color w:val="auto"/>
          <w:spacing w:val="0"/>
          <w:sz w:val="20"/>
          <w:szCs w:val="26"/>
          <w:rtl/>
          <w:lang w:eastAsia="en-US"/>
        </w:rPr>
        <w:t>(____________ 2017)</w:t>
      </w:r>
    </w:p>
    <w:p w:rsidR="00CA3EDE" w:rsidRPr="005A1028" w:rsidRDefault="00CA3EDE" w:rsidP="00510848">
      <w:pPr>
        <w:widowControl/>
        <w:autoSpaceDE/>
        <w:autoSpaceDN/>
        <w:adjustRightInd/>
        <w:spacing w:before="0" w:line="360" w:lineRule="auto"/>
        <w:ind w:firstLine="0"/>
        <w:jc w:val="left"/>
        <w:textAlignment w:val="auto"/>
        <w:rPr>
          <w:rFonts w:ascii="Times New Roman" w:eastAsia="Times New Roman" w:hAnsi="Times New Roman" w:cs="David"/>
          <w:color w:val="auto"/>
          <w:spacing w:val="0"/>
          <w:sz w:val="20"/>
          <w:szCs w:val="26"/>
          <w:lang w:eastAsia="en-US"/>
        </w:rPr>
      </w:pPr>
      <w:r w:rsidRPr="005A1028">
        <w:rPr>
          <w:rFonts w:ascii="Times New Roman" w:eastAsia="Times New Roman" w:hAnsi="Times New Roman" w:cs="David" w:hint="cs"/>
          <w:color w:val="auto"/>
          <w:spacing w:val="0"/>
          <w:sz w:val="20"/>
          <w:szCs w:val="26"/>
          <w:rtl/>
          <w:lang w:eastAsia="en-US"/>
        </w:rPr>
        <w:t>(</w:t>
      </w:r>
      <w:proofErr w:type="spellStart"/>
      <w:r w:rsidRPr="005A1028">
        <w:rPr>
          <w:rFonts w:ascii="Times New Roman" w:eastAsia="Times New Roman" w:hAnsi="Times New Roman" w:cs="David" w:hint="cs"/>
          <w:color w:val="auto"/>
          <w:spacing w:val="0"/>
          <w:sz w:val="20"/>
          <w:szCs w:val="26"/>
          <w:rtl/>
          <w:lang w:eastAsia="en-US"/>
        </w:rPr>
        <w:t>חמ</w:t>
      </w:r>
      <w:proofErr w:type="spellEnd"/>
      <w:r w:rsidRPr="005A1028">
        <w:rPr>
          <w:rFonts w:ascii="Times New Roman" w:eastAsia="Times New Roman" w:hAnsi="Times New Roman" w:cs="David" w:hint="cs"/>
          <w:color w:val="auto"/>
          <w:spacing w:val="0"/>
          <w:sz w:val="20"/>
          <w:szCs w:val="26"/>
          <w:rtl/>
          <w:lang w:eastAsia="en-US"/>
        </w:rPr>
        <w:t xml:space="preserve"> </w:t>
      </w:r>
      <w:r w:rsidR="00510848">
        <w:rPr>
          <w:rFonts w:ascii="Times New Roman" w:eastAsia="Times New Roman" w:hAnsi="Times New Roman" w:cs="David" w:hint="cs"/>
          <w:color w:val="auto"/>
          <w:spacing w:val="0"/>
          <w:sz w:val="20"/>
          <w:szCs w:val="26"/>
          <w:rtl/>
          <w:lang w:eastAsia="en-US"/>
        </w:rPr>
        <w:t>3-1538-ת1</w:t>
      </w:r>
      <w:r w:rsidRPr="005A1028">
        <w:rPr>
          <w:rFonts w:ascii="Times New Roman" w:eastAsia="Times New Roman" w:hAnsi="Times New Roman" w:cs="David" w:hint="cs"/>
          <w:color w:val="auto"/>
          <w:spacing w:val="0"/>
          <w:sz w:val="20"/>
          <w:szCs w:val="26"/>
          <w:rtl/>
          <w:lang w:eastAsia="en-US"/>
        </w:rPr>
        <w:t>)</w:t>
      </w:r>
    </w:p>
    <w:p w:rsidR="005A1028" w:rsidRDefault="005A1028">
      <w:pPr>
        <w:widowControl/>
        <w:autoSpaceDE/>
        <w:autoSpaceDN/>
        <w:bidi w:val="0"/>
        <w:adjustRightInd/>
        <w:spacing w:before="0" w:after="200" w:line="276" w:lineRule="auto"/>
        <w:ind w:firstLine="0"/>
        <w:jc w:val="left"/>
        <w:textAlignment w:val="auto"/>
        <w:rPr>
          <w:rFonts w:ascii="Arial" w:eastAsia="Arial Unicode MS" w:hAnsi="Arial" w:cs="David"/>
          <w:b/>
          <w:snapToGrid w:val="0"/>
          <w:spacing w:val="40"/>
          <w:sz w:val="20"/>
          <w:szCs w:val="26"/>
          <w:rtl/>
        </w:rPr>
      </w:pPr>
      <w:r>
        <w:rPr>
          <w:rtl/>
        </w:rPr>
        <w:br w:type="page"/>
      </w:r>
    </w:p>
    <w:p w:rsidR="006E4BE5" w:rsidRDefault="00CA3EDE">
      <w:pPr>
        <w:pStyle w:val="HeadDivreiHesber"/>
        <w:rPr>
          <w:rtl/>
        </w:rPr>
      </w:pPr>
      <w:r>
        <w:rPr>
          <w:rFonts w:hint="cs"/>
          <w:rtl/>
        </w:rPr>
        <w:lastRenderedPageBreak/>
        <w:t>ד</w:t>
      </w:r>
      <w:r w:rsidR="006E4BE5">
        <w:rPr>
          <w:rFonts w:hint="cs"/>
          <w:rtl/>
        </w:rPr>
        <w:t>ברי הסבר</w:t>
      </w:r>
    </w:p>
    <w:p w:rsidR="00CA3EDE" w:rsidRDefault="00CA3EDE" w:rsidP="00CA3EDE">
      <w:pPr>
        <w:pStyle w:val="Hesber1st"/>
        <w:rPr>
          <w:rtl/>
        </w:rPr>
      </w:pPr>
      <w:r>
        <w:rPr>
          <w:rtl/>
        </w:rPr>
        <w:t xml:space="preserve">ענפי הרישום בפנקס הקבלנים לעבודות הנדסה בנאיות מחלקים את עבודות ההנדסה הבנאיות לפי סוגים והתמחויות, כך שרק קבלן הרשום לענף מסוים רשאי לעבוד בתחום ההתמחות הנדרשת לאותו ענף. כיום ישנן כפילויות בענפים מבחינת ההתמחות הנדרשת בכל אחד, וכן קיימים ענפים שאינם רלוונטיים עוד לאופן הבנייה הנהוג כיום. לפיכך, מוצע לצמצם ולאחד את מספר הענפים הראשיים וענפי המשנה, ולקבוע הסדרים מתאימים, כמפורט להלן. </w:t>
      </w:r>
    </w:p>
    <w:p w:rsidR="00CA3EDE" w:rsidRPr="00CA3EDE" w:rsidRDefault="00CA3EDE" w:rsidP="00CA3EDE">
      <w:pPr>
        <w:pStyle w:val="Hesber1st"/>
        <w:rPr>
          <w:u w:val="single"/>
          <w:rtl/>
        </w:rPr>
      </w:pPr>
      <w:r w:rsidRPr="00CA3EDE">
        <w:rPr>
          <w:u w:val="single"/>
          <w:rtl/>
        </w:rPr>
        <w:t>תקנה 1</w:t>
      </w:r>
    </w:p>
    <w:p w:rsidR="00CA3EDE" w:rsidRDefault="00CA3EDE" w:rsidP="00ED2771">
      <w:pPr>
        <w:pStyle w:val="Hesber1st"/>
        <w:rPr>
          <w:rtl/>
        </w:rPr>
      </w:pPr>
      <w:r>
        <w:rPr>
          <w:rtl/>
        </w:rPr>
        <w:t>מוצע לקבוע כי ענ</w:t>
      </w:r>
      <w:r w:rsidR="00ED2771">
        <w:rPr>
          <w:rFonts w:hint="cs"/>
          <w:rtl/>
        </w:rPr>
        <w:t>ף</w:t>
      </w:r>
      <w:r>
        <w:rPr>
          <w:rtl/>
        </w:rPr>
        <w:t xml:space="preserve"> משנה 130, שנושאו "בטונים, בניית שלדים", ו</w:t>
      </w:r>
      <w:r w:rsidR="00ED2771">
        <w:rPr>
          <w:rFonts w:hint="cs"/>
          <w:rtl/>
        </w:rPr>
        <w:t xml:space="preserve">ענף משנה </w:t>
      </w:r>
      <w:r>
        <w:rPr>
          <w:rtl/>
        </w:rPr>
        <w:t xml:space="preserve">150, שנושאו יהיה "קונסטרוקציות פלדה לעומס אדם ולגשרי צנרת", ייראו כענפים ראשיים, לעניין סעיף 4 לחוק רישום קבלנים לעבודות הנדסה בנאיות, התשכ"ט-1969. כלומר, יוחמרו תנאי הרישום, מבחינת ההכשרה המקצועית ושנות הניסיון, ויותאמו למורכבות ענפי משנה אלה. לפי הוראת התחולה שבתקנה </w:t>
      </w:r>
      <w:r w:rsidR="008945B3">
        <w:rPr>
          <w:rFonts w:hint="cs"/>
          <w:rtl/>
        </w:rPr>
        <w:t>4</w:t>
      </w:r>
      <w:r>
        <w:rPr>
          <w:rtl/>
        </w:rPr>
        <w:t>, מוצע כי ההסדר החדש בעניין זה יחול רק לגבי בקשות חדשות לרישום בענפי משנה אלה, ולא לגבי מי שכבר רשום בהם כיום.</w:t>
      </w:r>
    </w:p>
    <w:p w:rsidR="00CA3EDE" w:rsidRPr="00CA3EDE" w:rsidRDefault="00CA3EDE" w:rsidP="00CA3EDE">
      <w:pPr>
        <w:pStyle w:val="Hesber1st"/>
        <w:rPr>
          <w:u w:val="single"/>
          <w:rtl/>
        </w:rPr>
      </w:pPr>
      <w:r w:rsidRPr="00CA3EDE">
        <w:rPr>
          <w:u w:val="single"/>
          <w:rtl/>
        </w:rPr>
        <w:t>תקנה 2</w:t>
      </w:r>
    </w:p>
    <w:p w:rsidR="00CA3EDE" w:rsidRDefault="00CA3EDE" w:rsidP="00455A15">
      <w:pPr>
        <w:pStyle w:val="Hesber1st"/>
        <w:rPr>
          <w:rtl/>
        </w:rPr>
      </w:pPr>
      <w:r>
        <w:rPr>
          <w:rtl/>
        </w:rPr>
        <w:t>תקנה זו מעדכנת את רשימת הענפים הראשיים וענפי המשנה.</w:t>
      </w:r>
    </w:p>
    <w:p w:rsidR="00CA3EDE" w:rsidRPr="00CA3EDE" w:rsidRDefault="00CA3EDE" w:rsidP="00CA3EDE">
      <w:pPr>
        <w:pStyle w:val="Hesber1st"/>
        <w:rPr>
          <w:u w:val="single"/>
          <w:rtl/>
        </w:rPr>
      </w:pPr>
      <w:r w:rsidRPr="00CA3EDE">
        <w:rPr>
          <w:u w:val="single"/>
          <w:rtl/>
        </w:rPr>
        <w:t>תקנה 3</w:t>
      </w:r>
    </w:p>
    <w:p w:rsidR="00CA3EDE" w:rsidRDefault="00CA3EDE" w:rsidP="000575EA">
      <w:pPr>
        <w:pStyle w:val="Hesber1st"/>
        <w:rPr>
          <w:rtl/>
        </w:rPr>
      </w:pPr>
      <w:r>
        <w:rPr>
          <w:rtl/>
        </w:rPr>
        <w:t>בשנת 1993 בוצע עדכון של רשימת הענפים, ונקבעו אגב כך הוראות מעבר. מוצע למחוק את הוראות המעבר הישנות מפאת חוסר רלוונטיות, ולקבוע הוראות מעבר חדשות, כמפורט בתקנ</w:t>
      </w:r>
      <w:r>
        <w:rPr>
          <w:rFonts w:hint="cs"/>
          <w:rtl/>
        </w:rPr>
        <w:t>ה</w:t>
      </w:r>
      <w:r>
        <w:rPr>
          <w:rtl/>
        </w:rPr>
        <w:t xml:space="preserve"> </w:t>
      </w:r>
      <w:r w:rsidR="008945B3">
        <w:rPr>
          <w:rFonts w:hint="cs"/>
          <w:rtl/>
        </w:rPr>
        <w:t>5</w:t>
      </w:r>
      <w:r w:rsidR="008945B3">
        <w:rPr>
          <w:rtl/>
        </w:rPr>
        <w:t xml:space="preserve"> </w:t>
      </w:r>
      <w:r>
        <w:rPr>
          <w:rtl/>
        </w:rPr>
        <w:t>לתקנות אלה.</w:t>
      </w:r>
    </w:p>
    <w:p w:rsidR="00CA3EDE" w:rsidRPr="00CA3EDE" w:rsidRDefault="00CA3EDE" w:rsidP="00455A15">
      <w:pPr>
        <w:pStyle w:val="Hesber1st"/>
        <w:rPr>
          <w:u w:val="single"/>
          <w:rtl/>
        </w:rPr>
      </w:pPr>
      <w:r w:rsidRPr="00CA3EDE">
        <w:rPr>
          <w:u w:val="single"/>
          <w:rtl/>
        </w:rPr>
        <w:t>תקנ</w:t>
      </w:r>
      <w:r w:rsidR="00455A15">
        <w:rPr>
          <w:rFonts w:hint="cs"/>
          <w:u w:val="single"/>
          <w:rtl/>
        </w:rPr>
        <w:t>ה</w:t>
      </w:r>
      <w:r w:rsidRPr="00CA3EDE">
        <w:rPr>
          <w:u w:val="single"/>
          <w:rtl/>
        </w:rPr>
        <w:t xml:space="preserve"> </w:t>
      </w:r>
      <w:r>
        <w:rPr>
          <w:rFonts w:hint="cs"/>
          <w:u w:val="single"/>
          <w:rtl/>
        </w:rPr>
        <w:t>4</w:t>
      </w:r>
    </w:p>
    <w:p w:rsidR="00CA3EDE" w:rsidRDefault="00CA3EDE" w:rsidP="00CA3EDE">
      <w:pPr>
        <w:pStyle w:val="Hesber1st"/>
        <w:rPr>
          <w:rtl/>
        </w:rPr>
      </w:pPr>
      <w:r>
        <w:rPr>
          <w:rtl/>
        </w:rPr>
        <w:t>מוצע לקבוע שמועד שינוי רשימת הענפים יחול בחלוף 90 ימים ממועד פרסום התקנות על-מנת לאפשר לשוק להיערך לשינויים, כגון במסגרת ניסוח מכרזים. כן, מוצע לקבוע ששינוי הדרישות לרישום בענפי משנה 130 ו-150, המוזכרים לעיל, יהיה מיד עם פרסום התקנות, אך הוא לא יחול על מי שהגיש את בקשתו לרישום בענפים טרם מועד פרסום התקנות, גם אם הטיפול בבקשה טרם הושלם.</w:t>
      </w:r>
    </w:p>
    <w:p w:rsidR="00CA3EDE" w:rsidRPr="00CA3EDE" w:rsidRDefault="00CA3EDE" w:rsidP="00455A15">
      <w:pPr>
        <w:pStyle w:val="Hesber1st"/>
        <w:rPr>
          <w:u w:val="single"/>
          <w:rtl/>
        </w:rPr>
      </w:pPr>
      <w:r w:rsidRPr="00CA3EDE">
        <w:rPr>
          <w:u w:val="single"/>
          <w:rtl/>
        </w:rPr>
        <w:t xml:space="preserve">תקנה </w:t>
      </w:r>
      <w:r w:rsidR="00455A15">
        <w:rPr>
          <w:rFonts w:hint="cs"/>
          <w:u w:val="single"/>
          <w:rtl/>
        </w:rPr>
        <w:t>5</w:t>
      </w:r>
    </w:p>
    <w:p w:rsidR="006E4BE5" w:rsidRPr="002213BB" w:rsidRDefault="00CA3EDE" w:rsidP="00AC511B">
      <w:pPr>
        <w:pStyle w:val="Hesber1st"/>
        <w:tabs>
          <w:tab w:val="clear" w:pos="680"/>
        </w:tabs>
        <w:rPr>
          <w:rtl/>
        </w:rPr>
      </w:pPr>
      <w:r>
        <w:rPr>
          <w:rtl/>
        </w:rPr>
        <w:t>תקנה זו, יחד עם התוספת הראשונה והשנייה, נועדה לקבוע באילו ענפים יימשך רישומם של קבלנים</w:t>
      </w:r>
      <w:r>
        <w:rPr>
          <w:rFonts w:hint="cs"/>
          <w:rtl/>
        </w:rPr>
        <w:t>,</w:t>
      </w:r>
      <w:r>
        <w:rPr>
          <w:rtl/>
        </w:rPr>
        <w:t xml:space="preserve"> שהענף בו היו רשומים ערב פרסום התקנות בוטל או שונה.</w:t>
      </w:r>
      <w:r w:rsidR="00455A15">
        <w:rPr>
          <w:rFonts w:hint="cs"/>
          <w:rtl/>
        </w:rPr>
        <w:t xml:space="preserve"> כמו כן, תקנת משנה (ב)</w:t>
      </w:r>
      <w:r w:rsidR="004D106B">
        <w:rPr>
          <w:rFonts w:hint="cs"/>
          <w:rtl/>
        </w:rPr>
        <w:t xml:space="preserve"> קובעת</w:t>
      </w:r>
      <w:r w:rsidR="00455A15">
        <w:rPr>
          <w:rFonts w:hint="cs"/>
          <w:rtl/>
        </w:rPr>
        <w:t xml:space="preserve"> </w:t>
      </w:r>
      <w:r w:rsidR="004D106B">
        <w:rPr>
          <w:rFonts w:hint="cs"/>
          <w:rtl/>
        </w:rPr>
        <w:t>שלאחר כניסת התקנות לתוקף, לא ניתן יהיה להירשם עוד ב</w:t>
      </w:r>
      <w:r w:rsidR="00455A15">
        <w:rPr>
          <w:rFonts w:hint="cs"/>
          <w:rtl/>
        </w:rPr>
        <w:t>ענפים 135 (הרחבת מבנים), 140 (בנייה טרומית), 310 (בטונים ובטון דרוך לגשרים) ו-700 (ממגורות מגדלי מים וארובות)</w:t>
      </w:r>
      <w:r w:rsidR="004D106B">
        <w:rPr>
          <w:rFonts w:hint="cs"/>
          <w:rtl/>
        </w:rPr>
        <w:t xml:space="preserve">, וזאת מכיוון שעבודות ההנדסה הנכללות בהם </w:t>
      </w:r>
      <w:r w:rsidR="00AC511B">
        <w:rPr>
          <w:rFonts w:hint="cs"/>
          <w:rtl/>
        </w:rPr>
        <w:t>נכללות בענפים ראשיים 100 (בנייה) ו-300 (גשרים)</w:t>
      </w:r>
      <w:r w:rsidR="00455A15">
        <w:rPr>
          <w:rFonts w:hint="cs"/>
          <w:rtl/>
        </w:rPr>
        <w:t>.</w:t>
      </w:r>
    </w:p>
    <w:p w:rsidR="00D26523" w:rsidRDefault="00FB4D26" w:rsidP="001B36BB">
      <w:pPr>
        <w:snapToGrid w:val="0"/>
        <w:spacing w:before="120" w:after="120" w:line="360" w:lineRule="auto"/>
        <w:ind w:left="1418" w:firstLine="0"/>
        <w:jc w:val="right"/>
      </w:pPr>
    </w:p>
    <w:sectPr w:rsidR="00D26523" w:rsidSect="00943E9D">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D26" w:rsidRDefault="00FB4D26" w:rsidP="004650D8">
      <w:pPr>
        <w:spacing w:before="0" w:line="240" w:lineRule="auto"/>
      </w:pPr>
      <w:r>
        <w:separator/>
      </w:r>
    </w:p>
  </w:endnote>
  <w:endnote w:type="continuationSeparator" w:id="0">
    <w:p w:rsidR="00FB4D26" w:rsidRDefault="00FB4D26" w:rsidP="004650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D26" w:rsidRDefault="00FB4D26" w:rsidP="004650D8">
      <w:pPr>
        <w:spacing w:before="0" w:line="240" w:lineRule="auto"/>
      </w:pPr>
      <w:r>
        <w:separator/>
      </w:r>
    </w:p>
  </w:footnote>
  <w:footnote w:type="continuationSeparator" w:id="0">
    <w:p w:rsidR="00FB4D26" w:rsidRDefault="00FB4D26" w:rsidP="004650D8">
      <w:pPr>
        <w:spacing w:before="0" w:line="240" w:lineRule="auto"/>
      </w:pPr>
      <w:r>
        <w:continuationSeparator/>
      </w:r>
    </w:p>
  </w:footnote>
  <w:footnote w:id="1">
    <w:p w:rsidR="006868AE" w:rsidRDefault="006868AE" w:rsidP="007243C7">
      <w:pPr>
        <w:pStyle w:val="a5"/>
      </w:pPr>
      <w:r>
        <w:rPr>
          <w:rStyle w:val="a7"/>
        </w:rPr>
        <w:footnoteRef/>
      </w:r>
      <w:r>
        <w:rPr>
          <w:rFonts w:hint="cs"/>
          <w:rtl/>
        </w:rPr>
        <w:t xml:space="preserve"> ס"ח </w:t>
      </w:r>
      <w:proofErr w:type="spellStart"/>
      <w:r>
        <w:rPr>
          <w:rFonts w:hint="cs"/>
          <w:rtl/>
        </w:rPr>
        <w:t>התשכ"ט</w:t>
      </w:r>
      <w:proofErr w:type="spellEnd"/>
      <w:r>
        <w:rPr>
          <w:rFonts w:hint="cs"/>
          <w:rtl/>
        </w:rPr>
        <w:t xml:space="preserve">, עמ' 218; </w:t>
      </w:r>
      <w:proofErr w:type="spellStart"/>
      <w:r>
        <w:rPr>
          <w:rFonts w:hint="cs"/>
          <w:rtl/>
        </w:rPr>
        <w:t>התשל"ג</w:t>
      </w:r>
      <w:proofErr w:type="spellEnd"/>
      <w:r>
        <w:rPr>
          <w:rFonts w:hint="cs"/>
          <w:rtl/>
        </w:rPr>
        <w:t xml:space="preserve">, עמ' 59; </w:t>
      </w:r>
      <w:proofErr w:type="spellStart"/>
      <w:r>
        <w:rPr>
          <w:rFonts w:hint="cs"/>
          <w:rtl/>
        </w:rPr>
        <w:t>התשס"ז</w:t>
      </w:r>
      <w:proofErr w:type="spellEnd"/>
      <w:r>
        <w:rPr>
          <w:rFonts w:hint="cs"/>
          <w:rtl/>
        </w:rPr>
        <w:t>, עמ' 18.</w:t>
      </w:r>
    </w:p>
  </w:footnote>
  <w:footnote w:id="2">
    <w:p w:rsidR="007243C7" w:rsidRDefault="007243C7" w:rsidP="006868AE">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xml:space="preserve">, עמ' 1074; </w:t>
      </w:r>
      <w:proofErr w:type="spellStart"/>
      <w:r>
        <w:rPr>
          <w:rFonts w:hint="cs"/>
          <w:rtl/>
        </w:rPr>
        <w:t>התשס"ד</w:t>
      </w:r>
      <w:proofErr w:type="spellEnd"/>
      <w:r>
        <w:rPr>
          <w:rFonts w:hint="cs"/>
          <w:rtl/>
        </w:rPr>
        <w:t xml:space="preserve"> עמ'</w:t>
      </w:r>
      <w:r w:rsidR="006868AE">
        <w:rPr>
          <w:rFonts w:hint="cs"/>
          <w:rtl/>
        </w:rPr>
        <w:t xml:space="preserve"> </w:t>
      </w:r>
      <w:r>
        <w:rPr>
          <w:rFonts w:hint="cs"/>
          <w:rtl/>
        </w:rPr>
        <w:t xml:space="preserve"> </w:t>
      </w:r>
      <w:r w:rsidR="006868AE">
        <w:rPr>
          <w:rFonts w:hint="cs"/>
          <w:rtl/>
        </w:rPr>
        <w:t>60</w:t>
      </w:r>
      <w:r>
        <w:rPr>
          <w:rFonts w:hint="cs"/>
          <w:rtl/>
        </w:rPr>
        <w:t>.</w:t>
      </w:r>
    </w:p>
  </w:footnote>
  <w:footnote w:id="3">
    <w:p w:rsidR="006868AE" w:rsidRDefault="006868AE">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התשמ"ח</w:t>
      </w:r>
      <w:proofErr w:type="spellEnd"/>
      <w:r>
        <w:rPr>
          <w:rFonts w:hint="cs"/>
          <w:rtl/>
        </w:rPr>
        <w:t>, עמ' 1082.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970576"/>
    <w:multiLevelType w:val="hybridMultilevel"/>
    <w:tmpl w:val="3E1C2160"/>
    <w:lvl w:ilvl="0" w:tplc="87AAE5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1061CA"/>
    <w:multiLevelType w:val="hybridMultilevel"/>
    <w:tmpl w:val="CE88EF70"/>
    <w:lvl w:ilvl="0" w:tplc="2DCE938C">
      <w:start w:val="2"/>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795595"/>
    <w:multiLevelType w:val="hybridMultilevel"/>
    <w:tmpl w:val="5532C9EA"/>
    <w:lvl w:ilvl="0" w:tplc="B016F310">
      <w:start w:val="2"/>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AD75EE"/>
    <w:multiLevelType w:val="hybridMultilevel"/>
    <w:tmpl w:val="E216EE36"/>
    <w:lvl w:ilvl="0" w:tplc="ADF8B2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EC595E"/>
    <w:multiLevelType w:val="hybridMultilevel"/>
    <w:tmpl w:val="175A3E2C"/>
    <w:lvl w:ilvl="0" w:tplc="998E61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3FDC5B2C">
      <w:start w:val="1"/>
      <w:numFmt w:val="decimal"/>
      <w:lvlRestart w:val="0"/>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5D1C918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A296BD14">
      <w:start w:val="1"/>
      <w:numFmt w:val="hebrew1"/>
      <w:lvlRestart w:val="0"/>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0"/>
  </w:num>
  <w:num w:numId="3">
    <w:abstractNumId w:val="3"/>
  </w:num>
  <w:num w:numId="4">
    <w:abstractNumId w:val="8"/>
  </w:num>
  <w:num w:numId="5">
    <w:abstractNumId w:val="1"/>
  </w:num>
  <w:num w:numId="6">
    <w:abstractNumId w:val="5"/>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BE5"/>
    <w:rsid w:val="0005097C"/>
    <w:rsid w:val="000575EA"/>
    <w:rsid w:val="000576C6"/>
    <w:rsid w:val="00081949"/>
    <w:rsid w:val="00081E46"/>
    <w:rsid w:val="001B36BB"/>
    <w:rsid w:val="001C44F6"/>
    <w:rsid w:val="001F0754"/>
    <w:rsid w:val="00243DF9"/>
    <w:rsid w:val="002E6988"/>
    <w:rsid w:val="0031347A"/>
    <w:rsid w:val="00324A6C"/>
    <w:rsid w:val="00380BC6"/>
    <w:rsid w:val="003812B2"/>
    <w:rsid w:val="00416725"/>
    <w:rsid w:val="00427482"/>
    <w:rsid w:val="00432AD2"/>
    <w:rsid w:val="00435BC3"/>
    <w:rsid w:val="00455A15"/>
    <w:rsid w:val="004650D8"/>
    <w:rsid w:val="004D106B"/>
    <w:rsid w:val="004D67B4"/>
    <w:rsid w:val="00510848"/>
    <w:rsid w:val="00534801"/>
    <w:rsid w:val="00537BB5"/>
    <w:rsid w:val="005A1028"/>
    <w:rsid w:val="005A28AE"/>
    <w:rsid w:val="005C2678"/>
    <w:rsid w:val="00656B62"/>
    <w:rsid w:val="0066324D"/>
    <w:rsid w:val="006868AE"/>
    <w:rsid w:val="006B1C2D"/>
    <w:rsid w:val="006C59B8"/>
    <w:rsid w:val="006E4BE5"/>
    <w:rsid w:val="00720BE2"/>
    <w:rsid w:val="007243C7"/>
    <w:rsid w:val="007A07C3"/>
    <w:rsid w:val="007B5432"/>
    <w:rsid w:val="008223BE"/>
    <w:rsid w:val="008945B3"/>
    <w:rsid w:val="008C556C"/>
    <w:rsid w:val="008D30E4"/>
    <w:rsid w:val="008D503F"/>
    <w:rsid w:val="008D7C4F"/>
    <w:rsid w:val="009210EA"/>
    <w:rsid w:val="009368FC"/>
    <w:rsid w:val="00943E9D"/>
    <w:rsid w:val="00957CEF"/>
    <w:rsid w:val="00960496"/>
    <w:rsid w:val="009715EA"/>
    <w:rsid w:val="00984169"/>
    <w:rsid w:val="009B63EA"/>
    <w:rsid w:val="009E6369"/>
    <w:rsid w:val="009F706A"/>
    <w:rsid w:val="00A01323"/>
    <w:rsid w:val="00AC511B"/>
    <w:rsid w:val="00BA0E5E"/>
    <w:rsid w:val="00BA7E67"/>
    <w:rsid w:val="00C44BD7"/>
    <w:rsid w:val="00C5742C"/>
    <w:rsid w:val="00C73AD9"/>
    <w:rsid w:val="00CA3EDE"/>
    <w:rsid w:val="00CA7087"/>
    <w:rsid w:val="00CE26CD"/>
    <w:rsid w:val="00CF3C8F"/>
    <w:rsid w:val="00DA0C0C"/>
    <w:rsid w:val="00E13C7E"/>
    <w:rsid w:val="00E20386"/>
    <w:rsid w:val="00E56E63"/>
    <w:rsid w:val="00ED2771"/>
    <w:rsid w:val="00EE68C1"/>
    <w:rsid w:val="00FB4D26"/>
    <w:rsid w:val="00FE0F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92B070-9B59-44BC-BC0D-1ADB2F01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BE5"/>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6E4BE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E4BE5"/>
  </w:style>
  <w:style w:type="paragraph" w:customStyle="1" w:styleId="TableBlock">
    <w:name w:val="Table Block"/>
    <w:basedOn w:val="TableText"/>
    <w:rsid w:val="006E4BE5"/>
    <w:pPr>
      <w:ind w:right="0"/>
      <w:jc w:val="both"/>
    </w:pPr>
  </w:style>
  <w:style w:type="paragraph" w:customStyle="1" w:styleId="TableHead">
    <w:name w:val="Table Head"/>
    <w:basedOn w:val="TableText"/>
    <w:rsid w:val="006E4BE5"/>
    <w:pPr>
      <w:ind w:right="0"/>
      <w:jc w:val="center"/>
    </w:pPr>
    <w:rPr>
      <w:b/>
      <w:bCs/>
    </w:rPr>
  </w:style>
  <w:style w:type="paragraph" w:customStyle="1" w:styleId="HeadMitparsemetBaze">
    <w:name w:val="Head MitparsemetBaze"/>
    <w:basedOn w:val="a"/>
    <w:rsid w:val="006E4BE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E4BE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6E4BE5"/>
    <w:pPr>
      <w:spacing w:before="120" w:after="6000"/>
      <w:ind w:left="1418" w:firstLine="0"/>
      <w:jc w:val="right"/>
    </w:pPr>
    <w:rPr>
      <w:b/>
      <w:bCs/>
    </w:rPr>
  </w:style>
  <w:style w:type="paragraph" w:customStyle="1" w:styleId="Hesber1st">
    <w:name w:val="Hesber 1st"/>
    <w:basedOn w:val="Hesber"/>
    <w:rsid w:val="006E4BE5"/>
    <w:pPr>
      <w:tabs>
        <w:tab w:val="left" w:pos="680"/>
        <w:tab w:val="left" w:pos="1020"/>
      </w:tabs>
      <w:ind w:firstLine="0"/>
    </w:pPr>
  </w:style>
  <w:style w:type="paragraph" w:customStyle="1" w:styleId="HeadDivreiHesber">
    <w:name w:val="Head DivreiHesber"/>
    <w:basedOn w:val="a"/>
    <w:rsid w:val="006E4BE5"/>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E4BE5"/>
    <w:pPr>
      <w:spacing w:before="120" w:after="120"/>
    </w:pPr>
    <w:rPr>
      <w:color w:val="FF0000"/>
      <w:w w:val="80"/>
    </w:rPr>
  </w:style>
  <w:style w:type="paragraph" w:styleId="a3">
    <w:name w:val="endnote text"/>
    <w:basedOn w:val="a"/>
    <w:link w:val="a4"/>
    <w:semiHidden/>
    <w:rsid w:val="006E4BE5"/>
    <w:pPr>
      <w:ind w:left="227" w:hanging="227"/>
    </w:pPr>
    <w:rPr>
      <w:sz w:val="14"/>
      <w:szCs w:val="22"/>
    </w:rPr>
  </w:style>
  <w:style w:type="character" w:customStyle="1" w:styleId="a4">
    <w:name w:val="טקסט הערת סיום תו"/>
    <w:basedOn w:val="a0"/>
    <w:link w:val="a3"/>
    <w:semiHidden/>
    <w:rsid w:val="006E4BE5"/>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6E4BE5"/>
  </w:style>
  <w:style w:type="paragraph" w:customStyle="1" w:styleId="Hesber">
    <w:name w:val="Hesber"/>
    <w:basedOn w:val="a"/>
    <w:rsid w:val="006E4BE5"/>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6E4BE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6E4BE5"/>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6E4BE5"/>
    <w:rPr>
      <w:vertAlign w:val="superscript"/>
    </w:rPr>
  </w:style>
  <w:style w:type="paragraph" w:customStyle="1" w:styleId="HesberHeading">
    <w:name w:val="Hesber Heading"/>
    <w:basedOn w:val="Hesber"/>
    <w:rsid w:val="006E4BE5"/>
    <w:pPr>
      <w:tabs>
        <w:tab w:val="left" w:pos="624"/>
        <w:tab w:val="left" w:pos="1247"/>
      </w:tabs>
      <w:ind w:firstLine="0"/>
    </w:pPr>
    <w:rPr>
      <w:b/>
      <w:bCs/>
    </w:rPr>
  </w:style>
  <w:style w:type="character" w:styleId="a8">
    <w:name w:val="endnote reference"/>
    <w:basedOn w:val="a0"/>
    <w:semiHidden/>
    <w:rsid w:val="006E4BE5"/>
    <w:rPr>
      <w:vertAlign w:val="superscript"/>
    </w:rPr>
  </w:style>
  <w:style w:type="paragraph" w:customStyle="1" w:styleId="TableBlockOutdent">
    <w:name w:val="Table BlockOutdent"/>
    <w:basedOn w:val="TableBlock"/>
    <w:rsid w:val="006E4BE5"/>
    <w:pPr>
      <w:ind w:left="624" w:hanging="624"/>
    </w:pPr>
  </w:style>
  <w:style w:type="paragraph" w:styleId="a9">
    <w:name w:val="header"/>
    <w:basedOn w:val="a"/>
    <w:link w:val="aa"/>
    <w:rsid w:val="006E4BE5"/>
    <w:pPr>
      <w:tabs>
        <w:tab w:val="center" w:pos="4153"/>
        <w:tab w:val="right" w:pos="8306"/>
      </w:tabs>
    </w:pPr>
  </w:style>
  <w:style w:type="character" w:customStyle="1" w:styleId="aa">
    <w:name w:val="כותרת עליונה תו"/>
    <w:basedOn w:val="a0"/>
    <w:link w:val="a9"/>
    <w:rsid w:val="006E4BE5"/>
    <w:rPr>
      <w:rFonts w:ascii="Hadasa Roso SL" w:eastAsia="MS Mincho" w:hAnsi="Hadasa Roso SL" w:cs="Hadasa Roso SL"/>
      <w:color w:val="000000"/>
      <w:spacing w:val="1"/>
      <w:sz w:val="17"/>
      <w:szCs w:val="17"/>
      <w:lang w:eastAsia="ja-JP"/>
    </w:rPr>
  </w:style>
  <w:style w:type="paragraph" w:styleId="ab">
    <w:name w:val="footer"/>
    <w:basedOn w:val="a"/>
    <w:link w:val="ac"/>
    <w:rsid w:val="006E4BE5"/>
    <w:pPr>
      <w:tabs>
        <w:tab w:val="center" w:pos="4153"/>
        <w:tab w:val="right" w:pos="8306"/>
      </w:tabs>
    </w:pPr>
  </w:style>
  <w:style w:type="character" w:customStyle="1" w:styleId="ac">
    <w:name w:val="כותרת תחתונה תו"/>
    <w:basedOn w:val="a0"/>
    <w:link w:val="ab"/>
    <w:rsid w:val="006E4BE5"/>
    <w:rPr>
      <w:rFonts w:ascii="Hadasa Roso SL" w:eastAsia="MS Mincho" w:hAnsi="Hadasa Roso SL" w:cs="Hadasa Roso SL"/>
      <w:color w:val="000000"/>
      <w:spacing w:val="1"/>
      <w:sz w:val="17"/>
      <w:szCs w:val="17"/>
      <w:lang w:eastAsia="ja-JP"/>
    </w:rPr>
  </w:style>
  <w:style w:type="character" w:styleId="ad">
    <w:name w:val="page number"/>
    <w:basedOn w:val="a0"/>
    <w:rsid w:val="006E4BE5"/>
  </w:style>
  <w:style w:type="paragraph" w:customStyle="1" w:styleId="Cover1-Reshumot">
    <w:name w:val="Cover 1-Reshumot"/>
    <w:basedOn w:val="a"/>
    <w:rsid w:val="006E4BE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E4BE5"/>
    <w:rPr>
      <w:sz w:val="36"/>
      <w:szCs w:val="52"/>
    </w:rPr>
  </w:style>
  <w:style w:type="paragraph" w:customStyle="1" w:styleId="Cover3-Haknesset">
    <w:name w:val="Cover 3-Haknesset"/>
    <w:basedOn w:val="Cover1-Reshumot"/>
    <w:rsid w:val="006E4BE5"/>
    <w:rPr>
      <w:b/>
      <w:bCs/>
      <w:spacing w:val="60"/>
    </w:rPr>
  </w:style>
  <w:style w:type="paragraph" w:customStyle="1" w:styleId="Cover4-Date">
    <w:name w:val="Cover 4-Date"/>
    <w:basedOn w:val="a"/>
    <w:rsid w:val="006E4BE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E4BE5"/>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E56E63"/>
    <w:rPr>
      <w:rFonts w:ascii="Times New Roman" w:hAnsi="Times New Roman" w:cs="Times New Roman" w:hint="default"/>
      <w:sz w:val="26"/>
      <w:szCs w:val="26"/>
    </w:rPr>
  </w:style>
  <w:style w:type="table" w:styleId="ae">
    <w:name w:val="Table Grid"/>
    <w:basedOn w:val="a1"/>
    <w:uiPriority w:val="59"/>
    <w:rsid w:val="00724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6868AE"/>
    <w:pPr>
      <w:spacing w:before="0" w:line="240" w:lineRule="auto"/>
    </w:pPr>
    <w:rPr>
      <w:rFonts w:ascii="Tahoma" w:hAnsi="Tahoma" w:cs="Tahoma"/>
      <w:sz w:val="16"/>
      <w:szCs w:val="16"/>
    </w:rPr>
  </w:style>
  <w:style w:type="character" w:customStyle="1" w:styleId="af0">
    <w:name w:val="טקסט בלונים תו"/>
    <w:basedOn w:val="a0"/>
    <w:link w:val="af"/>
    <w:uiPriority w:val="99"/>
    <w:semiHidden/>
    <w:rsid w:val="006868AE"/>
    <w:rPr>
      <w:rFonts w:ascii="Tahoma" w:eastAsia="MS Mincho" w:hAnsi="Tahoma" w:cs="Tahoma"/>
      <w:color w:val="000000"/>
      <w:spacing w:val="1"/>
      <w:sz w:val="16"/>
      <w:szCs w:val="16"/>
      <w:lang w:eastAsia="ja-JP"/>
    </w:rPr>
  </w:style>
  <w:style w:type="character" w:styleId="af1">
    <w:name w:val="annotation reference"/>
    <w:basedOn w:val="a0"/>
    <w:uiPriority w:val="99"/>
    <w:semiHidden/>
    <w:unhideWhenUsed/>
    <w:rsid w:val="006868AE"/>
    <w:rPr>
      <w:sz w:val="16"/>
      <w:szCs w:val="16"/>
    </w:rPr>
  </w:style>
  <w:style w:type="paragraph" w:styleId="af2">
    <w:name w:val="annotation text"/>
    <w:basedOn w:val="a"/>
    <w:link w:val="af3"/>
    <w:uiPriority w:val="99"/>
    <w:semiHidden/>
    <w:unhideWhenUsed/>
    <w:rsid w:val="006868AE"/>
    <w:pPr>
      <w:spacing w:line="240" w:lineRule="auto"/>
    </w:pPr>
    <w:rPr>
      <w:sz w:val="20"/>
      <w:szCs w:val="20"/>
    </w:rPr>
  </w:style>
  <w:style w:type="character" w:customStyle="1" w:styleId="af3">
    <w:name w:val="טקסט הערה תו"/>
    <w:basedOn w:val="a0"/>
    <w:link w:val="af2"/>
    <w:uiPriority w:val="99"/>
    <w:semiHidden/>
    <w:rsid w:val="006868AE"/>
    <w:rPr>
      <w:rFonts w:ascii="Hadasa Roso SL" w:eastAsia="MS Mincho" w:hAnsi="Hadasa Roso SL" w:cs="Hadasa Roso SL"/>
      <w:color w:val="000000"/>
      <w:spacing w:val="1"/>
      <w:sz w:val="20"/>
      <w:szCs w:val="20"/>
      <w:lang w:eastAsia="ja-JP"/>
    </w:rPr>
  </w:style>
  <w:style w:type="paragraph" w:styleId="af4">
    <w:name w:val="annotation subject"/>
    <w:basedOn w:val="af2"/>
    <w:next w:val="af2"/>
    <w:link w:val="af5"/>
    <w:uiPriority w:val="99"/>
    <w:semiHidden/>
    <w:unhideWhenUsed/>
    <w:rsid w:val="006868AE"/>
    <w:rPr>
      <w:b/>
      <w:bCs/>
    </w:rPr>
  </w:style>
  <w:style w:type="character" w:customStyle="1" w:styleId="af5">
    <w:name w:val="נושא הערה תו"/>
    <w:basedOn w:val="af3"/>
    <w:link w:val="af4"/>
    <w:uiPriority w:val="99"/>
    <w:semiHidden/>
    <w:rsid w:val="006868AE"/>
    <w:rPr>
      <w:rFonts w:ascii="Hadasa Roso SL" w:eastAsia="MS Mincho" w:hAnsi="Hadasa Roso SL" w:cs="Hadasa Roso SL"/>
      <w:b/>
      <w:bCs/>
      <w:color w:val="000000"/>
      <w:spacing w:val="1"/>
      <w:sz w:val="20"/>
      <w:szCs w:val="20"/>
      <w:lang w:eastAsia="ja-JP"/>
    </w:rPr>
  </w:style>
  <w:style w:type="paragraph" w:styleId="af6">
    <w:name w:val="Revision"/>
    <w:hidden/>
    <w:uiPriority w:val="99"/>
    <w:semiHidden/>
    <w:rsid w:val="00380BC6"/>
    <w:pPr>
      <w:spacing w:after="0" w:line="240" w:lineRule="auto"/>
    </w:pPr>
    <w:rPr>
      <w:rFonts w:ascii="Hadasa Roso SL" w:eastAsia="MS Mincho" w:hAnsi="Hadasa Roso SL" w:cs="Hadasa Roso SL"/>
      <w:color w:val="000000"/>
      <w:spacing w:val="1"/>
      <w:sz w:val="17"/>
      <w:szCs w:val="17"/>
      <w:lang w:eastAsia="ja-JP"/>
    </w:rPr>
  </w:style>
  <w:style w:type="paragraph" w:styleId="af7">
    <w:name w:val="List Paragraph"/>
    <w:basedOn w:val="a"/>
    <w:uiPriority w:val="34"/>
    <w:qFormat/>
    <w:rsid w:val="00534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9A74D0-DC6D-48DB-9BC3-6752C545141A}"/>
</file>

<file path=customXml/itemProps2.xml><?xml version="1.0" encoding="utf-8"?>
<ds:datastoreItem xmlns:ds="http://schemas.openxmlformats.org/officeDocument/2006/customXml" ds:itemID="{2FDFA14F-5520-46F8-A18B-180FA83E0D27}"/>
</file>

<file path=customXml/itemProps3.xml><?xml version="1.0" encoding="utf-8"?>
<ds:datastoreItem xmlns:ds="http://schemas.openxmlformats.org/officeDocument/2006/customXml" ds:itemID="{D73E4C60-E3CB-47E3-8A65-F08C77E64EC7}"/>
</file>

<file path=docProps/app.xml><?xml version="1.0" encoding="utf-8"?>
<Properties xmlns="http://schemas.openxmlformats.org/officeDocument/2006/extended-properties" xmlns:vt="http://schemas.openxmlformats.org/officeDocument/2006/docPropsVTypes">
  <Template>Normal.dotm</Template>
  <TotalTime>0</TotalTime>
  <Pages>5</Pages>
  <Words>858</Words>
  <Characters>4295</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Naama David</dc:creator>
  <cp:lastModifiedBy>כוכי שבתאי</cp:lastModifiedBy>
  <cp:revision>2</cp:revision>
  <cp:lastPrinted>2017-11-15T10:17:00Z</cp:lastPrinted>
  <dcterms:created xsi:type="dcterms:W3CDTF">2017-12-10T10:05:00Z</dcterms:created>
  <dcterms:modified xsi:type="dcterms:W3CDTF">2017-12-10T10:05:00Z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2021502</vt:r8>
  </property>
</Properties>
</file>