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B82" w:rsidRPr="00C97562" w:rsidRDefault="00E84B82" w:rsidP="00E84B82">
      <w:pPr>
        <w:spacing w:after="0" w:line="240" w:lineRule="auto"/>
        <w:ind w:left="6480"/>
        <w:jc w:val="center"/>
        <w:rPr>
          <w:rFonts w:cs="David"/>
          <w:sz w:val="24"/>
          <w:szCs w:val="24"/>
          <w:rtl/>
        </w:rPr>
      </w:pPr>
      <w:bookmarkStart w:id="0" w:name="LGS_Subject"/>
      <w:r>
        <w:rPr>
          <w:rFonts w:cs="David" w:hint="cs"/>
          <w:sz w:val="24"/>
          <w:szCs w:val="24"/>
          <w:rtl/>
        </w:rPr>
        <w:t xml:space="preserve">כ"ט בכסלו </w:t>
      </w:r>
      <w:proofErr w:type="spellStart"/>
      <w:r>
        <w:rPr>
          <w:rFonts w:cs="David" w:hint="cs"/>
          <w:sz w:val="24"/>
          <w:szCs w:val="24"/>
          <w:rtl/>
        </w:rPr>
        <w:t>התשע"ח</w:t>
      </w:r>
      <w:proofErr w:type="spellEnd"/>
    </w:p>
    <w:p w:rsidR="00E84B82" w:rsidRPr="00C97562" w:rsidRDefault="00E84B82" w:rsidP="00E84B82">
      <w:pPr>
        <w:spacing w:after="0" w:line="240" w:lineRule="auto"/>
        <w:ind w:firstLine="720"/>
        <w:jc w:val="both"/>
        <w:rPr>
          <w:rFonts w:cs="David"/>
          <w:sz w:val="24"/>
          <w:szCs w:val="24"/>
          <w:rtl/>
        </w:rPr>
      </w:pPr>
      <w:r w:rsidRPr="00C97562">
        <w:rPr>
          <w:rFonts w:cs="David" w:hint="cs"/>
          <w:sz w:val="24"/>
          <w:szCs w:val="24"/>
          <w:rtl/>
        </w:rPr>
        <w:t xml:space="preserve">   </w:t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</w:r>
      <w:r w:rsidRPr="00C97562">
        <w:rPr>
          <w:rFonts w:cs="David" w:hint="cs"/>
          <w:sz w:val="24"/>
          <w:szCs w:val="24"/>
          <w:rtl/>
        </w:rPr>
        <w:tab/>
        <w:t xml:space="preserve">  </w:t>
      </w:r>
      <w:r>
        <w:rPr>
          <w:rFonts w:cs="David" w:hint="cs"/>
          <w:sz w:val="24"/>
          <w:szCs w:val="24"/>
          <w:rtl/>
        </w:rPr>
        <w:t>17 בדצמבר</w:t>
      </w:r>
      <w:r>
        <w:rPr>
          <w:rFonts w:cs="David" w:hint="cs"/>
          <w:sz w:val="24"/>
          <w:szCs w:val="24"/>
          <w:rtl/>
        </w:rPr>
        <w:t xml:space="preserve"> </w:t>
      </w:r>
      <w:r w:rsidRPr="00C97562">
        <w:rPr>
          <w:rFonts w:cs="David" w:hint="cs"/>
          <w:sz w:val="24"/>
          <w:szCs w:val="24"/>
          <w:rtl/>
        </w:rPr>
        <w:t xml:space="preserve">   2017</w:t>
      </w:r>
    </w:p>
    <w:p w:rsidR="00E84B82" w:rsidRPr="00C97562" w:rsidRDefault="00E84B82" w:rsidP="00E84B82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C97562">
        <w:rPr>
          <w:rFonts w:cs="David" w:hint="cs"/>
          <w:sz w:val="24"/>
          <w:szCs w:val="24"/>
          <w:rtl/>
        </w:rPr>
        <w:t>אל: חברי ועדת החוקה חוק ומשפט</w:t>
      </w:r>
    </w:p>
    <w:p w:rsidR="00E84B82" w:rsidRPr="00C97562" w:rsidRDefault="00E84B82" w:rsidP="00E84B82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C97562">
        <w:rPr>
          <w:rFonts w:cs="David" w:hint="cs"/>
          <w:sz w:val="24"/>
          <w:szCs w:val="24"/>
          <w:rtl/>
        </w:rPr>
        <w:t>מאת: הייעוץ המשפטי לוועדה</w:t>
      </w:r>
    </w:p>
    <w:p w:rsidR="00E84B82" w:rsidRPr="00C97562" w:rsidRDefault="00E84B82" w:rsidP="00E84B82">
      <w:pPr>
        <w:spacing w:after="0" w:line="240" w:lineRule="auto"/>
        <w:jc w:val="both"/>
        <w:rPr>
          <w:rFonts w:cs="David"/>
          <w:sz w:val="24"/>
          <w:szCs w:val="24"/>
          <w:rtl/>
        </w:rPr>
      </w:pPr>
    </w:p>
    <w:p w:rsidR="00E84B82" w:rsidRPr="00C97562" w:rsidRDefault="00E84B82" w:rsidP="00E84B82">
      <w:pPr>
        <w:spacing w:before="240" w:after="0" w:line="360" w:lineRule="auto"/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E84B82" w:rsidRPr="00C97562" w:rsidRDefault="00E84B82" w:rsidP="00E84B82">
      <w:pPr>
        <w:spacing w:before="120" w:after="0" w:line="360" w:lineRule="auto"/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 xml:space="preserve">מסמך רקע לקראת </w:t>
      </w:r>
      <w:r w:rsidRPr="00C97562">
        <w:rPr>
          <w:rFonts w:cs="David" w:hint="cs"/>
          <w:b/>
          <w:bCs/>
          <w:sz w:val="24"/>
          <w:szCs w:val="24"/>
          <w:u w:val="single"/>
          <w:rtl/>
        </w:rPr>
        <w:t xml:space="preserve">דיון הוועדה ביום </w:t>
      </w:r>
      <w:r>
        <w:rPr>
          <w:rFonts w:cs="David" w:hint="cs"/>
          <w:b/>
          <w:bCs/>
          <w:sz w:val="24"/>
          <w:szCs w:val="24"/>
          <w:u w:val="single"/>
          <w:rtl/>
        </w:rPr>
        <w:t xml:space="preserve">19.12.17 </w:t>
      </w:r>
      <w:r w:rsidRPr="00C97562">
        <w:rPr>
          <w:rFonts w:cs="David" w:hint="cs"/>
          <w:b/>
          <w:bCs/>
          <w:sz w:val="24"/>
          <w:szCs w:val="24"/>
          <w:u w:val="single"/>
          <w:rtl/>
        </w:rPr>
        <w:t>ב</w:t>
      </w:r>
      <w:r>
        <w:rPr>
          <w:rFonts w:cs="David" w:hint="cs"/>
          <w:b/>
          <w:bCs/>
          <w:sz w:val="24"/>
          <w:szCs w:val="24"/>
          <w:u w:val="single"/>
          <w:rtl/>
        </w:rPr>
        <w:t>ה</w:t>
      </w:r>
      <w:r w:rsidRPr="00C97562">
        <w:rPr>
          <w:rFonts w:cs="David" w:hint="cs"/>
          <w:b/>
          <w:bCs/>
          <w:sz w:val="24"/>
          <w:szCs w:val="24"/>
          <w:u w:val="single"/>
          <w:rtl/>
        </w:rPr>
        <w:t xml:space="preserve">צעת החוק </w:t>
      </w:r>
      <w:r>
        <w:rPr>
          <w:rFonts w:cs="David" w:hint="cs"/>
          <w:b/>
          <w:bCs/>
          <w:sz w:val="24"/>
          <w:szCs w:val="24"/>
          <w:u w:val="single"/>
          <w:rtl/>
        </w:rPr>
        <w:t xml:space="preserve">סדר הדין הפלילי (תיקון </w:t>
      </w:r>
      <w:r>
        <w:rPr>
          <w:rFonts w:cs="David"/>
          <w:b/>
          <w:bCs/>
          <w:sz w:val="24"/>
          <w:szCs w:val="24"/>
          <w:u w:val="single"/>
          <w:rtl/>
        </w:rPr>
        <w:t>–</w:t>
      </w:r>
      <w:r>
        <w:rPr>
          <w:rFonts w:cs="David" w:hint="cs"/>
          <w:b/>
          <w:bCs/>
          <w:sz w:val="24"/>
          <w:szCs w:val="24"/>
          <w:u w:val="single"/>
          <w:rtl/>
        </w:rPr>
        <w:t xml:space="preserve"> שינוי שם עילת "חוסר עניין לציבור" בסגירת תיקים)</w:t>
      </w:r>
      <w:r w:rsidRPr="00C97562">
        <w:rPr>
          <w:rFonts w:cs="David"/>
          <w:b/>
          <w:bCs/>
          <w:sz w:val="24"/>
          <w:szCs w:val="24"/>
          <w:u w:val="single"/>
          <w:rtl/>
        </w:rPr>
        <w:t xml:space="preserve">, </w:t>
      </w:r>
      <w:proofErr w:type="spellStart"/>
      <w:r w:rsidRPr="00C97562">
        <w:rPr>
          <w:rFonts w:cs="David"/>
          <w:b/>
          <w:bCs/>
          <w:sz w:val="24"/>
          <w:szCs w:val="24"/>
          <w:u w:val="single"/>
          <w:rtl/>
        </w:rPr>
        <w:t>התשע"</w:t>
      </w:r>
      <w:r>
        <w:rPr>
          <w:rFonts w:cs="David" w:hint="cs"/>
          <w:b/>
          <w:bCs/>
          <w:sz w:val="24"/>
          <w:szCs w:val="24"/>
          <w:u w:val="single"/>
          <w:rtl/>
        </w:rPr>
        <w:t>ז</w:t>
      </w:r>
      <w:proofErr w:type="spellEnd"/>
      <w:r w:rsidRPr="00C97562">
        <w:rPr>
          <w:rFonts w:cs="David"/>
          <w:b/>
          <w:bCs/>
          <w:sz w:val="24"/>
          <w:szCs w:val="24"/>
          <w:u w:val="single"/>
          <w:rtl/>
        </w:rPr>
        <w:t>–201</w:t>
      </w:r>
      <w:bookmarkEnd w:id="0"/>
      <w:r>
        <w:rPr>
          <w:rFonts w:cs="David" w:hint="cs"/>
          <w:b/>
          <w:bCs/>
          <w:sz w:val="24"/>
          <w:szCs w:val="24"/>
          <w:u w:val="single"/>
          <w:rtl/>
        </w:rPr>
        <w:t>7</w:t>
      </w:r>
      <w:r w:rsidRPr="00C97562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</w:p>
    <w:p w:rsidR="00E84B82" w:rsidRPr="00C97562" w:rsidRDefault="00E84B82" w:rsidP="00E84B82">
      <w:pPr>
        <w:spacing w:before="120" w:after="0" w:line="360" w:lineRule="auto"/>
        <w:jc w:val="center"/>
        <w:rPr>
          <w:rFonts w:cs="David"/>
          <w:b/>
          <w:bCs/>
          <w:u w:val="single"/>
          <w:rtl/>
        </w:rPr>
      </w:pPr>
      <w:r w:rsidRPr="00C97562">
        <w:rPr>
          <w:rFonts w:cs="David" w:hint="cs"/>
          <w:b/>
          <w:bCs/>
          <w:u w:val="single"/>
          <w:rtl/>
        </w:rPr>
        <w:t xml:space="preserve">(הצעת החוק של חה"כ </w:t>
      </w:r>
      <w:r>
        <w:rPr>
          <w:rFonts w:cs="David" w:hint="cs"/>
          <w:b/>
          <w:bCs/>
          <w:u w:val="single"/>
          <w:rtl/>
        </w:rPr>
        <w:t>מיכל רוזין פ3772/20</w:t>
      </w:r>
      <w:r w:rsidRPr="00C97562">
        <w:rPr>
          <w:rFonts w:cs="David" w:hint="cs"/>
          <w:b/>
          <w:bCs/>
          <w:u w:val="single"/>
          <w:rtl/>
        </w:rPr>
        <w:t>)</w:t>
      </w:r>
    </w:p>
    <w:p w:rsidR="00E84B82" w:rsidRPr="00C97562" w:rsidRDefault="00E84B82" w:rsidP="00E84B82">
      <w:pPr>
        <w:spacing w:line="360" w:lineRule="auto"/>
        <w:ind w:right="567"/>
        <w:rPr>
          <w:rFonts w:cs="David"/>
          <w:sz w:val="24"/>
          <w:szCs w:val="24"/>
          <w:rtl/>
        </w:rPr>
      </w:pPr>
    </w:p>
    <w:p w:rsidR="00E84B82" w:rsidRPr="00C97562" w:rsidRDefault="00E84B82" w:rsidP="00E84B82">
      <w:pPr>
        <w:pStyle w:val="ab"/>
        <w:spacing w:before="120" w:after="0" w:line="360" w:lineRule="auto"/>
        <w:jc w:val="both"/>
        <w:rPr>
          <w:rFonts w:ascii="David" w:hAnsi="David" w:cs="David"/>
          <w:b/>
          <w:bCs/>
          <w:sz w:val="24"/>
          <w:szCs w:val="24"/>
          <w:rtl/>
        </w:rPr>
      </w:pPr>
      <w:r w:rsidRPr="00C97562">
        <w:rPr>
          <w:rFonts w:ascii="David" w:hAnsi="David" w:cs="David" w:hint="cs"/>
          <w:b/>
          <w:bCs/>
          <w:sz w:val="24"/>
          <w:szCs w:val="24"/>
          <w:rtl/>
        </w:rPr>
        <w:t xml:space="preserve">רקע </w:t>
      </w:r>
    </w:p>
    <w:p w:rsidR="004919C9" w:rsidRDefault="00E84B82" w:rsidP="00206A18">
      <w:pPr>
        <w:pStyle w:val="ab"/>
        <w:spacing w:before="120" w:after="0" w:line="360" w:lineRule="auto"/>
        <w:jc w:val="both"/>
        <w:rPr>
          <w:rFonts w:ascii="David" w:hAnsi="David" w:cs="David" w:hint="cs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חוק סדר הדין הפלילי [נוסח משולב], </w:t>
      </w:r>
      <w:proofErr w:type="spellStart"/>
      <w:r>
        <w:rPr>
          <w:rFonts w:ascii="David" w:hAnsi="David" w:cs="David" w:hint="cs"/>
          <w:sz w:val="24"/>
          <w:szCs w:val="24"/>
          <w:rtl/>
        </w:rPr>
        <w:t>התשמ"ב</w:t>
      </w:r>
      <w:proofErr w:type="spellEnd"/>
      <w:r>
        <w:rPr>
          <w:rFonts w:ascii="David" w:hAnsi="David" w:cs="David" w:hint="eastAsia"/>
          <w:sz w:val="24"/>
          <w:szCs w:val="24"/>
          <w:rtl/>
        </w:rPr>
        <w:t>–</w:t>
      </w:r>
      <w:r>
        <w:rPr>
          <w:rFonts w:ascii="David" w:hAnsi="David" w:cs="David" w:hint="cs"/>
          <w:sz w:val="24"/>
          <w:szCs w:val="24"/>
          <w:rtl/>
        </w:rPr>
        <w:t xml:space="preserve">1982 (להלן </w:t>
      </w:r>
      <w:r>
        <w:rPr>
          <w:rFonts w:ascii="David" w:hAnsi="David" w:cs="David"/>
          <w:sz w:val="24"/>
          <w:szCs w:val="24"/>
          <w:rtl/>
        </w:rPr>
        <w:t>–</w:t>
      </w:r>
      <w:r>
        <w:rPr>
          <w:rFonts w:ascii="David" w:hAnsi="David" w:cs="David" w:hint="cs"/>
          <w:sz w:val="24"/>
          <w:szCs w:val="24"/>
          <w:rtl/>
        </w:rPr>
        <w:t xml:space="preserve"> החוק או חוק סדר הדין הפלילי), </w:t>
      </w:r>
      <w:r w:rsidR="00EF6EEC">
        <w:rPr>
          <w:rFonts w:ascii="David" w:hAnsi="David" w:cs="David" w:hint="cs"/>
          <w:sz w:val="24"/>
          <w:szCs w:val="24"/>
          <w:rtl/>
        </w:rPr>
        <w:t xml:space="preserve">קובע כי </w:t>
      </w:r>
      <w:r w:rsidR="002901EE">
        <w:rPr>
          <w:rFonts w:ascii="David" w:hAnsi="David" w:cs="David" w:hint="cs"/>
          <w:sz w:val="24"/>
          <w:szCs w:val="24"/>
          <w:rtl/>
        </w:rPr>
        <w:t>המשטרה תפתח בחקירה אם נודע לה על ביצוע עבירה. ואולם, בעבירה שאינה פשע, רשאי קצין משטרה להורות שלא לחק</w:t>
      </w:r>
      <w:r w:rsidR="00206A18">
        <w:rPr>
          <w:rFonts w:ascii="David" w:hAnsi="David" w:cs="David" w:hint="cs"/>
          <w:sz w:val="24"/>
          <w:szCs w:val="24"/>
          <w:rtl/>
        </w:rPr>
        <w:t>ו</w:t>
      </w:r>
      <w:r w:rsidR="002901EE">
        <w:rPr>
          <w:rFonts w:ascii="David" w:hAnsi="David" w:cs="David" w:hint="cs"/>
          <w:sz w:val="24"/>
          <w:szCs w:val="24"/>
          <w:rtl/>
        </w:rPr>
        <w:t xml:space="preserve">ר אם </w:t>
      </w:r>
      <w:r w:rsidR="00206A18">
        <w:rPr>
          <w:rFonts w:ascii="David" w:hAnsi="David" w:cs="David" w:hint="cs"/>
          <w:sz w:val="24"/>
          <w:szCs w:val="24"/>
          <w:rtl/>
        </w:rPr>
        <w:t>הוא סבור שאין בדבר עניין לציבור:</w:t>
      </w:r>
    </w:p>
    <w:p w:rsidR="004919C9" w:rsidRPr="00C97562" w:rsidRDefault="004919C9" w:rsidP="004919C9">
      <w:pPr>
        <w:pStyle w:val="ab"/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</w:p>
    <w:tbl>
      <w:tblPr>
        <w:tblStyle w:val="ac"/>
        <w:bidiVisual/>
        <w:tblW w:w="0" w:type="auto"/>
        <w:tblInd w:w="720" w:type="dxa"/>
        <w:tblLook w:val="04A0" w:firstRow="1" w:lastRow="0" w:firstColumn="1" w:lastColumn="0" w:noHBand="0" w:noVBand="1"/>
      </w:tblPr>
      <w:tblGrid>
        <w:gridCol w:w="8909"/>
      </w:tblGrid>
      <w:tr w:rsidR="004919C9" w:rsidRPr="00C97562" w:rsidTr="00154835">
        <w:tc>
          <w:tcPr>
            <w:tcW w:w="8909" w:type="dxa"/>
          </w:tcPr>
          <w:p w:rsidR="004919C9" w:rsidRPr="004919C9" w:rsidRDefault="004919C9" w:rsidP="004919C9">
            <w:pPr>
              <w:spacing w:before="120" w:line="360" w:lineRule="auto"/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"</w:t>
            </w:r>
            <w:r w:rsidRPr="004919C9">
              <w:rPr>
                <w:rFonts w:ascii="David" w:hAnsi="David" w:cs="David" w:hint="cs"/>
                <w:b/>
                <w:bCs/>
                <w:sz w:val="24"/>
                <w:szCs w:val="24"/>
                <w:rtl/>
              </w:rPr>
              <w:t>59. חקירת משטרה</w:t>
            </w:r>
          </w:p>
          <w:p w:rsidR="004919C9" w:rsidRPr="004919C9" w:rsidRDefault="004919C9" w:rsidP="002901EE">
            <w:pPr>
              <w:spacing w:before="120" w:line="360" w:lineRule="auto"/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 w:rsidRPr="004919C9">
              <w:rPr>
                <w:rFonts w:ascii="David" w:hAnsi="David" w:cs="David"/>
                <w:sz w:val="24"/>
                <w:szCs w:val="24"/>
                <w:rtl/>
              </w:rPr>
              <w:t>נו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>דע</w:t>
            </w:r>
            <w:r w:rsidRPr="004919C9">
              <w:rPr>
                <w:rFonts w:ascii="David" w:hAnsi="David" w:cs="David"/>
                <w:sz w:val="24"/>
                <w:szCs w:val="24"/>
                <w:rtl/>
              </w:rPr>
              <w:t xml:space="preserve"> ל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 xml:space="preserve">משטרה על ביצוע עבירה, אם על פי תלונה ואם בכל דרך אחרת, תפתח בחקירה; אולם בעבירה שאינה פשע רשאי קצין משטרה בדרגת פקד ומעלה להורות שלא לחקור אם היה סבור שאין בדבר ענין לציבור או אם </w:t>
            </w:r>
            <w:proofErr w:type="spellStart"/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>הית</w:t>
            </w:r>
            <w:r w:rsidRPr="004919C9">
              <w:rPr>
                <w:rFonts w:ascii="David" w:hAnsi="David" w:cs="David"/>
                <w:sz w:val="24"/>
                <w:szCs w:val="24"/>
                <w:rtl/>
              </w:rPr>
              <w:t>ה</w:t>
            </w:r>
            <w:proofErr w:type="spellEnd"/>
            <w:r w:rsidRPr="004919C9">
              <w:rPr>
                <w:rFonts w:ascii="David" w:hAnsi="David" w:cs="David"/>
                <w:sz w:val="24"/>
                <w:szCs w:val="24"/>
                <w:rtl/>
              </w:rPr>
              <w:t xml:space="preserve"> 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>רש</w:t>
            </w:r>
            <w:r w:rsidRPr="004919C9">
              <w:rPr>
                <w:rFonts w:ascii="David" w:hAnsi="David" w:cs="David"/>
                <w:sz w:val="24"/>
                <w:szCs w:val="24"/>
                <w:rtl/>
              </w:rPr>
              <w:t>ות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 xml:space="preserve"> אחרת מוסמכת על פי דין לחקור בעבירה.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"</w:t>
            </w:r>
          </w:p>
        </w:tc>
      </w:tr>
    </w:tbl>
    <w:p w:rsidR="00206A18" w:rsidRDefault="00206A18" w:rsidP="002901EE">
      <w:pPr>
        <w:pStyle w:val="ab"/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4919C9" w:rsidRPr="00C97562" w:rsidRDefault="002901EE" w:rsidP="002901EE">
      <w:pPr>
        <w:pStyle w:val="ab"/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בדומה, קובע החוק</w:t>
      </w:r>
      <w:r>
        <w:rPr>
          <w:rFonts w:ascii="David" w:hAnsi="David" w:cs="David" w:hint="cs"/>
          <w:sz w:val="24"/>
          <w:szCs w:val="24"/>
          <w:rtl/>
        </w:rPr>
        <w:t xml:space="preserve"> לעניין העמדה לדין, </w:t>
      </w:r>
      <w:r w:rsidR="004919C9">
        <w:rPr>
          <w:rFonts w:ascii="David" w:hAnsi="David" w:cs="David" w:hint="cs"/>
          <w:sz w:val="24"/>
          <w:szCs w:val="24"/>
          <w:rtl/>
        </w:rPr>
        <w:t xml:space="preserve">כי תובע יעמיד </w:t>
      </w:r>
      <w:r>
        <w:rPr>
          <w:rFonts w:ascii="David" w:hAnsi="David" w:cs="David" w:hint="cs"/>
          <w:sz w:val="24"/>
          <w:szCs w:val="24"/>
          <w:rtl/>
        </w:rPr>
        <w:t xml:space="preserve">אדם </w:t>
      </w:r>
      <w:r w:rsidR="004919C9">
        <w:rPr>
          <w:rFonts w:ascii="David" w:hAnsi="David" w:cs="David" w:hint="cs"/>
          <w:sz w:val="24"/>
          <w:szCs w:val="24"/>
          <w:rtl/>
        </w:rPr>
        <w:t xml:space="preserve">לדין אם </w:t>
      </w:r>
      <w:r>
        <w:rPr>
          <w:rFonts w:ascii="David" w:hAnsi="David" w:cs="David" w:hint="cs"/>
          <w:sz w:val="24"/>
          <w:szCs w:val="24"/>
          <w:rtl/>
        </w:rPr>
        <w:t xml:space="preserve">ישנן </w:t>
      </w:r>
      <w:r w:rsidR="004919C9">
        <w:rPr>
          <w:rFonts w:ascii="David" w:hAnsi="David" w:cs="David" w:hint="cs"/>
          <w:sz w:val="24"/>
          <w:szCs w:val="24"/>
          <w:rtl/>
        </w:rPr>
        <w:t xml:space="preserve">ראיות </w:t>
      </w:r>
      <w:r>
        <w:rPr>
          <w:rFonts w:ascii="David" w:hAnsi="David" w:cs="David" w:hint="cs"/>
          <w:sz w:val="24"/>
          <w:szCs w:val="24"/>
          <w:rtl/>
        </w:rPr>
        <w:t>ה</w:t>
      </w:r>
      <w:r w:rsidR="004919C9">
        <w:rPr>
          <w:rFonts w:ascii="David" w:hAnsi="David" w:cs="David" w:hint="cs"/>
          <w:sz w:val="24"/>
          <w:szCs w:val="24"/>
          <w:rtl/>
        </w:rPr>
        <w:t>מספיקות לאישום</w:t>
      </w:r>
      <w:r>
        <w:rPr>
          <w:rFonts w:ascii="David" w:hAnsi="David" w:cs="David" w:hint="cs"/>
          <w:sz w:val="24"/>
          <w:szCs w:val="24"/>
          <w:rtl/>
        </w:rPr>
        <w:t>,</w:t>
      </w:r>
      <w:r w:rsidR="004919C9">
        <w:rPr>
          <w:rFonts w:ascii="David" w:hAnsi="David" w:cs="David" w:hint="cs"/>
          <w:sz w:val="24"/>
          <w:szCs w:val="24"/>
          <w:rtl/>
        </w:rPr>
        <w:t xml:space="preserve"> אלא אם ראה שאין במשפט עניין לציבור:</w:t>
      </w:r>
    </w:p>
    <w:tbl>
      <w:tblPr>
        <w:tblStyle w:val="ac"/>
        <w:bidiVisual/>
        <w:tblW w:w="0" w:type="auto"/>
        <w:tblInd w:w="720" w:type="dxa"/>
        <w:tblLook w:val="04A0" w:firstRow="1" w:lastRow="0" w:firstColumn="1" w:lastColumn="0" w:noHBand="0" w:noVBand="1"/>
      </w:tblPr>
      <w:tblGrid>
        <w:gridCol w:w="8909"/>
      </w:tblGrid>
      <w:tr w:rsidR="00E84B82" w:rsidRPr="00C97562" w:rsidTr="004919C9">
        <w:tc>
          <w:tcPr>
            <w:tcW w:w="8909" w:type="dxa"/>
          </w:tcPr>
          <w:p w:rsidR="004919C9" w:rsidRPr="004919C9" w:rsidRDefault="004919C9" w:rsidP="004919C9">
            <w:pPr>
              <w:spacing w:before="120" w:line="360" w:lineRule="auto"/>
              <w:jc w:val="both"/>
              <w:rPr>
                <w:rFonts w:ascii="David" w:hAnsi="David" w:cs="David" w:hint="cs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"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 xml:space="preserve">62. </w:t>
            </w:r>
            <w:r w:rsidRPr="004919C9">
              <w:rPr>
                <w:rFonts w:ascii="David" w:hAnsi="David" w:cs="David" w:hint="cs"/>
                <w:b/>
                <w:bCs/>
                <w:sz w:val="24"/>
                <w:szCs w:val="24"/>
                <w:rtl/>
              </w:rPr>
              <w:t>העמדה לדין וסגירת תיק</w:t>
            </w:r>
          </w:p>
          <w:p w:rsidR="004919C9" w:rsidRPr="004919C9" w:rsidRDefault="004919C9" w:rsidP="004919C9">
            <w:pPr>
              <w:spacing w:before="120" w:line="360" w:lineRule="auto"/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 w:rsidRPr="004919C9">
              <w:rPr>
                <w:rFonts w:ascii="David" w:hAnsi="David" w:cs="David"/>
                <w:sz w:val="24"/>
                <w:szCs w:val="24"/>
                <w:rtl/>
              </w:rPr>
              <w:t>ר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>אה</w:t>
            </w:r>
            <w:r w:rsidRPr="004919C9">
              <w:rPr>
                <w:rFonts w:ascii="David" w:hAnsi="David" w:cs="David"/>
                <w:sz w:val="24"/>
                <w:szCs w:val="24"/>
                <w:rtl/>
              </w:rPr>
              <w:t xml:space="preserve"> ת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>ובע שהועבר אליו חומר החקירה שהראיות מספיקות לאישום אדם פלוני, יעמידו לדין, זולת אם היה סבור שאין במשפט עניין לציבור</w:t>
            </w:r>
            <w:r w:rsidRPr="004919C9">
              <w:rPr>
                <w:rFonts w:ascii="David" w:hAnsi="David" w:cs="David" w:hint="cs"/>
                <w:sz w:val="24"/>
                <w:szCs w:val="24"/>
                <w:rtl/>
              </w:rPr>
              <w:t>.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"</w:t>
            </w:r>
          </w:p>
        </w:tc>
      </w:tr>
    </w:tbl>
    <w:p w:rsidR="00206A18" w:rsidRDefault="00206A18" w:rsidP="00206A18">
      <w:pPr>
        <w:pStyle w:val="ab"/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AC4C93" w:rsidRPr="009F6105" w:rsidRDefault="00206A18" w:rsidP="00206A18">
      <w:pPr>
        <w:pStyle w:val="ab"/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לפיכך</w:t>
      </w:r>
      <w:r w:rsidR="00161CA7" w:rsidRPr="009F6105">
        <w:rPr>
          <w:rFonts w:ascii="David" w:hAnsi="David" w:cs="David" w:hint="cs"/>
          <w:sz w:val="24"/>
          <w:szCs w:val="24"/>
          <w:rtl/>
        </w:rPr>
        <w:t xml:space="preserve">, </w:t>
      </w:r>
      <w:r>
        <w:rPr>
          <w:rFonts w:ascii="David" w:hAnsi="David" w:cs="David" w:hint="cs"/>
          <w:sz w:val="24"/>
          <w:szCs w:val="24"/>
          <w:rtl/>
        </w:rPr>
        <w:t xml:space="preserve">התביעה יכולה לסגור </w:t>
      </w:r>
      <w:r w:rsidR="002901EE">
        <w:rPr>
          <w:rFonts w:ascii="David" w:hAnsi="David" w:cs="David" w:hint="cs"/>
          <w:sz w:val="24"/>
          <w:szCs w:val="24"/>
          <w:rtl/>
        </w:rPr>
        <w:t>תיק בשל אחת מבין שלוש עילות</w:t>
      </w:r>
      <w:r w:rsidR="00161CA7" w:rsidRPr="009F6105">
        <w:rPr>
          <w:rFonts w:ascii="David" w:hAnsi="David" w:cs="David" w:hint="cs"/>
          <w:sz w:val="24"/>
          <w:szCs w:val="24"/>
          <w:rtl/>
        </w:rPr>
        <w:t>: חוסר בראיות מספיקות להעמד</w:t>
      </w:r>
      <w:r w:rsidR="002901EE">
        <w:rPr>
          <w:rFonts w:ascii="David" w:hAnsi="David" w:cs="David" w:hint="cs"/>
          <w:sz w:val="24"/>
          <w:szCs w:val="24"/>
          <w:rtl/>
        </w:rPr>
        <w:t>ה</w:t>
      </w:r>
      <w:r w:rsidR="00161CA7" w:rsidRPr="009F6105">
        <w:rPr>
          <w:rFonts w:ascii="David" w:hAnsi="David" w:cs="David" w:hint="cs"/>
          <w:sz w:val="24"/>
          <w:szCs w:val="24"/>
          <w:rtl/>
        </w:rPr>
        <w:t xml:space="preserve"> לדין, העדר אשמה או העדר עניין לציבור</w:t>
      </w:r>
      <w:r w:rsidR="00161CA7" w:rsidRPr="009F6105">
        <w:rPr>
          <w:rStyle w:val="a5"/>
          <w:rFonts w:ascii="David" w:hAnsi="David"/>
          <w:sz w:val="24"/>
          <w:szCs w:val="24"/>
          <w:rtl/>
        </w:rPr>
        <w:footnoteReference w:id="1"/>
      </w:r>
      <w:r w:rsidR="00161CA7" w:rsidRPr="009F6105">
        <w:rPr>
          <w:rFonts w:ascii="David" w:hAnsi="David" w:cs="David" w:hint="cs"/>
          <w:sz w:val="24"/>
          <w:szCs w:val="24"/>
          <w:rtl/>
        </w:rPr>
        <w:t>.</w:t>
      </w:r>
    </w:p>
    <w:p w:rsidR="00F64D7F" w:rsidRDefault="002E426A" w:rsidP="00206A18">
      <w:pPr>
        <w:pStyle w:val="ab"/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על עילת</w:t>
      </w:r>
      <w:r w:rsidR="002901EE">
        <w:rPr>
          <w:rFonts w:ascii="David" w:hAnsi="David" w:cs="David" w:hint="cs"/>
          <w:sz w:val="24"/>
          <w:szCs w:val="24"/>
          <w:rtl/>
        </w:rPr>
        <w:t xml:space="preserve"> "העדר עניין לציבור"</w:t>
      </w:r>
      <w:r>
        <w:rPr>
          <w:rFonts w:ascii="David" w:hAnsi="David" w:cs="David" w:hint="cs"/>
          <w:sz w:val="24"/>
          <w:szCs w:val="24"/>
          <w:rtl/>
        </w:rPr>
        <w:t xml:space="preserve"> עמד </w:t>
      </w:r>
      <w:r w:rsidR="002901EE">
        <w:rPr>
          <w:rFonts w:ascii="David" w:hAnsi="David" w:cs="David" w:hint="cs"/>
          <w:sz w:val="24"/>
          <w:szCs w:val="24"/>
          <w:rtl/>
        </w:rPr>
        <w:t xml:space="preserve">השופט ברק </w:t>
      </w:r>
      <w:proofErr w:type="spellStart"/>
      <w:r w:rsidR="002901EE">
        <w:rPr>
          <w:rFonts w:ascii="David" w:hAnsi="David" w:cs="David" w:hint="cs"/>
          <w:sz w:val="24"/>
          <w:szCs w:val="24"/>
          <w:rtl/>
        </w:rPr>
        <w:t>ב</w:t>
      </w:r>
      <w:r w:rsidR="002901EE" w:rsidRPr="00242DDC">
        <w:rPr>
          <w:rFonts w:ascii="David" w:hAnsi="David" w:cs="David" w:hint="cs"/>
          <w:b/>
          <w:bCs/>
          <w:sz w:val="24"/>
          <w:szCs w:val="24"/>
          <w:rtl/>
        </w:rPr>
        <w:t>בג"צ</w:t>
      </w:r>
      <w:proofErr w:type="spellEnd"/>
      <w:r w:rsidR="002901EE" w:rsidRPr="00242DDC"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proofErr w:type="spellStart"/>
      <w:r w:rsidR="002901EE" w:rsidRPr="00242DDC">
        <w:rPr>
          <w:rFonts w:ascii="David" w:hAnsi="David" w:cs="David" w:hint="cs"/>
          <w:b/>
          <w:bCs/>
          <w:sz w:val="24"/>
          <w:szCs w:val="24"/>
          <w:rtl/>
        </w:rPr>
        <w:t>גנור</w:t>
      </w:r>
      <w:proofErr w:type="spellEnd"/>
      <w:r w:rsidR="002901EE" w:rsidRPr="009F6105">
        <w:rPr>
          <w:rStyle w:val="a5"/>
          <w:rFonts w:ascii="David" w:hAnsi="David"/>
          <w:sz w:val="24"/>
          <w:szCs w:val="24"/>
          <w:rtl/>
        </w:rPr>
        <w:footnoteReference w:id="2"/>
      </w:r>
      <w:r w:rsidRPr="002E426A">
        <w:rPr>
          <w:rFonts w:ascii="David" w:hAnsi="David" w:cs="David" w:hint="cs"/>
          <w:sz w:val="24"/>
          <w:szCs w:val="24"/>
          <w:rtl/>
        </w:rPr>
        <w:t>:</w:t>
      </w:r>
      <w:r w:rsidR="002901EE">
        <w:rPr>
          <w:rFonts w:ascii="David" w:hAnsi="David" w:cs="David" w:hint="cs"/>
          <w:sz w:val="24"/>
          <w:szCs w:val="24"/>
          <w:rtl/>
        </w:rPr>
        <w:t xml:space="preserve"> </w:t>
      </w:r>
    </w:p>
    <w:p w:rsidR="00F64D7F" w:rsidRDefault="00F64D7F" w:rsidP="00206A18">
      <w:pPr>
        <w:tabs>
          <w:tab w:val="left" w:pos="432"/>
          <w:tab w:val="decimal" w:pos="1152"/>
          <w:tab w:val="left" w:pos="2016"/>
          <w:tab w:val="left" w:pos="7776"/>
        </w:tabs>
        <w:autoSpaceDE w:val="0"/>
        <w:autoSpaceDN w:val="0"/>
        <w:adjustRightInd w:val="0"/>
        <w:spacing w:after="80" w:line="260" w:lineRule="exact"/>
        <w:ind w:left="907" w:right="907" w:firstLine="283"/>
        <w:jc w:val="both"/>
        <w:rPr>
          <w:rFonts w:ascii="David" w:hAnsi="David" w:cs="David"/>
          <w:b/>
          <w:bCs/>
          <w:sz w:val="24"/>
          <w:szCs w:val="24"/>
          <w:rtl/>
        </w:rPr>
      </w:pPr>
      <w:r w:rsidRPr="00F64D7F">
        <w:rPr>
          <w:rFonts w:ascii="David" w:hAnsi="David" w:cs="David" w:hint="cs"/>
          <w:b/>
          <w:bCs/>
          <w:sz w:val="24"/>
          <w:szCs w:val="24"/>
          <w:rtl/>
        </w:rPr>
        <w:t>"</w:t>
      </w:r>
      <w:r w:rsidR="00206A18">
        <w:rPr>
          <w:rFonts w:ascii="David" w:hAnsi="David" w:cs="David"/>
          <w:b/>
          <w:bCs/>
          <w:sz w:val="24"/>
          <w:szCs w:val="24"/>
          <w:rtl/>
        </w:rPr>
        <w:t>נקודת המוצא העקרונית הינ</w:t>
      </w:r>
      <w:r w:rsidR="00206A18">
        <w:rPr>
          <w:rFonts w:ascii="David" w:hAnsi="David" w:cs="David" w:hint="cs"/>
          <w:b/>
          <w:bCs/>
          <w:sz w:val="24"/>
          <w:szCs w:val="24"/>
          <w:rtl/>
        </w:rPr>
        <w:t xml:space="preserve">ה, </w:t>
      </w:r>
      <w:r w:rsidRPr="00F64D7F">
        <w:rPr>
          <w:rFonts w:ascii="David" w:hAnsi="David" w:cs="David"/>
          <w:b/>
          <w:bCs/>
          <w:sz w:val="24"/>
          <w:szCs w:val="24"/>
        </w:rPr>
        <w:t xml:space="preserve"> </w:t>
      </w:r>
      <w:r w:rsidRPr="00F64D7F">
        <w:rPr>
          <w:rFonts w:ascii="David" w:hAnsi="David" w:cs="David"/>
          <w:b/>
          <w:bCs/>
          <w:sz w:val="24"/>
          <w:szCs w:val="24"/>
          <w:rtl/>
        </w:rPr>
        <w:t>כי משקבע המחוקק כי התנהגות פלונית פלילית היא, הרי שיש אינטרס ציבורי כי החשוד בעבירה יועמד לדין, וזאת כדי להגן על הערכים והעקרונות</w:t>
      </w:r>
      <w:r w:rsidRPr="00F64D7F">
        <w:rPr>
          <w:rFonts w:ascii="David" w:hAnsi="David" w:cs="David"/>
          <w:b/>
          <w:bCs/>
          <w:sz w:val="24"/>
          <w:szCs w:val="24"/>
        </w:rPr>
        <w:t xml:space="preserve"> </w:t>
      </w:r>
      <w:r w:rsidRPr="00F64D7F">
        <w:rPr>
          <w:rFonts w:ascii="David" w:hAnsi="David" w:cs="David"/>
          <w:b/>
          <w:bCs/>
          <w:sz w:val="24"/>
          <w:szCs w:val="24"/>
          <w:rtl/>
        </w:rPr>
        <w:t>שהמדינה רוצה בהגנתם ושהחשוד פגע בהם, וכן למנוע פגיעה בהם בעתיד. עם</w:t>
      </w:r>
      <w:r w:rsidRPr="00F64D7F">
        <w:rPr>
          <w:rFonts w:ascii="David" w:hAnsi="David" w:cs="David"/>
          <w:b/>
          <w:bCs/>
          <w:sz w:val="24"/>
          <w:szCs w:val="24"/>
        </w:rPr>
        <w:t xml:space="preserve"> </w:t>
      </w:r>
      <w:r w:rsidRPr="00F64D7F">
        <w:rPr>
          <w:rFonts w:ascii="David" w:hAnsi="David" w:cs="David"/>
          <w:b/>
          <w:bCs/>
          <w:sz w:val="24"/>
          <w:szCs w:val="24"/>
          <w:rtl/>
        </w:rPr>
        <w:t>זאת, עשויות להיות נסיבות, שיש בהן כדי להצביע על הנזק שייגרם לאינטרסים ול</w:t>
      </w:r>
      <w:r w:rsidR="00206A18">
        <w:rPr>
          <w:rFonts w:ascii="David" w:hAnsi="David" w:cs="David" w:hint="cs"/>
          <w:b/>
          <w:bCs/>
          <w:sz w:val="24"/>
          <w:szCs w:val="24"/>
          <w:rtl/>
        </w:rPr>
        <w:t>ע</w:t>
      </w:r>
      <w:r w:rsidRPr="00F64D7F">
        <w:rPr>
          <w:rFonts w:ascii="David" w:hAnsi="David" w:cs="David"/>
          <w:b/>
          <w:bCs/>
          <w:sz w:val="24"/>
          <w:szCs w:val="24"/>
          <w:rtl/>
        </w:rPr>
        <w:t>רכים אחרים, שגם בהם המשפט מעוניין, אם החשוד יועמד לדין. רק כאשר העניין הציבורי באי-העמדה לדין עולה על זה שבהעמדה לדין, רשאי תובע להגיע למסקנה, כי קיים עניין לציבור באי-העמדה לדין</w:t>
      </w:r>
      <w:r w:rsidRPr="00F64D7F">
        <w:rPr>
          <w:rFonts w:ascii="David" w:hAnsi="David" w:cs="David"/>
          <w:b/>
          <w:bCs/>
          <w:sz w:val="24"/>
          <w:szCs w:val="24"/>
        </w:rPr>
        <w:t>"</w:t>
      </w:r>
      <w:r w:rsidRPr="00F64D7F">
        <w:rPr>
          <w:rFonts w:ascii="David" w:hAnsi="David" w:cs="David"/>
          <w:b/>
          <w:bCs/>
          <w:sz w:val="24"/>
          <w:szCs w:val="24"/>
        </w:rPr>
        <w:t>.</w:t>
      </w:r>
      <w:r>
        <w:rPr>
          <w:rStyle w:val="a5"/>
          <w:rFonts w:ascii="David" w:hAnsi="David"/>
          <w:b/>
          <w:bCs/>
          <w:sz w:val="24"/>
          <w:szCs w:val="24"/>
          <w:rtl/>
        </w:rPr>
        <w:footnoteReference w:id="3"/>
      </w:r>
    </w:p>
    <w:p w:rsidR="002E426A" w:rsidRPr="00F64D7F" w:rsidRDefault="002E426A" w:rsidP="00F64D7F">
      <w:pPr>
        <w:tabs>
          <w:tab w:val="left" w:pos="432"/>
          <w:tab w:val="decimal" w:pos="1152"/>
          <w:tab w:val="left" w:pos="2016"/>
          <w:tab w:val="left" w:pos="7776"/>
        </w:tabs>
        <w:autoSpaceDE w:val="0"/>
        <w:autoSpaceDN w:val="0"/>
        <w:adjustRightInd w:val="0"/>
        <w:spacing w:after="80" w:line="260" w:lineRule="exact"/>
        <w:ind w:left="907" w:right="907" w:firstLine="283"/>
        <w:jc w:val="both"/>
        <w:rPr>
          <w:rFonts w:ascii="David" w:hAnsi="David" w:cs="David"/>
          <w:b/>
          <w:bCs/>
          <w:sz w:val="24"/>
          <w:szCs w:val="24"/>
          <w:rtl/>
        </w:rPr>
      </w:pPr>
    </w:p>
    <w:p w:rsidR="00356218" w:rsidRPr="00EF6377" w:rsidRDefault="00242DDC" w:rsidP="00EF6377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 xml:space="preserve">עוד קבע השופט ברק </w:t>
      </w:r>
      <w:r w:rsidR="002E426A" w:rsidRPr="00EF6377">
        <w:rPr>
          <w:rFonts w:ascii="David" w:hAnsi="David" w:cs="David" w:hint="cs"/>
          <w:sz w:val="24"/>
          <w:szCs w:val="24"/>
          <w:rtl/>
        </w:rPr>
        <w:t xml:space="preserve">אמות מידה שעל התובע לשקול בבואו לקבוע אם יש עניין לציבור בהעמדה לדין. אמות מידה אלה אומצו </w:t>
      </w:r>
      <w:r w:rsidR="002901EE" w:rsidRPr="00EF6377">
        <w:rPr>
          <w:rFonts w:ascii="David" w:hAnsi="David" w:cs="David" w:hint="cs"/>
          <w:sz w:val="24"/>
          <w:szCs w:val="24"/>
          <w:rtl/>
        </w:rPr>
        <w:t>ב</w:t>
      </w:r>
      <w:r w:rsidR="00AC4C93" w:rsidRPr="00EF6377">
        <w:rPr>
          <w:rFonts w:ascii="David" w:hAnsi="David" w:cs="David" w:hint="cs"/>
          <w:sz w:val="24"/>
          <w:szCs w:val="24"/>
          <w:rtl/>
        </w:rPr>
        <w:t>הנחיות פרקליט המדינה</w:t>
      </w:r>
      <w:r w:rsidR="002E426A" w:rsidRPr="00EF6377">
        <w:rPr>
          <w:rFonts w:ascii="David" w:hAnsi="David" w:cs="David" w:hint="cs"/>
          <w:sz w:val="24"/>
          <w:szCs w:val="24"/>
          <w:rtl/>
        </w:rPr>
        <w:t xml:space="preserve"> בדבר שיקולים לסגירת תיק בשל העדר "עניין לציבור</w:t>
      </w:r>
      <w:r w:rsidR="00206A18">
        <w:rPr>
          <w:rFonts w:ascii="David" w:hAnsi="David" w:cs="David" w:hint="cs"/>
          <w:sz w:val="24"/>
          <w:szCs w:val="24"/>
          <w:rtl/>
        </w:rPr>
        <w:t>"</w:t>
      </w:r>
      <w:r w:rsidR="002E426A">
        <w:rPr>
          <w:rStyle w:val="a5"/>
          <w:rFonts w:ascii="David" w:hAnsi="David"/>
          <w:sz w:val="24"/>
          <w:szCs w:val="24"/>
          <w:rtl/>
        </w:rPr>
        <w:footnoteReference w:id="4"/>
      </w:r>
      <w:r w:rsidR="00356218" w:rsidRPr="00EF6377">
        <w:rPr>
          <w:rFonts w:ascii="David" w:hAnsi="David" w:cs="David" w:hint="cs"/>
          <w:sz w:val="24"/>
          <w:szCs w:val="24"/>
          <w:rtl/>
        </w:rPr>
        <w:t>.</w:t>
      </w:r>
      <w:r w:rsidR="002E426A" w:rsidRPr="00EF6377">
        <w:rPr>
          <w:rFonts w:ascii="David" w:hAnsi="David" w:cs="David" w:hint="cs"/>
          <w:sz w:val="24"/>
          <w:szCs w:val="24"/>
          <w:rtl/>
        </w:rPr>
        <w:t xml:space="preserve"> </w:t>
      </w:r>
      <w:r w:rsidRPr="00EF6377">
        <w:rPr>
          <w:rFonts w:ascii="David" w:hAnsi="David" w:cs="David" w:hint="cs"/>
          <w:sz w:val="24"/>
          <w:szCs w:val="24"/>
          <w:rtl/>
        </w:rPr>
        <w:t xml:space="preserve">הנחיות אלה </w:t>
      </w:r>
      <w:r w:rsidR="00356218" w:rsidRPr="00EF6377">
        <w:rPr>
          <w:rFonts w:ascii="David" w:hAnsi="David" w:cs="David" w:hint="cs"/>
          <w:sz w:val="24"/>
          <w:szCs w:val="24"/>
          <w:rtl/>
        </w:rPr>
        <w:t xml:space="preserve">מפרטות </w:t>
      </w:r>
      <w:r w:rsidRPr="00EF6377">
        <w:rPr>
          <w:rFonts w:ascii="David" w:hAnsi="David" w:cs="David" w:hint="cs"/>
          <w:sz w:val="24"/>
          <w:szCs w:val="24"/>
          <w:rtl/>
        </w:rPr>
        <w:t>את ה</w:t>
      </w:r>
      <w:r w:rsidR="00AC4C93" w:rsidRPr="00EF6377">
        <w:rPr>
          <w:rFonts w:ascii="David" w:hAnsi="David" w:cs="David" w:hint="cs"/>
          <w:sz w:val="24"/>
          <w:szCs w:val="24"/>
          <w:rtl/>
        </w:rPr>
        <w:t xml:space="preserve">שיקולים </w:t>
      </w:r>
      <w:r w:rsidRPr="00EF6377">
        <w:rPr>
          <w:rFonts w:ascii="David" w:hAnsi="David" w:cs="David" w:hint="cs"/>
          <w:sz w:val="24"/>
          <w:szCs w:val="24"/>
          <w:rtl/>
        </w:rPr>
        <w:t>שעל התובע לשקול לעניין זה</w:t>
      </w:r>
      <w:r w:rsidR="00206A18">
        <w:rPr>
          <w:rFonts w:ascii="David" w:hAnsi="David" w:cs="David" w:hint="cs"/>
          <w:sz w:val="24"/>
          <w:szCs w:val="24"/>
          <w:rtl/>
        </w:rPr>
        <w:t>, כדלקמן</w:t>
      </w:r>
      <w:r w:rsidRPr="00EF6377">
        <w:rPr>
          <w:rFonts w:ascii="David" w:hAnsi="David" w:cs="David" w:hint="cs"/>
          <w:sz w:val="24"/>
          <w:szCs w:val="24"/>
          <w:rtl/>
        </w:rPr>
        <w:t xml:space="preserve">: </w:t>
      </w:r>
    </w:p>
    <w:p w:rsidR="00206A18" w:rsidRDefault="00242DDC" w:rsidP="00EF6377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>חומרת המעשה</w:t>
      </w:r>
      <w:r w:rsidR="00356218" w:rsidRPr="00EF6377">
        <w:rPr>
          <w:rFonts w:ascii="David" w:hAnsi="David" w:cs="David" w:hint="cs"/>
          <w:sz w:val="24"/>
          <w:szCs w:val="24"/>
          <w:rtl/>
        </w:rPr>
        <w:t xml:space="preserve"> (לרבות חומרת העבירה עצמה, נסיבות ביצוע העבירה, משך הזמן בו נמשכה ועוד)</w:t>
      </w:r>
      <w:r w:rsidRPr="00EF6377">
        <w:rPr>
          <w:rFonts w:ascii="David" w:hAnsi="David" w:cs="David" w:hint="cs"/>
          <w:sz w:val="24"/>
          <w:szCs w:val="24"/>
          <w:rtl/>
        </w:rPr>
        <w:t xml:space="preserve">; </w:t>
      </w:r>
    </w:p>
    <w:p w:rsidR="00206A18" w:rsidRDefault="00242DDC" w:rsidP="00EF6377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>נסיבותיו האיש</w:t>
      </w:r>
      <w:r w:rsidR="00356218" w:rsidRPr="00EF6377">
        <w:rPr>
          <w:rFonts w:ascii="David" w:hAnsi="David" w:cs="David" w:hint="cs"/>
          <w:sz w:val="24"/>
          <w:szCs w:val="24"/>
          <w:rtl/>
        </w:rPr>
        <w:t>י</w:t>
      </w:r>
      <w:r w:rsidRPr="00EF6377">
        <w:rPr>
          <w:rFonts w:ascii="David" w:hAnsi="David" w:cs="David" w:hint="cs"/>
          <w:sz w:val="24"/>
          <w:szCs w:val="24"/>
          <w:rtl/>
        </w:rPr>
        <w:t xml:space="preserve">ות של החשוד; </w:t>
      </w:r>
    </w:p>
    <w:p w:rsidR="00206A18" w:rsidRDefault="00242DDC" w:rsidP="00EF6377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 xml:space="preserve">נסיבותיו האישיות של נפגע העבירה; </w:t>
      </w:r>
    </w:p>
    <w:p w:rsidR="00206A18" w:rsidRDefault="00242DDC" w:rsidP="00EF6377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 xml:space="preserve">אינטרסים חיוניים אחרים של המדינה (למשל אינטרסים ביטחוניים); </w:t>
      </w:r>
    </w:p>
    <w:p w:rsidR="004919C9" w:rsidRPr="00EF6377" w:rsidRDefault="00242DDC" w:rsidP="00EF6377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 xml:space="preserve">שיקולים מוסדיים של התביעה ושל בתי המשפט </w:t>
      </w:r>
      <w:r w:rsidR="00356218" w:rsidRPr="00EF6377">
        <w:rPr>
          <w:rFonts w:ascii="David" w:hAnsi="David" w:cs="David" w:hint="cs"/>
          <w:sz w:val="24"/>
          <w:szCs w:val="24"/>
          <w:rtl/>
        </w:rPr>
        <w:t>(</w:t>
      </w:r>
      <w:r w:rsidRPr="00EF6377">
        <w:rPr>
          <w:rFonts w:ascii="David" w:hAnsi="David" w:cs="David" w:hint="cs"/>
          <w:sz w:val="24"/>
          <w:szCs w:val="24"/>
          <w:rtl/>
        </w:rPr>
        <w:t xml:space="preserve">לעניין זה נקבע כי כאשר המעשה הוא חמור, והפגיעה בנפגע קשה, שיקולים </w:t>
      </w:r>
      <w:r w:rsidR="00356218" w:rsidRPr="00EF6377">
        <w:rPr>
          <w:rFonts w:ascii="David" w:hAnsi="David" w:cs="David" w:hint="cs"/>
          <w:sz w:val="24"/>
          <w:szCs w:val="24"/>
          <w:rtl/>
        </w:rPr>
        <w:t xml:space="preserve">של </w:t>
      </w:r>
      <w:r w:rsidRPr="00EF6377">
        <w:rPr>
          <w:rFonts w:ascii="David" w:hAnsi="David" w:cs="David" w:hint="cs"/>
          <w:sz w:val="24"/>
          <w:szCs w:val="24"/>
          <w:rtl/>
        </w:rPr>
        <w:t>כוח אדם אינם יכולים להוות שיקול לסגירת תיק בשל העדר עניין לציבור).</w:t>
      </w:r>
    </w:p>
    <w:p w:rsidR="00242DDC" w:rsidRDefault="00242DDC" w:rsidP="00242DDC">
      <w:pPr>
        <w:pStyle w:val="ab"/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7659FE" w:rsidRPr="00EF6377" w:rsidRDefault="007659FE" w:rsidP="00206A18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 xml:space="preserve">ואולם, </w:t>
      </w:r>
      <w:r w:rsidR="00206A18">
        <w:rPr>
          <w:rFonts w:ascii="David" w:hAnsi="David" w:cs="David" w:hint="cs"/>
          <w:sz w:val="24"/>
          <w:szCs w:val="24"/>
          <w:rtl/>
        </w:rPr>
        <w:t xml:space="preserve">לעניין המונח "העדר עניין לציבור", </w:t>
      </w:r>
      <w:r w:rsidRPr="00EF6377">
        <w:rPr>
          <w:rFonts w:ascii="David" w:hAnsi="David" w:cs="David" w:hint="cs"/>
          <w:sz w:val="24"/>
          <w:szCs w:val="24"/>
          <w:rtl/>
        </w:rPr>
        <w:t>התעורר קושי בשל כפל המשמעות של</w:t>
      </w:r>
      <w:r w:rsidR="00206A18">
        <w:rPr>
          <w:rFonts w:ascii="David" w:hAnsi="David" w:cs="David" w:hint="cs"/>
          <w:sz w:val="24"/>
          <w:szCs w:val="24"/>
          <w:rtl/>
        </w:rPr>
        <w:t>ו,</w:t>
      </w:r>
      <w:r w:rsidR="00EF6377" w:rsidRPr="00EF6377">
        <w:rPr>
          <w:rFonts w:ascii="David" w:hAnsi="David" w:cs="David" w:hint="cs"/>
          <w:sz w:val="24"/>
          <w:szCs w:val="24"/>
          <w:rtl/>
        </w:rPr>
        <w:t xml:space="preserve"> לפי</w:t>
      </w:r>
      <w:r w:rsidR="00206A18">
        <w:rPr>
          <w:rFonts w:ascii="David" w:hAnsi="David" w:cs="David" w:hint="cs"/>
          <w:sz w:val="24"/>
          <w:szCs w:val="24"/>
          <w:rtl/>
        </w:rPr>
        <w:t>ו</w:t>
      </w:r>
      <w:r w:rsidR="00EF6377" w:rsidRPr="00EF6377">
        <w:rPr>
          <w:rFonts w:ascii="David" w:hAnsi="David" w:cs="David" w:hint="cs"/>
          <w:sz w:val="24"/>
          <w:szCs w:val="24"/>
          <w:rtl/>
        </w:rPr>
        <w:t xml:space="preserve"> לכאורה הפגיעה אינה מעניינת את הציבור</w:t>
      </w:r>
      <w:r w:rsidRPr="00EF6377">
        <w:rPr>
          <w:rFonts w:ascii="David" w:hAnsi="David" w:cs="David" w:hint="cs"/>
          <w:sz w:val="24"/>
          <w:szCs w:val="24"/>
          <w:rtl/>
        </w:rPr>
        <w:t>, דבר הגורם פעמים רבות לעוגמת נפש למתלוננים</w:t>
      </w:r>
      <w:r w:rsidR="00EF6377">
        <w:rPr>
          <w:rStyle w:val="a5"/>
          <w:rFonts w:ascii="David" w:hAnsi="David"/>
          <w:sz w:val="24"/>
          <w:szCs w:val="24"/>
          <w:rtl/>
        </w:rPr>
        <w:footnoteReference w:id="5"/>
      </w:r>
      <w:r w:rsidRPr="00EF6377">
        <w:rPr>
          <w:rFonts w:ascii="David" w:hAnsi="David" w:cs="David" w:hint="cs"/>
          <w:sz w:val="24"/>
          <w:szCs w:val="24"/>
          <w:rtl/>
        </w:rPr>
        <w:t>.</w:t>
      </w:r>
    </w:p>
    <w:p w:rsidR="004919C9" w:rsidRPr="00EF6377" w:rsidRDefault="007659FE" w:rsidP="00206A18">
      <w:pPr>
        <w:spacing w:before="120" w:after="0" w:line="360" w:lineRule="auto"/>
        <w:jc w:val="both"/>
        <w:rPr>
          <w:rFonts w:ascii="David" w:hAnsi="David" w:cs="David" w:hint="cs"/>
          <w:sz w:val="24"/>
          <w:szCs w:val="24"/>
          <w:rtl/>
        </w:rPr>
      </w:pPr>
      <w:r w:rsidRPr="00EF6377">
        <w:rPr>
          <w:rFonts w:ascii="David" w:hAnsi="David" w:cs="David" w:hint="cs"/>
          <w:sz w:val="24"/>
          <w:szCs w:val="24"/>
          <w:rtl/>
        </w:rPr>
        <w:t xml:space="preserve">במטרה למנוע עוגמת נפש זו, נקבעו </w:t>
      </w:r>
      <w:r w:rsidR="009F6105" w:rsidRPr="00EF6377">
        <w:rPr>
          <w:rFonts w:ascii="David" w:hAnsi="David" w:cs="David" w:hint="cs"/>
          <w:sz w:val="24"/>
          <w:szCs w:val="24"/>
          <w:rtl/>
        </w:rPr>
        <w:t>ה</w:t>
      </w:r>
      <w:r w:rsidR="00EF6EEC" w:rsidRPr="00EF6377">
        <w:rPr>
          <w:rFonts w:ascii="David" w:hAnsi="David" w:cs="David" w:hint="cs"/>
          <w:sz w:val="24"/>
          <w:szCs w:val="24"/>
          <w:rtl/>
        </w:rPr>
        <w:t>נחיות פרקליט המדינה לעניין מתן הודעה על סג</w:t>
      </w:r>
      <w:r w:rsidR="009F6105" w:rsidRPr="00EF6377">
        <w:rPr>
          <w:rFonts w:ascii="David" w:hAnsi="David" w:cs="David" w:hint="cs"/>
          <w:sz w:val="24"/>
          <w:szCs w:val="24"/>
          <w:rtl/>
        </w:rPr>
        <w:t>י</w:t>
      </w:r>
      <w:r w:rsidR="00EF6EEC" w:rsidRPr="00EF6377">
        <w:rPr>
          <w:rFonts w:ascii="David" w:hAnsi="David" w:cs="David" w:hint="cs"/>
          <w:sz w:val="24"/>
          <w:szCs w:val="24"/>
          <w:rtl/>
        </w:rPr>
        <w:t>רת תיק בשל "העדר עניין לציבור"</w:t>
      </w:r>
      <w:r w:rsidR="00EF6EEC" w:rsidRPr="009F6105">
        <w:rPr>
          <w:rStyle w:val="a5"/>
          <w:rFonts w:ascii="David" w:hAnsi="David"/>
          <w:sz w:val="24"/>
          <w:szCs w:val="24"/>
          <w:rtl/>
        </w:rPr>
        <w:footnoteReference w:id="6"/>
      </w:r>
      <w:r w:rsidRPr="00EF6377">
        <w:rPr>
          <w:rFonts w:ascii="David" w:hAnsi="David" w:cs="David" w:hint="cs"/>
          <w:sz w:val="24"/>
          <w:szCs w:val="24"/>
          <w:rtl/>
        </w:rPr>
        <w:t xml:space="preserve">. בהנחיות </w:t>
      </w:r>
      <w:r w:rsidR="009F6105" w:rsidRPr="00EF6377">
        <w:rPr>
          <w:rFonts w:ascii="David" w:hAnsi="David" w:cs="David" w:hint="cs"/>
          <w:sz w:val="24"/>
          <w:szCs w:val="24"/>
          <w:rtl/>
        </w:rPr>
        <w:t xml:space="preserve">נקבע שבהודעה </w:t>
      </w:r>
      <w:r w:rsidR="009F6105" w:rsidRPr="00EF6377">
        <w:rPr>
          <w:rFonts w:ascii="David" w:hAnsi="David" w:cs="David" w:hint="cs"/>
          <w:sz w:val="24"/>
          <w:szCs w:val="24"/>
          <w:rtl/>
        </w:rPr>
        <w:t xml:space="preserve">שנמסרת לנפגע העבירה או למתלונן </w:t>
      </w:r>
      <w:r w:rsidR="009F6105" w:rsidRPr="00EF6377">
        <w:rPr>
          <w:rFonts w:ascii="David" w:hAnsi="David" w:cs="David" w:hint="cs"/>
          <w:sz w:val="24"/>
          <w:szCs w:val="24"/>
          <w:rtl/>
        </w:rPr>
        <w:t>בעת סגירת תיק בעילת העדר עניין לציבור ייעשה שימוש במונחים "אין העניין מתאים לניהול משפט פלילי" או "נס</w:t>
      </w:r>
      <w:r w:rsidR="00F51545" w:rsidRPr="00EF6377">
        <w:rPr>
          <w:rFonts w:ascii="David" w:hAnsi="David" w:cs="David" w:hint="cs"/>
          <w:sz w:val="24"/>
          <w:szCs w:val="24"/>
          <w:rtl/>
        </w:rPr>
        <w:t>י</w:t>
      </w:r>
      <w:r w:rsidR="009F6105" w:rsidRPr="00EF6377">
        <w:rPr>
          <w:rFonts w:ascii="David" w:hAnsi="David" w:cs="David" w:hint="cs"/>
          <w:sz w:val="24"/>
          <w:szCs w:val="24"/>
          <w:rtl/>
        </w:rPr>
        <w:t>בות הענ</w:t>
      </w:r>
      <w:r w:rsidR="00F51545" w:rsidRPr="00EF6377">
        <w:rPr>
          <w:rFonts w:ascii="David" w:hAnsi="David" w:cs="David" w:hint="cs"/>
          <w:sz w:val="24"/>
          <w:szCs w:val="24"/>
          <w:rtl/>
        </w:rPr>
        <w:t>י</w:t>
      </w:r>
      <w:r w:rsidR="009F6105" w:rsidRPr="00EF6377">
        <w:rPr>
          <w:rFonts w:ascii="David" w:hAnsi="David" w:cs="David" w:hint="cs"/>
          <w:sz w:val="24"/>
          <w:szCs w:val="24"/>
          <w:rtl/>
        </w:rPr>
        <w:t>ין אינן מצ</w:t>
      </w:r>
      <w:r w:rsidR="00F51545" w:rsidRPr="00EF6377">
        <w:rPr>
          <w:rFonts w:ascii="David" w:hAnsi="David" w:cs="David" w:hint="cs"/>
          <w:sz w:val="24"/>
          <w:szCs w:val="24"/>
          <w:rtl/>
        </w:rPr>
        <w:t>די</w:t>
      </w:r>
      <w:r w:rsidR="009F6105" w:rsidRPr="00EF6377">
        <w:rPr>
          <w:rFonts w:ascii="David" w:hAnsi="David" w:cs="David" w:hint="cs"/>
          <w:sz w:val="24"/>
          <w:szCs w:val="24"/>
          <w:rtl/>
        </w:rPr>
        <w:t>ק</w:t>
      </w:r>
      <w:r w:rsidR="00F51545" w:rsidRPr="00EF6377">
        <w:rPr>
          <w:rFonts w:ascii="David" w:hAnsi="David" w:cs="David" w:hint="cs"/>
          <w:sz w:val="24"/>
          <w:szCs w:val="24"/>
          <w:rtl/>
        </w:rPr>
        <w:t>ו</w:t>
      </w:r>
      <w:r w:rsidR="009F6105" w:rsidRPr="00EF6377">
        <w:rPr>
          <w:rFonts w:ascii="David" w:hAnsi="David" w:cs="David" w:hint="cs"/>
          <w:sz w:val="24"/>
          <w:szCs w:val="24"/>
          <w:rtl/>
        </w:rPr>
        <w:t xml:space="preserve">ת העמדה לדין". כך גם כאשר תיק נסגר במשטרה בעילה זו, ההודעה שנמסרת לנפגע או למתלונן נוקטת </w:t>
      </w:r>
      <w:r w:rsidR="00206A18">
        <w:rPr>
          <w:rFonts w:ascii="David" w:hAnsi="David" w:cs="David" w:hint="cs"/>
          <w:sz w:val="24"/>
          <w:szCs w:val="24"/>
          <w:rtl/>
        </w:rPr>
        <w:t>במונח</w:t>
      </w:r>
      <w:r w:rsidR="009F6105" w:rsidRPr="00EF6377">
        <w:rPr>
          <w:rFonts w:ascii="David" w:hAnsi="David" w:cs="David" w:hint="cs"/>
          <w:sz w:val="24"/>
          <w:szCs w:val="24"/>
          <w:rtl/>
        </w:rPr>
        <w:t xml:space="preserve"> "נסיבות העניין אינן מצדיקות העמדה לדין".</w:t>
      </w:r>
    </w:p>
    <w:p w:rsidR="009F6105" w:rsidRDefault="009F6105" w:rsidP="009F6105">
      <w:pPr>
        <w:pStyle w:val="ab"/>
        <w:spacing w:before="120" w:after="0" w:line="360" w:lineRule="auto"/>
        <w:rPr>
          <w:rFonts w:ascii="David" w:hAnsi="David" w:cs="David"/>
          <w:sz w:val="24"/>
          <w:szCs w:val="24"/>
          <w:rtl/>
        </w:rPr>
      </w:pPr>
    </w:p>
    <w:p w:rsidR="009F6105" w:rsidRDefault="009F6105" w:rsidP="009F6105">
      <w:pPr>
        <w:pStyle w:val="ab"/>
        <w:spacing w:before="120" w:after="0" w:line="360" w:lineRule="auto"/>
        <w:rPr>
          <w:rFonts w:ascii="David" w:hAnsi="David" w:cs="David" w:hint="cs"/>
          <w:sz w:val="24"/>
          <w:szCs w:val="24"/>
          <w:rtl/>
        </w:rPr>
      </w:pPr>
    </w:p>
    <w:p w:rsidR="00E84B82" w:rsidRPr="003B69D4" w:rsidRDefault="00E84B82" w:rsidP="00E84B82">
      <w:pPr>
        <w:spacing w:before="120" w:after="0" w:line="360" w:lineRule="auto"/>
        <w:rPr>
          <w:rFonts w:ascii="David" w:hAnsi="David" w:cs="David"/>
          <w:b/>
          <w:bCs/>
          <w:sz w:val="24"/>
          <w:szCs w:val="24"/>
          <w:rtl/>
        </w:rPr>
      </w:pPr>
      <w:r w:rsidRPr="003B69D4">
        <w:rPr>
          <w:rFonts w:ascii="David" w:hAnsi="David" w:cs="David" w:hint="cs"/>
          <w:b/>
          <w:bCs/>
          <w:sz w:val="24"/>
          <w:szCs w:val="24"/>
          <w:rtl/>
        </w:rPr>
        <w:t>הצעת החוק</w:t>
      </w:r>
    </w:p>
    <w:p w:rsidR="00364955" w:rsidRPr="003B69D4" w:rsidRDefault="00206A18" w:rsidP="00206A18">
      <w:pPr>
        <w:spacing w:before="120" w:after="0"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הצעת החוק מבקשת </w:t>
      </w:r>
      <w:r w:rsidR="00364955" w:rsidRPr="003B69D4">
        <w:rPr>
          <w:rFonts w:ascii="David" w:hAnsi="David" w:cs="David" w:hint="cs"/>
          <w:sz w:val="24"/>
          <w:szCs w:val="24"/>
          <w:rtl/>
        </w:rPr>
        <w:t xml:space="preserve">להחליף את המונח העדר "עניין לציבור" בתיבה "נסיבות העניין אינן מצדיקות פתיחה בחקירה" </w:t>
      </w:r>
      <w:r>
        <w:rPr>
          <w:rFonts w:ascii="David" w:hAnsi="David" w:cs="David" w:hint="cs"/>
          <w:sz w:val="24"/>
          <w:szCs w:val="24"/>
          <w:rtl/>
        </w:rPr>
        <w:t>ו</w:t>
      </w:r>
      <w:r w:rsidR="00364955" w:rsidRPr="003B69D4">
        <w:rPr>
          <w:rFonts w:ascii="David" w:hAnsi="David" w:cs="David" w:hint="cs"/>
          <w:sz w:val="24"/>
          <w:szCs w:val="24"/>
          <w:rtl/>
        </w:rPr>
        <w:t>"נסיבות העניין אינן מצדיקות העמדה לדין".</w:t>
      </w:r>
    </w:p>
    <w:p w:rsidR="00364955" w:rsidRPr="003B69D4" w:rsidRDefault="00364955" w:rsidP="003B69D4">
      <w:pPr>
        <w:spacing w:before="120" w:after="0" w:line="360" w:lineRule="auto"/>
        <w:jc w:val="both"/>
        <w:rPr>
          <w:rFonts w:ascii="David" w:hAnsi="David" w:cs="David" w:hint="cs"/>
          <w:sz w:val="24"/>
          <w:szCs w:val="24"/>
          <w:rtl/>
        </w:rPr>
      </w:pPr>
      <w:r w:rsidRPr="003B69D4">
        <w:rPr>
          <w:rFonts w:ascii="David" w:hAnsi="David" w:cs="David" w:hint="cs"/>
          <w:sz w:val="24"/>
          <w:szCs w:val="24"/>
          <w:rtl/>
        </w:rPr>
        <w:t>מטרת הצעת החוק, כפי שועלה גם במדברי ההסבר, היא למזער את הפגיעה ברגשות נפגעי העבירה תוך שמירה על האינטרס הציבורי, ללא שינוי השיקולים הקיימים.</w:t>
      </w:r>
    </w:p>
    <w:p w:rsidR="00364955" w:rsidRDefault="00364955" w:rsidP="00364955">
      <w:pPr>
        <w:pStyle w:val="Hesber"/>
        <w:rPr>
          <w:sz w:val="24"/>
          <w:szCs w:val="24"/>
          <w:rtl/>
        </w:rPr>
      </w:pPr>
    </w:p>
    <w:p w:rsidR="00E84B82" w:rsidRDefault="00F51545" w:rsidP="00206A18">
      <w:pPr>
        <w:pStyle w:val="Hesber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מוצע לדון במונח</w:t>
      </w:r>
      <w:r w:rsidR="00206A18">
        <w:rPr>
          <w:rFonts w:hint="cs"/>
          <w:sz w:val="24"/>
          <w:szCs w:val="24"/>
          <w:rtl/>
        </w:rPr>
        <w:t>ים</w:t>
      </w:r>
      <w:r>
        <w:rPr>
          <w:rFonts w:hint="cs"/>
          <w:sz w:val="24"/>
          <w:szCs w:val="24"/>
          <w:rtl/>
        </w:rPr>
        <w:t xml:space="preserve"> </w:t>
      </w:r>
      <w:r w:rsidR="00364955">
        <w:rPr>
          <w:rFonts w:hint="cs"/>
          <w:sz w:val="24"/>
          <w:szCs w:val="24"/>
          <w:rtl/>
        </w:rPr>
        <w:t>המוצע</w:t>
      </w:r>
      <w:r w:rsidR="00206A18">
        <w:rPr>
          <w:rFonts w:hint="cs"/>
          <w:sz w:val="24"/>
          <w:szCs w:val="24"/>
          <w:rtl/>
        </w:rPr>
        <w:t>ים</w:t>
      </w:r>
      <w:r w:rsidR="00364955">
        <w:rPr>
          <w:rFonts w:hint="cs"/>
          <w:sz w:val="24"/>
          <w:szCs w:val="24"/>
          <w:rtl/>
        </w:rPr>
        <w:t xml:space="preserve"> ובאפשרויות נוספות כגון "אין העניין מתאים להעמדה לדין פלילי". </w:t>
      </w:r>
      <w:r>
        <w:rPr>
          <w:rFonts w:hint="cs"/>
          <w:sz w:val="24"/>
          <w:szCs w:val="24"/>
          <w:rtl/>
        </w:rPr>
        <w:t>כמו כן, מוצע לדון</w:t>
      </w:r>
      <w:r w:rsidR="00364955">
        <w:rPr>
          <w:rFonts w:hint="cs"/>
          <w:sz w:val="24"/>
          <w:szCs w:val="24"/>
          <w:rtl/>
        </w:rPr>
        <w:t xml:space="preserve"> בהחלפת המונח בדברי </w:t>
      </w:r>
      <w:r w:rsidR="00206A18">
        <w:rPr>
          <w:rFonts w:hint="cs"/>
          <w:sz w:val="24"/>
          <w:szCs w:val="24"/>
          <w:rtl/>
        </w:rPr>
        <w:t>ה</w:t>
      </w:r>
      <w:r w:rsidR="00364955">
        <w:rPr>
          <w:rFonts w:hint="cs"/>
          <w:sz w:val="24"/>
          <w:szCs w:val="24"/>
          <w:rtl/>
        </w:rPr>
        <w:t>חקיקה הנוספים בהם הוא מופיע</w:t>
      </w:r>
      <w:r>
        <w:rPr>
          <w:rFonts w:hint="cs"/>
          <w:sz w:val="24"/>
          <w:szCs w:val="24"/>
          <w:rtl/>
        </w:rPr>
        <w:t>.</w:t>
      </w:r>
    </w:p>
    <w:p w:rsidR="00E84B82" w:rsidRDefault="00E84B82" w:rsidP="00E84B82">
      <w:pPr>
        <w:spacing w:line="360" w:lineRule="auto"/>
        <w:ind w:right="567"/>
        <w:rPr>
          <w:rFonts w:cs="David"/>
          <w:sz w:val="24"/>
          <w:szCs w:val="24"/>
          <w:rtl/>
        </w:rPr>
      </w:pPr>
    </w:p>
    <w:sectPr w:rsidR="00E84B82" w:rsidSect="001207F8">
      <w:footerReference w:type="even" r:id="rId8"/>
      <w:footerReference w:type="default" r:id="rId9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60E" w:rsidRDefault="0020560E" w:rsidP="00E84B82">
      <w:pPr>
        <w:spacing w:after="0" w:line="240" w:lineRule="auto"/>
      </w:pPr>
      <w:r>
        <w:separator/>
      </w:r>
    </w:p>
  </w:endnote>
  <w:endnote w:type="continuationSeparator" w:id="0">
    <w:p w:rsidR="0020560E" w:rsidRDefault="0020560E" w:rsidP="00E84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0560E" w:rsidP="001207F8">
    <w:pPr>
      <w:pStyle w:val="a6"/>
      <w:framePr w:wrap="around" w:vAnchor="text" w:hAnchor="text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C3041" w:rsidRDefault="0020560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0560E" w:rsidP="001207F8">
    <w:pPr>
      <w:pStyle w:val="a6"/>
      <w:framePr w:wrap="around" w:vAnchor="text" w:hAnchor="text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8766D">
      <w:rPr>
        <w:rStyle w:val="a8"/>
        <w:noProof/>
        <w:rtl/>
      </w:rPr>
      <w:t>2</w:t>
    </w:r>
    <w:r>
      <w:rPr>
        <w:rStyle w:val="a8"/>
      </w:rPr>
      <w:fldChar w:fldCharType="end"/>
    </w:r>
  </w:p>
  <w:p w:rsidR="002C3041" w:rsidRDefault="0020560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60E" w:rsidRDefault="0020560E" w:rsidP="00E84B82">
      <w:pPr>
        <w:spacing w:after="0" w:line="240" w:lineRule="auto"/>
      </w:pPr>
      <w:r>
        <w:separator/>
      </w:r>
    </w:p>
  </w:footnote>
  <w:footnote w:type="continuationSeparator" w:id="0">
    <w:p w:rsidR="0020560E" w:rsidRDefault="0020560E" w:rsidP="00E84B82">
      <w:pPr>
        <w:spacing w:after="0" w:line="240" w:lineRule="auto"/>
      </w:pPr>
      <w:r>
        <w:continuationSeparator/>
      </w:r>
    </w:p>
  </w:footnote>
  <w:footnote w:id="1">
    <w:p w:rsidR="00161CA7" w:rsidRPr="00242DDC" w:rsidRDefault="00161CA7" w:rsidP="00E5544A">
      <w:pPr>
        <w:pStyle w:val="a3"/>
        <w:rPr>
          <w:rFonts w:hint="cs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242DDC">
        <w:rPr>
          <w:rFonts w:hint="cs"/>
          <w:rtl/>
        </w:rPr>
        <w:t>ראו לעניין זה הנחיה מס' 1.3 להנחיות פרקליט המדינה- סגירת תיק</w:t>
      </w:r>
      <w:r w:rsidR="00E5544A" w:rsidRPr="00242DDC">
        <w:rPr>
          <w:rFonts w:hint="cs"/>
          <w:rtl/>
        </w:rPr>
        <w:t>י</w:t>
      </w:r>
      <w:r w:rsidRPr="00242DDC">
        <w:rPr>
          <w:rFonts w:hint="cs"/>
          <w:rtl/>
        </w:rPr>
        <w:t xml:space="preserve">ם בעילת "חוסר ראיות" ובעילת "העדר אשמה". </w:t>
      </w:r>
    </w:p>
  </w:footnote>
  <w:footnote w:id="2">
    <w:p w:rsidR="002901EE" w:rsidRPr="00242DDC" w:rsidRDefault="002901EE" w:rsidP="002901EE">
      <w:pPr>
        <w:pStyle w:val="a3"/>
      </w:pPr>
      <w:r w:rsidRPr="00242DDC">
        <w:rPr>
          <w:rStyle w:val="a5"/>
        </w:rPr>
        <w:footnoteRef/>
      </w:r>
      <w:r w:rsidRPr="00242DDC">
        <w:rPr>
          <w:rtl/>
        </w:rPr>
        <w:t xml:space="preserve"> </w:t>
      </w:r>
      <w:r w:rsidRPr="00242DDC">
        <w:rPr>
          <w:rFonts w:hint="cs"/>
          <w:rtl/>
        </w:rPr>
        <w:t xml:space="preserve">בג"צ 935/89 </w:t>
      </w:r>
      <w:proofErr w:type="spellStart"/>
      <w:r w:rsidRPr="00242DDC">
        <w:rPr>
          <w:rFonts w:hint="cs"/>
          <w:b/>
          <w:bCs/>
          <w:rtl/>
        </w:rPr>
        <w:t>גנור</w:t>
      </w:r>
      <w:proofErr w:type="spellEnd"/>
      <w:r w:rsidRPr="00242DDC">
        <w:rPr>
          <w:rFonts w:hint="cs"/>
          <w:b/>
          <w:bCs/>
          <w:rtl/>
        </w:rPr>
        <w:t xml:space="preserve"> נגד היועץ המשפטי לממשלה</w:t>
      </w:r>
      <w:r w:rsidRPr="00242DDC">
        <w:rPr>
          <w:rFonts w:hint="cs"/>
          <w:rtl/>
        </w:rPr>
        <w:t xml:space="preserve"> (ניתן ביום </w:t>
      </w:r>
      <w:r w:rsidR="00242DDC">
        <w:rPr>
          <w:rFonts w:hint="cs"/>
          <w:rtl/>
        </w:rPr>
        <w:t>10.5.90).</w:t>
      </w:r>
    </w:p>
  </w:footnote>
  <w:footnote w:id="3">
    <w:p w:rsidR="00F64D7F" w:rsidRDefault="00F64D7F">
      <w:pPr>
        <w:pStyle w:val="a3"/>
        <w:rPr>
          <w:rFonts w:hint="cs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שם, עמ' 511.</w:t>
      </w:r>
    </w:p>
  </w:footnote>
  <w:footnote w:id="4">
    <w:p w:rsidR="002E426A" w:rsidRDefault="002E426A" w:rsidP="00CC73C1">
      <w:pPr>
        <w:pStyle w:val="a3"/>
        <w:rPr>
          <w:rFonts w:hint="cs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242DDC">
        <w:rPr>
          <w:rFonts w:hint="cs"/>
          <w:rtl/>
        </w:rPr>
        <w:t>הנחיה מס' 1.</w:t>
      </w:r>
      <w:r>
        <w:rPr>
          <w:rFonts w:hint="cs"/>
          <w:rtl/>
        </w:rPr>
        <w:t>1</w:t>
      </w:r>
      <w:r w:rsidRPr="00242DDC">
        <w:rPr>
          <w:rFonts w:hint="cs"/>
          <w:rtl/>
        </w:rPr>
        <w:t xml:space="preserve"> להנחיות פרקליט המדינה- </w:t>
      </w:r>
      <w:r>
        <w:rPr>
          <w:rFonts w:hint="cs"/>
          <w:rtl/>
        </w:rPr>
        <w:t xml:space="preserve">שיקולים לסגירת תיק בשל </w:t>
      </w:r>
      <w:r w:rsidRPr="00242DDC">
        <w:rPr>
          <w:rFonts w:hint="cs"/>
          <w:rtl/>
        </w:rPr>
        <w:t>"העדר עניין לציבור".</w:t>
      </w:r>
    </w:p>
  </w:footnote>
  <w:footnote w:id="5">
    <w:p w:rsidR="00EF6377" w:rsidRPr="00EF6377" w:rsidRDefault="00EF6377" w:rsidP="00CC73C1">
      <w:pPr>
        <w:spacing w:after="0" w:line="240" w:lineRule="auto"/>
        <w:rPr>
          <w:rFonts w:hint="cs"/>
        </w:rPr>
      </w:pPr>
      <w:r w:rsidRPr="00CC73C1">
        <w:rPr>
          <w:rStyle w:val="a5"/>
          <w:lang w:eastAsia="ja-JP"/>
        </w:rPr>
        <w:footnoteRef/>
      </w:r>
      <w:r w:rsidRPr="00CC73C1">
        <w:rPr>
          <w:rStyle w:val="a5"/>
          <w:rtl/>
          <w:lang w:eastAsia="ja-JP"/>
        </w:rPr>
        <w:t xml:space="preserve"> </w:t>
      </w:r>
      <w:r w:rsidR="00CC73C1" w:rsidRPr="00CC73C1">
        <w:rPr>
          <w:rFonts w:ascii="Arial" w:eastAsia="Arial Unicode MS" w:hAnsi="Arial" w:cs="David" w:hint="cs"/>
          <w:color w:val="000000"/>
          <w:sz w:val="20"/>
          <w:szCs w:val="20"/>
          <w:rtl/>
          <w:lang w:eastAsia="ja-JP"/>
        </w:rPr>
        <w:t xml:space="preserve"> </w:t>
      </w:r>
      <w:r w:rsidR="00CC73C1" w:rsidRPr="00CC73C1">
        <w:rPr>
          <w:rFonts w:ascii="Arial" w:eastAsia="Arial Unicode MS" w:hAnsi="Arial" w:cs="David" w:hint="cs"/>
          <w:color w:val="000000"/>
          <w:sz w:val="20"/>
          <w:szCs w:val="20"/>
          <w:rtl/>
          <w:lang w:eastAsia="ja-JP"/>
        </w:rPr>
        <w:t xml:space="preserve">ראו לעניין זה </w:t>
      </w:r>
      <w:r w:rsidRPr="00CC73C1">
        <w:rPr>
          <w:rFonts w:ascii="Arial" w:eastAsia="Arial Unicode MS" w:hAnsi="Arial" w:cs="David"/>
          <w:color w:val="000000"/>
          <w:sz w:val="20"/>
          <w:szCs w:val="20"/>
          <w:rtl/>
          <w:lang w:eastAsia="ja-JP"/>
        </w:rPr>
        <w:t xml:space="preserve">יניב ואקי, "עילה לביטול? עיון מחודש בעילות לסגירת תיק פלילי" </w:t>
      </w:r>
      <w:r w:rsidRPr="00CC73C1">
        <w:rPr>
          <w:rFonts w:ascii="Arial" w:eastAsia="Arial Unicode MS" w:hAnsi="Arial" w:cs="David"/>
          <w:b/>
          <w:bCs/>
          <w:color w:val="000000"/>
          <w:sz w:val="20"/>
          <w:szCs w:val="20"/>
          <w:rtl/>
          <w:lang w:eastAsia="ja-JP"/>
        </w:rPr>
        <w:t>ספר אדמונד לוי</w:t>
      </w:r>
      <w:r w:rsidRPr="00CC73C1">
        <w:rPr>
          <w:rFonts w:ascii="Arial" w:eastAsia="Arial Unicode MS" w:hAnsi="Arial" w:cs="David"/>
          <w:color w:val="000000"/>
          <w:sz w:val="20"/>
          <w:szCs w:val="20"/>
          <w:rtl/>
          <w:lang w:eastAsia="ja-JP"/>
        </w:rPr>
        <w:t xml:space="preserve"> 457 (2017).</w:t>
      </w:r>
    </w:p>
  </w:footnote>
  <w:footnote w:id="6">
    <w:p w:rsidR="00E5544A" w:rsidRDefault="00EF6EEC" w:rsidP="00CC73C1">
      <w:pPr>
        <w:pStyle w:val="a3"/>
        <w:rPr>
          <w:rFonts w:hint="cs"/>
        </w:rPr>
      </w:pPr>
      <w:r w:rsidRPr="00242DDC">
        <w:rPr>
          <w:rStyle w:val="a5"/>
        </w:rPr>
        <w:footnoteRef/>
      </w:r>
      <w:r w:rsidRPr="00242DDC">
        <w:rPr>
          <w:rtl/>
        </w:rPr>
        <w:t xml:space="preserve"> </w:t>
      </w:r>
      <w:r w:rsidR="00E5544A" w:rsidRPr="00242DDC">
        <w:rPr>
          <w:rFonts w:hint="cs"/>
          <w:rtl/>
        </w:rPr>
        <w:t>הנחיה</w:t>
      </w:r>
      <w:r w:rsidR="00E5544A" w:rsidRPr="00242DDC">
        <w:rPr>
          <w:rFonts w:hint="cs"/>
          <w:rtl/>
        </w:rPr>
        <w:t xml:space="preserve"> מס' 1.2 </w:t>
      </w:r>
      <w:r w:rsidR="00E5544A" w:rsidRPr="00242DDC">
        <w:rPr>
          <w:rFonts w:hint="cs"/>
          <w:rtl/>
        </w:rPr>
        <w:t xml:space="preserve">להנחיות פרקליט המדינה- </w:t>
      </w:r>
      <w:r w:rsidR="00E5544A" w:rsidRPr="00242DDC">
        <w:rPr>
          <w:rFonts w:hint="cs"/>
          <w:rtl/>
        </w:rPr>
        <w:t xml:space="preserve">מתן הודעה על </w:t>
      </w:r>
      <w:r w:rsidR="00E5544A" w:rsidRPr="00242DDC">
        <w:rPr>
          <w:rFonts w:hint="cs"/>
          <w:rtl/>
        </w:rPr>
        <w:t xml:space="preserve">סגירת תיק </w:t>
      </w:r>
      <w:r w:rsidR="00E5544A" w:rsidRPr="00242DDC">
        <w:rPr>
          <w:rFonts w:hint="cs"/>
          <w:rtl/>
        </w:rPr>
        <w:t>בשל</w:t>
      </w:r>
      <w:r w:rsidR="00E5544A" w:rsidRPr="00242DDC">
        <w:rPr>
          <w:rFonts w:hint="cs"/>
          <w:rtl/>
        </w:rPr>
        <w:t xml:space="preserve"> "העדר </w:t>
      </w:r>
      <w:r w:rsidR="00E5544A" w:rsidRPr="00242DDC">
        <w:rPr>
          <w:rFonts w:hint="cs"/>
          <w:rtl/>
        </w:rPr>
        <w:t>עניין לציבור</w:t>
      </w:r>
      <w:r w:rsidR="00E5544A" w:rsidRPr="00242DDC">
        <w:rPr>
          <w:rFonts w:hint="cs"/>
          <w:rtl/>
        </w:rPr>
        <w:t>".</w:t>
      </w:r>
      <w:r w:rsidR="00E5544A">
        <w:rPr>
          <w:rFonts w:hint="cs"/>
          <w:rtl/>
        </w:rPr>
        <w:t xml:space="preserve"> </w:t>
      </w:r>
    </w:p>
    <w:p w:rsidR="00EF6EEC" w:rsidRPr="00E5544A" w:rsidRDefault="00EF6EEC" w:rsidP="00CC73C1">
      <w:pPr>
        <w:pStyle w:val="a3"/>
        <w:rPr>
          <w:rFonts w:hint="cs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25C75"/>
    <w:multiLevelType w:val="hybridMultilevel"/>
    <w:tmpl w:val="C2B2A998"/>
    <w:lvl w:ilvl="0" w:tplc="A6D8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A05598"/>
    <w:multiLevelType w:val="hybridMultilevel"/>
    <w:tmpl w:val="17F0B3A8"/>
    <w:lvl w:ilvl="0" w:tplc="E96A41FE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51D1A"/>
    <w:multiLevelType w:val="hybridMultilevel"/>
    <w:tmpl w:val="C8B44214"/>
    <w:lvl w:ilvl="0" w:tplc="ADBA5E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2601BC"/>
    <w:multiLevelType w:val="hybridMultilevel"/>
    <w:tmpl w:val="1B109AC6"/>
    <w:lvl w:ilvl="0" w:tplc="3A263150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82"/>
    <w:rsid w:val="00161CA7"/>
    <w:rsid w:val="0020560E"/>
    <w:rsid w:val="00206A18"/>
    <w:rsid w:val="00242DDC"/>
    <w:rsid w:val="002901EE"/>
    <w:rsid w:val="002E426A"/>
    <w:rsid w:val="00336DC2"/>
    <w:rsid w:val="00356218"/>
    <w:rsid w:val="00364955"/>
    <w:rsid w:val="003B69D4"/>
    <w:rsid w:val="004919C9"/>
    <w:rsid w:val="005A3C38"/>
    <w:rsid w:val="0068766D"/>
    <w:rsid w:val="00763E8E"/>
    <w:rsid w:val="007659FE"/>
    <w:rsid w:val="009F6105"/>
    <w:rsid w:val="00AA1DF5"/>
    <w:rsid w:val="00AC4C93"/>
    <w:rsid w:val="00CC73C1"/>
    <w:rsid w:val="00E54FF3"/>
    <w:rsid w:val="00E5544A"/>
    <w:rsid w:val="00E84B82"/>
    <w:rsid w:val="00EF6377"/>
    <w:rsid w:val="00EF6EEC"/>
    <w:rsid w:val="00F51545"/>
    <w:rsid w:val="00F64D7F"/>
    <w:rsid w:val="00FB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4DA499-14F9-4EDA-8397-BD3EAEE78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B8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link w:val="HeadHatzaotHok0"/>
    <w:rsid w:val="00E84B82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E84B82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E84B82"/>
  </w:style>
  <w:style w:type="paragraph" w:customStyle="1" w:styleId="TableBlock">
    <w:name w:val="Table Block"/>
    <w:basedOn w:val="TableText"/>
    <w:rsid w:val="00E84B82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E84B82"/>
  </w:style>
  <w:style w:type="paragraph" w:customStyle="1" w:styleId="Hesber">
    <w:name w:val="Hesber"/>
    <w:basedOn w:val="a"/>
    <w:rsid w:val="00E84B82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jc w:val="both"/>
      <w:textAlignment w:val="center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styleId="a3">
    <w:name w:val="footnote text"/>
    <w:basedOn w:val="a"/>
    <w:link w:val="a4"/>
    <w:autoRedefine/>
    <w:uiPriority w:val="99"/>
    <w:semiHidden/>
    <w:rsid w:val="00E84B82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color w:val="000000"/>
      <w:sz w:val="20"/>
      <w:szCs w:val="20"/>
      <w:lang w:eastAsia="ja-JP"/>
    </w:rPr>
  </w:style>
  <w:style w:type="character" w:customStyle="1" w:styleId="a4">
    <w:name w:val="טקסט הערת שוליים תו"/>
    <w:basedOn w:val="a0"/>
    <w:link w:val="a3"/>
    <w:uiPriority w:val="99"/>
    <w:semiHidden/>
    <w:rsid w:val="00E84B82"/>
    <w:rPr>
      <w:rFonts w:ascii="Arial" w:eastAsia="Arial Unicode MS" w:hAnsi="Arial" w:cs="David"/>
      <w:color w:val="000000"/>
      <w:sz w:val="20"/>
      <w:szCs w:val="20"/>
      <w:lang w:eastAsia="ja-JP"/>
    </w:rPr>
  </w:style>
  <w:style w:type="character" w:styleId="a5">
    <w:name w:val="footnote reference"/>
    <w:basedOn w:val="a0"/>
    <w:uiPriority w:val="99"/>
    <w:semiHidden/>
    <w:rsid w:val="00E84B82"/>
    <w:rPr>
      <w:rFonts w:cs="Times New Roman"/>
      <w:vertAlign w:val="superscript"/>
    </w:rPr>
  </w:style>
  <w:style w:type="paragraph" w:styleId="a6">
    <w:name w:val="footer"/>
    <w:basedOn w:val="a"/>
    <w:link w:val="a7"/>
    <w:uiPriority w:val="99"/>
    <w:rsid w:val="00E84B82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uiPriority w:val="99"/>
    <w:rsid w:val="00E84B8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8">
    <w:name w:val="page number"/>
    <w:basedOn w:val="a0"/>
    <w:uiPriority w:val="99"/>
    <w:rsid w:val="00E84B82"/>
    <w:rPr>
      <w:rFonts w:cs="Times New Roman"/>
    </w:rPr>
  </w:style>
  <w:style w:type="character" w:customStyle="1" w:styleId="HeadHatzaotHok0">
    <w:name w:val="Head HatzaotHok תו"/>
    <w:link w:val="HeadHatzaotHok"/>
    <w:locked/>
    <w:rsid w:val="00E84B82"/>
    <w:rPr>
      <w:rFonts w:ascii="Arial" w:eastAsia="Arial Unicode MS" w:hAnsi="Arial" w:cs="David"/>
      <w:b/>
      <w:bCs/>
      <w:color w:val="000000"/>
      <w:sz w:val="20"/>
      <w:szCs w:val="26"/>
      <w:lang w:eastAsia="ja-JP"/>
    </w:rPr>
  </w:style>
  <w:style w:type="paragraph" w:styleId="a9">
    <w:name w:val="annotation text"/>
    <w:basedOn w:val="a"/>
    <w:link w:val="aa"/>
    <w:uiPriority w:val="99"/>
    <w:semiHidden/>
    <w:unhideWhenUsed/>
    <w:rsid w:val="00E84B82"/>
    <w:pPr>
      <w:widowControl w:val="0"/>
      <w:autoSpaceDE w:val="0"/>
      <w:autoSpaceDN w:val="0"/>
      <w:adjustRightInd w:val="0"/>
      <w:spacing w:before="102" w:after="0" w:line="240" w:lineRule="auto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customStyle="1" w:styleId="aa">
    <w:name w:val="טקסט הערה תו"/>
    <w:basedOn w:val="a0"/>
    <w:link w:val="a9"/>
    <w:uiPriority w:val="99"/>
    <w:semiHidden/>
    <w:rsid w:val="00E84B82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customStyle="1" w:styleId="default">
    <w:name w:val="default"/>
    <w:basedOn w:val="a0"/>
    <w:rsid w:val="00E84B82"/>
    <w:rPr>
      <w:rFonts w:ascii="Times New Roman" w:hAnsi="Times New Roman" w:cs="Times New Roman" w:hint="default"/>
      <w:sz w:val="20"/>
      <w:szCs w:val="26"/>
    </w:rPr>
  </w:style>
  <w:style w:type="paragraph" w:styleId="ab">
    <w:name w:val="List Paragraph"/>
    <w:basedOn w:val="a"/>
    <w:uiPriority w:val="34"/>
    <w:qFormat/>
    <w:rsid w:val="00E84B82"/>
    <w:pPr>
      <w:ind w:left="720"/>
      <w:contextualSpacing/>
    </w:pPr>
  </w:style>
  <w:style w:type="table" w:styleId="ac">
    <w:name w:val="Table Grid"/>
    <w:basedOn w:val="a1"/>
    <w:uiPriority w:val="39"/>
    <w:rsid w:val="00E84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0">
    <w:name w:val="P00"/>
    <w:link w:val="P000"/>
    <w:rsid w:val="00E84B82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character" w:customStyle="1" w:styleId="1">
    <w:name w:val="חזק1"/>
    <w:aliases w:val="F"/>
    <w:basedOn w:val="a0"/>
    <w:rsid w:val="00E84B82"/>
    <w:rPr>
      <w:rFonts w:cs="FrankRuehl" w:hint="cs"/>
      <w:b w:val="0"/>
      <w:bCs w:val="0"/>
    </w:rPr>
  </w:style>
  <w:style w:type="paragraph" w:customStyle="1" w:styleId="10">
    <w:name w:val="סגנון1"/>
    <w:basedOn w:val="a"/>
    <w:rsid w:val="00E84B82"/>
    <w:pPr>
      <w:overflowPunct w:val="0"/>
      <w:autoSpaceDE w:val="0"/>
      <w:autoSpaceDN w:val="0"/>
      <w:spacing w:after="0" w:line="360" w:lineRule="auto"/>
      <w:jc w:val="both"/>
    </w:pPr>
    <w:rPr>
      <w:rFonts w:ascii="Century" w:eastAsia="Times New Roman" w:hAnsi="Century" w:cs="Times New Roman"/>
      <w:spacing w:val="10"/>
    </w:rPr>
  </w:style>
  <w:style w:type="character" w:customStyle="1" w:styleId="P000">
    <w:name w:val="P00 תו"/>
    <w:link w:val="P00"/>
    <w:rsid w:val="004919C9"/>
    <w:rPr>
      <w:rFonts w:ascii="Times New Roman" w:eastAsia="Times New Roman" w:hAnsi="Times New Roman" w:cs="FrankRuehl"/>
      <w:noProof/>
      <w:sz w:val="20"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5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CF2752-3EE6-413E-9299-8235A43232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6D51A7-A639-4B83-88B2-A8DFEE3591C4}"/>
</file>

<file path=customXml/itemProps3.xml><?xml version="1.0" encoding="utf-8"?>
<ds:datastoreItem xmlns:ds="http://schemas.openxmlformats.org/officeDocument/2006/customXml" ds:itemID="{273B953A-3C9E-40B9-893E-C26A4870AF80}"/>
</file>

<file path=customXml/itemProps4.xml><?xml version="1.0" encoding="utf-8"?>
<ds:datastoreItem xmlns:ds="http://schemas.openxmlformats.org/officeDocument/2006/customXml" ds:itemID="{28E4F8DD-5DE5-4392-9123-6B2E262CF4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1</Pages>
  <Words>563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נועה ברודסקי לוי</dc:creator>
  <cp:keywords/>
  <dc:description/>
  <cp:lastModifiedBy>נועה ברודסקי לוי</cp:lastModifiedBy>
  <cp:revision>19</cp:revision>
  <cp:lastPrinted>2017-12-18T13:06:00Z</cp:lastPrinted>
  <dcterms:created xsi:type="dcterms:W3CDTF">2017-12-17T14:00:00Z</dcterms:created>
  <dcterms:modified xsi:type="dcterms:W3CDTF">2017-12-18T13:13:00Z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2024373</vt:r8>
  </property>
</Properties>
</file>