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E64" w:rsidRPr="00745E64" w:rsidRDefault="00745E64" w:rsidP="00745E64">
      <w:pPr>
        <w:jc w:val="right"/>
        <w:rPr>
          <w:rtl/>
        </w:rPr>
      </w:pPr>
      <w:bookmarkStart w:id="0" w:name="_GoBack"/>
      <w:bookmarkEnd w:id="0"/>
      <w:r w:rsidRPr="00745E64">
        <w:rPr>
          <w:rFonts w:hint="cs"/>
          <w:rtl/>
        </w:rPr>
        <w:t>30 במרץ 2014</w:t>
      </w:r>
    </w:p>
    <w:p w:rsidR="00745E64" w:rsidRDefault="00745E64" w:rsidP="00AF23B3">
      <w:pPr>
        <w:jc w:val="center"/>
        <w:rPr>
          <w:b/>
          <w:bCs/>
          <w:sz w:val="32"/>
          <w:szCs w:val="32"/>
          <w:rtl/>
        </w:rPr>
      </w:pPr>
    </w:p>
    <w:p w:rsidR="00F975CB" w:rsidRDefault="00AF23B3" w:rsidP="00AF23B3">
      <w:pPr>
        <w:jc w:val="center"/>
        <w:rPr>
          <w:b/>
          <w:bCs/>
          <w:sz w:val="32"/>
          <w:szCs w:val="32"/>
          <w:rtl/>
        </w:rPr>
      </w:pPr>
      <w:r w:rsidRPr="00745E64">
        <w:rPr>
          <w:rFonts w:hint="cs"/>
          <w:b/>
          <w:bCs/>
          <w:sz w:val="32"/>
          <w:szCs w:val="32"/>
          <w:rtl/>
        </w:rPr>
        <w:t>הצעות לשינויים בחוק לעידוד השקעות הון במסגרת ועדת אנדורן</w:t>
      </w:r>
    </w:p>
    <w:p w:rsidR="00951213" w:rsidRDefault="00951213" w:rsidP="00951213">
      <w:pPr>
        <w:rPr>
          <w:rtl/>
        </w:rPr>
      </w:pPr>
    </w:p>
    <w:p w:rsidR="00951213" w:rsidRDefault="00951213" w:rsidP="00A30011">
      <w:pPr>
        <w:rPr>
          <w:b/>
          <w:bCs/>
          <w:rtl/>
        </w:rPr>
      </w:pPr>
      <w:r w:rsidRPr="00951213">
        <w:rPr>
          <w:rFonts w:hint="cs"/>
          <w:b/>
          <w:bCs/>
          <w:rtl/>
        </w:rPr>
        <w:t xml:space="preserve">עיקרי הרעיונות </w:t>
      </w:r>
      <w:r w:rsidR="00A30011">
        <w:rPr>
          <w:rFonts w:hint="cs"/>
          <w:b/>
          <w:bCs/>
          <w:rtl/>
        </w:rPr>
        <w:t>וההצעות</w:t>
      </w:r>
    </w:p>
    <w:p w:rsidR="00A30011" w:rsidRDefault="00A30011" w:rsidP="00A30011">
      <w:pPr>
        <w:rPr>
          <w:b/>
          <w:bCs/>
          <w:rtl/>
        </w:rPr>
      </w:pPr>
    </w:p>
    <w:p w:rsidR="00A30011" w:rsidRDefault="00A30011" w:rsidP="00A30011">
      <w:pPr>
        <w:pStyle w:val="a7"/>
        <w:numPr>
          <w:ilvl w:val="0"/>
          <w:numId w:val="12"/>
        </w:numPr>
      </w:pPr>
      <w:r>
        <w:rPr>
          <w:rFonts w:hint="cs"/>
          <w:rtl/>
        </w:rPr>
        <w:t>הא</w:t>
      </w:r>
      <w:r w:rsidR="00951213">
        <w:rPr>
          <w:rFonts w:hint="cs"/>
          <w:rtl/>
        </w:rPr>
        <w:t>ם בכלל נדרש שינוי בחוק לעידוד השקעות הון</w:t>
      </w:r>
      <w:r>
        <w:rPr>
          <w:rFonts w:hint="cs"/>
          <w:rtl/>
        </w:rPr>
        <w:t>?</w:t>
      </w:r>
    </w:p>
    <w:p w:rsidR="00951213" w:rsidRDefault="00951213" w:rsidP="002818BF">
      <w:pPr>
        <w:ind w:left="1440"/>
        <w:rPr>
          <w:rtl/>
        </w:rPr>
      </w:pPr>
      <w:r>
        <w:rPr>
          <w:rFonts w:hint="cs"/>
          <w:rtl/>
        </w:rPr>
        <w:t>עצם העובדה שרק לפני כשלוש שנים התכנסה ועדה אשר ערכה שינויים מרחיקי לכת בחוק (תיקון 68), יש בה כדי ל</w:t>
      </w:r>
      <w:r w:rsidR="002818BF">
        <w:rPr>
          <w:rFonts w:hint="cs"/>
          <w:rtl/>
        </w:rPr>
        <w:t>עורר</w:t>
      </w:r>
      <w:r>
        <w:rPr>
          <w:rFonts w:hint="cs"/>
          <w:rtl/>
        </w:rPr>
        <w:t xml:space="preserve"> שאלה אם זוהי העת לערוך שינויים נוספים בחוק. </w:t>
      </w:r>
      <w:r w:rsidR="00A30011">
        <w:rPr>
          <w:rFonts w:hint="cs"/>
          <w:rtl/>
        </w:rPr>
        <w:t>זאת משני טעמים מרכזיים:</w:t>
      </w:r>
    </w:p>
    <w:p w:rsidR="00951213" w:rsidRDefault="00951213" w:rsidP="00951213">
      <w:pPr>
        <w:pStyle w:val="a7"/>
        <w:numPr>
          <w:ilvl w:val="0"/>
          <w:numId w:val="8"/>
        </w:numPr>
      </w:pPr>
      <w:r>
        <w:rPr>
          <w:rFonts w:hint="cs"/>
          <w:rtl/>
        </w:rPr>
        <w:t>תכיפות שינויים בחקיקה, בפרט של חוק הנוגע להשקעות של פירמות, יש בו כדי ליצור אי ודאות בקרב היזמים.</w:t>
      </w:r>
    </w:p>
    <w:p w:rsidR="00951213" w:rsidRDefault="006E02B8" w:rsidP="006F2EA0">
      <w:pPr>
        <w:pStyle w:val="a7"/>
        <w:numPr>
          <w:ilvl w:val="0"/>
          <w:numId w:val="8"/>
        </w:numPr>
      </w:pPr>
      <w:r>
        <w:rPr>
          <w:rFonts w:hint="cs"/>
          <w:rtl/>
        </w:rPr>
        <w:t xml:space="preserve">עדיין לא חלף </w:t>
      </w:r>
      <w:r w:rsidR="006F2EA0">
        <w:rPr>
          <w:rFonts w:hint="cs"/>
          <w:rtl/>
        </w:rPr>
        <w:t xml:space="preserve">די </w:t>
      </w:r>
      <w:r>
        <w:rPr>
          <w:rFonts w:hint="cs"/>
          <w:rtl/>
        </w:rPr>
        <w:t xml:space="preserve">זמן כדי לאמוד את השפעות תיקון 68, כאשר השפעות אלו עשויות לייתר שינויים נוספים הנשקלים כעת. יצוין כי תיקון 68 </w:t>
      </w:r>
      <w:r w:rsidR="002818BF">
        <w:rPr>
          <w:rFonts w:hint="cs"/>
          <w:rtl/>
        </w:rPr>
        <w:t>נכנס לתוקף רק החל מ</w:t>
      </w:r>
      <w:r w:rsidR="00951213">
        <w:rPr>
          <w:rFonts w:hint="cs"/>
          <w:rtl/>
        </w:rPr>
        <w:t xml:space="preserve">שנת 2011, </w:t>
      </w:r>
      <w:r w:rsidR="002D6F06">
        <w:rPr>
          <w:rFonts w:hint="cs"/>
          <w:rtl/>
        </w:rPr>
        <w:t xml:space="preserve">וגם זאת תחת הוראות מעבר המאפשרות לחברות הנהנות מהטבות במסלולי ההטבה ה"ישנים" למצות את ההטבה עד תום תקופת ההטבות. </w:t>
      </w:r>
      <w:r>
        <w:rPr>
          <w:rFonts w:hint="cs"/>
          <w:rtl/>
        </w:rPr>
        <w:t>בהקשר זה נציין כי</w:t>
      </w:r>
      <w:r w:rsidR="00A30011">
        <w:rPr>
          <w:rFonts w:hint="cs"/>
          <w:rtl/>
        </w:rPr>
        <w:t xml:space="preserve"> 37% בלבד מהחברות שהיו מוטבות ב</w:t>
      </w:r>
      <w:r w:rsidR="00A30011">
        <w:rPr>
          <w:rtl/>
        </w:rPr>
        <w:noBreakHyphen/>
      </w:r>
      <w:r>
        <w:rPr>
          <w:rFonts w:hint="cs"/>
          <w:rtl/>
        </w:rPr>
        <w:t>2010 עברו לאלתר (דהיינו, כבר ב-2011) למסלולי ההטבה החדשים במסגרת תיקון 68. במונחים כספיים של הטבות המס שיעור המעבר לחוק החדש אף נמוך יותר: כ-12% בלבד מההטבות שניתנו בשנת 2011, לחברות שהיו מוטבות גם ב-2010, היו במסגרת שיעורי המס החדשים בתיקון 68. נתון זה כשלעצמו יש בו כדי להעיד שהחברות המוטבות הגדולות נהנו משיעורי מס אפקטיביים הנמוכים מ</w:t>
      </w:r>
      <w:r w:rsidR="008928E1">
        <w:rPr>
          <w:rFonts w:hint="cs"/>
          <w:rtl/>
        </w:rPr>
        <w:t>שיעורי המס החדשים שנקבעו בתיקון</w:t>
      </w:r>
      <w:r w:rsidR="008928E1">
        <w:rPr>
          <w:rFonts w:hint="eastAsia"/>
          <w:rtl/>
        </w:rPr>
        <w:t> </w:t>
      </w:r>
      <w:r>
        <w:rPr>
          <w:rFonts w:hint="cs"/>
          <w:rtl/>
        </w:rPr>
        <w:t>68.</w:t>
      </w:r>
    </w:p>
    <w:p w:rsidR="000B04AB" w:rsidRDefault="0026342A" w:rsidP="0086030E">
      <w:pPr>
        <w:ind w:left="1080"/>
        <w:rPr>
          <w:rtl/>
        </w:rPr>
      </w:pPr>
      <w:r>
        <w:rPr>
          <w:rFonts w:hint="cs"/>
          <w:rtl/>
        </w:rPr>
        <w:t xml:space="preserve">חרף שני הטיעונים לעיל יש לזכור </w:t>
      </w:r>
      <w:r w:rsidR="000B04AB">
        <w:rPr>
          <w:rFonts w:hint="cs"/>
          <w:rtl/>
        </w:rPr>
        <w:t xml:space="preserve">כי הרקע להקמת ועדת אנדורן היה דוח ביקורת נוקב של מבקר המדינה </w:t>
      </w:r>
      <w:r>
        <w:rPr>
          <w:rFonts w:hint="cs"/>
          <w:rtl/>
        </w:rPr>
        <w:t xml:space="preserve">מאוקטובר 2013 </w:t>
      </w:r>
      <w:r w:rsidR="000B04AB">
        <w:rPr>
          <w:rFonts w:hint="cs"/>
          <w:rtl/>
        </w:rPr>
        <w:t xml:space="preserve">ביחס </w:t>
      </w:r>
      <w:r w:rsidR="00AA7C2E">
        <w:rPr>
          <w:rFonts w:hint="cs"/>
          <w:rtl/>
        </w:rPr>
        <w:t>להטבות המס מכח החוק לעידוד השקעות הון, בכלל זה, הגידול החד בהיקפן עם הסרת המגבלה התקציבית (במסגרת תיקון 60).</w:t>
      </w:r>
      <w:r w:rsidR="003A307B">
        <w:rPr>
          <w:rFonts w:hint="cs"/>
          <w:rtl/>
        </w:rPr>
        <w:t xml:space="preserve"> בנוסף, חרף השינויים המהותיים שנעשו במסגרת תיקון 68, גם עם יישומו המלא של חוק זה (בתום תקופת המעבר), לא תיפתר אחת הבעיות המרכזיות של החוק </w:t>
      </w:r>
      <w:r w:rsidR="003A307B">
        <w:rPr>
          <w:rtl/>
        </w:rPr>
        <w:t>–</w:t>
      </w:r>
      <w:r w:rsidR="003A307B">
        <w:rPr>
          <w:rFonts w:hint="cs"/>
          <w:rtl/>
        </w:rPr>
        <w:t xml:space="preserve"> הריכוזיות הגבוהה של ההטבות, והעובדה שדווקא חברה </w:t>
      </w:r>
      <w:r w:rsidR="0086030E">
        <w:rPr>
          <w:rFonts w:hint="cs"/>
          <w:rtl/>
        </w:rPr>
        <w:t xml:space="preserve">הנמנית על החברות המוטבות הגדולות ביותר </w:t>
      </w:r>
      <w:r w:rsidR="003A307B">
        <w:rPr>
          <w:rFonts w:hint="cs"/>
          <w:rtl/>
        </w:rPr>
        <w:t>מניבה את ה"החזר" הנמוך ביותר במונחים של תקבולי מס</w:t>
      </w:r>
      <w:r w:rsidR="00970487">
        <w:rPr>
          <w:rFonts w:hint="cs"/>
          <w:rtl/>
        </w:rPr>
        <w:t xml:space="preserve"> (מס חברות+ניכויים משכר העובדים)</w:t>
      </w:r>
      <w:r w:rsidR="003A307B">
        <w:rPr>
          <w:rFonts w:hint="cs"/>
          <w:rtl/>
        </w:rPr>
        <w:t xml:space="preserve"> ביחס להטבות. </w:t>
      </w:r>
    </w:p>
    <w:p w:rsidR="00A30011" w:rsidRDefault="00A30011" w:rsidP="00A30011">
      <w:pPr>
        <w:ind w:left="1080"/>
        <w:rPr>
          <w:rtl/>
        </w:rPr>
      </w:pPr>
    </w:p>
    <w:p w:rsidR="00970487" w:rsidRDefault="00011907" w:rsidP="00B71D37">
      <w:pPr>
        <w:pStyle w:val="a7"/>
        <w:numPr>
          <w:ilvl w:val="0"/>
          <w:numId w:val="11"/>
        </w:numPr>
      </w:pPr>
      <w:r>
        <w:rPr>
          <w:rFonts w:hint="cs"/>
          <w:rtl/>
        </w:rPr>
        <w:lastRenderedPageBreak/>
        <w:t>האם בכלל יש מקום לתמריצי מס לשם עידוד השקעות</w:t>
      </w:r>
      <w:r w:rsidR="00A30011">
        <w:rPr>
          <w:rFonts w:hint="cs"/>
          <w:rtl/>
        </w:rPr>
        <w:t>?</w:t>
      </w:r>
      <w:r>
        <w:rPr>
          <w:rFonts w:hint="cs"/>
          <w:rtl/>
        </w:rPr>
        <w:t xml:space="preserve"> הועלתה הטענה לפיה ישראל אינה יכולה להישאר מחוץ ל"תחרות המס" המתנהלת בין מדינות על משיכת השקעות. </w:t>
      </w:r>
      <w:r w:rsidR="00B97234">
        <w:rPr>
          <w:rFonts w:hint="cs"/>
          <w:rtl/>
        </w:rPr>
        <w:t>יש לציין כי "תחרות" זו מתקיימת אף כי בהתבסס על נתוני מדינות ה-</w:t>
      </w:r>
      <w:r w:rsidR="00B97234">
        <w:t>OECD</w:t>
      </w:r>
      <w:r w:rsidR="00B97234">
        <w:rPr>
          <w:rFonts w:hint="cs"/>
          <w:rtl/>
        </w:rPr>
        <w:t xml:space="preserve">, לא </w:t>
      </w:r>
      <w:r w:rsidR="00A30011">
        <w:rPr>
          <w:rFonts w:hint="cs"/>
          <w:rtl/>
        </w:rPr>
        <w:t xml:space="preserve">מצאנו </w:t>
      </w:r>
      <w:r w:rsidR="00B97234">
        <w:rPr>
          <w:rFonts w:hint="cs"/>
          <w:rtl/>
        </w:rPr>
        <w:t>עדות אמפירית לכך שמדיניות של הטבות מס לחברות תומכת בצמיחה</w:t>
      </w:r>
      <w:r w:rsidR="0028569B">
        <w:rPr>
          <w:rFonts w:hint="cs"/>
          <w:rtl/>
        </w:rPr>
        <w:t xml:space="preserve"> (ראה נספח</w:t>
      </w:r>
      <w:r w:rsidR="0028569B">
        <w:rPr>
          <w:rFonts w:hint="eastAsia"/>
          <w:rtl/>
        </w:rPr>
        <w:t> </w:t>
      </w:r>
      <w:r w:rsidR="00A30011">
        <w:rPr>
          <w:rFonts w:hint="cs"/>
          <w:rtl/>
        </w:rPr>
        <w:t>א').</w:t>
      </w:r>
      <w:r w:rsidR="00B97234">
        <w:rPr>
          <w:rFonts w:hint="cs"/>
          <w:rtl/>
        </w:rPr>
        <w:t xml:space="preserve"> בנוסף, גם </w:t>
      </w:r>
      <w:r>
        <w:rPr>
          <w:rFonts w:hint="cs"/>
          <w:rtl/>
        </w:rPr>
        <w:t xml:space="preserve">מחקרים </w:t>
      </w:r>
      <w:r w:rsidR="007D1020">
        <w:rPr>
          <w:rFonts w:hint="cs"/>
          <w:rtl/>
        </w:rPr>
        <w:t xml:space="preserve">שנערכו בישראל </w:t>
      </w:r>
      <w:r>
        <w:rPr>
          <w:rFonts w:hint="cs"/>
          <w:rtl/>
        </w:rPr>
        <w:t xml:space="preserve">לא מצאו עדות לכך שתמריצי המס משיגים את מטרות החוק, אולם </w:t>
      </w:r>
      <w:r w:rsidR="00B97234">
        <w:rPr>
          <w:rFonts w:hint="cs"/>
          <w:rtl/>
        </w:rPr>
        <w:t xml:space="preserve">יש לציין כי </w:t>
      </w:r>
      <w:r w:rsidR="00B74D05">
        <w:rPr>
          <w:rFonts w:hint="cs"/>
          <w:rtl/>
        </w:rPr>
        <w:t xml:space="preserve">מחקרים אלו התמקדו ברובם במסלול המענקים, כאשר לגבי מסלול הטבות המס המחקר העדכני ביותר שנעשה מתייחס לשנות התשעים. </w:t>
      </w:r>
      <w:r w:rsidR="00677A13">
        <w:rPr>
          <w:rFonts w:hint="cs"/>
          <w:rtl/>
        </w:rPr>
        <w:t>כמו</w:t>
      </w:r>
      <w:r w:rsidR="00A30011">
        <w:rPr>
          <w:rFonts w:hint="cs"/>
          <w:rtl/>
        </w:rPr>
        <w:t xml:space="preserve"> </w:t>
      </w:r>
      <w:r w:rsidR="00677A13">
        <w:rPr>
          <w:rFonts w:hint="cs"/>
          <w:rtl/>
        </w:rPr>
        <w:t xml:space="preserve">כן, קיים קושי לאמוד את ההשפעות החיצוניות של חברות רב לאומיות, בהיבטים של חדשנות, ניהול וכדומה. </w:t>
      </w:r>
    </w:p>
    <w:p w:rsidR="00412BAD" w:rsidRDefault="00412BAD" w:rsidP="00412BAD">
      <w:pPr>
        <w:pStyle w:val="a7"/>
      </w:pPr>
    </w:p>
    <w:p w:rsidR="00412BAD" w:rsidRDefault="00412BAD" w:rsidP="00412BAD">
      <w:pPr>
        <w:pStyle w:val="a7"/>
        <w:numPr>
          <w:ilvl w:val="0"/>
          <w:numId w:val="11"/>
        </w:numPr>
      </w:pPr>
      <w:r>
        <w:rPr>
          <w:rFonts w:hint="cs"/>
          <w:rtl/>
        </w:rPr>
        <w:t>קיימת דעה שבהינתן תנאי הרקע המקרו-כלכליים  השוררים בישראל בתקופה האחרונה (עודף מתמשך במאזן התשלומים ושיעור אבטלה נמוך) החוק במתכונתו הנוכחית די מיותר. זאת, מכיוון שהגברת היצוא והתעסוקה היא בלתי אפשרית ברמה המקרו-כלכלית (עובדים שאינם מועסקים בחברה אחת ממילא היו יכולים להיות מועסקים בחברה אחרת, יצוא מוגבר של חברה אחת גורם להתחזקות שער החליפין הריאלי של השקל ופוגע ביצוא של חברות אחרות).</w:t>
      </w:r>
    </w:p>
    <w:p w:rsidR="00412BAD" w:rsidRDefault="00412BAD" w:rsidP="00412BAD">
      <w:pPr>
        <w:pStyle w:val="a7"/>
        <w:rPr>
          <w:rtl/>
        </w:rPr>
      </w:pPr>
    </w:p>
    <w:p w:rsidR="00412BAD" w:rsidRDefault="00412BAD" w:rsidP="00412BAD">
      <w:pPr>
        <w:pStyle w:val="a7"/>
        <w:numPr>
          <w:ilvl w:val="0"/>
          <w:numId w:val="11"/>
        </w:numPr>
      </w:pPr>
      <w:r>
        <w:rPr>
          <w:rFonts w:hint="cs"/>
          <w:rtl/>
        </w:rPr>
        <w:t>גם ההעדפה הקיימת כיום בחוק לענפים מסומים (תעשייה, תוכנה) לא לגמרי מובנת. יתכן שהעדפה לענפים אלה תומכת בהתמחות המשק בתחומים שיש בהם השפעות חיצוניות חיוביות (למשל חדשנות הזולגת לחברות נוספות במשק או מכפילי תעסוקה גבוהים יותר מאשר מענפי השירותים.  אולם, אין עדויות אמפיריות משכנעות לכך. יתירה מזאת, קיימת גם דעה הפוכה לפיה עידוד סקטורים מסוימים מביא להקצאת מקורות לא יעילה במשק ולפגיעה בצמיחה וברווחה החברתית.</w:t>
      </w:r>
    </w:p>
    <w:p w:rsidR="00412BAD" w:rsidRDefault="00412BAD" w:rsidP="00412BAD">
      <w:pPr>
        <w:pStyle w:val="a7"/>
        <w:rPr>
          <w:rtl/>
        </w:rPr>
      </w:pPr>
    </w:p>
    <w:p w:rsidR="00412BAD" w:rsidRDefault="00412BAD" w:rsidP="00412BAD">
      <w:pPr>
        <w:pStyle w:val="a7"/>
        <w:numPr>
          <w:ilvl w:val="0"/>
          <w:numId w:val="11"/>
        </w:numPr>
      </w:pPr>
      <w:r>
        <w:rPr>
          <w:rFonts w:hint="cs"/>
          <w:rtl/>
        </w:rPr>
        <w:t>כדאי גם לזכור שכל הטבת מס באה על חשבון הציבור, שצריך לממן אותה על ידי שיעורי מס גבוהים יותר על עבודה, רווחים וצריכה או על ידי פגיעה בשירותי הממשלה ובתשלומי הרווחה הניתנים לו. לא מספיק להצביע על התועלת של הטבת מס כזו או אחרת, אלא גם להשוות תועלת זו לעלות החברתית הנובעת מהצורך לממן אותה.</w:t>
      </w:r>
    </w:p>
    <w:p w:rsidR="00412BAD" w:rsidRDefault="00412BAD" w:rsidP="00412BAD">
      <w:pPr>
        <w:pStyle w:val="a7"/>
        <w:rPr>
          <w:rtl/>
        </w:rPr>
      </w:pPr>
    </w:p>
    <w:p w:rsidR="007D0FCF" w:rsidRDefault="00412BAD" w:rsidP="007D0FCF">
      <w:pPr>
        <w:pStyle w:val="a7"/>
        <w:numPr>
          <w:ilvl w:val="0"/>
          <w:numId w:val="11"/>
        </w:numPr>
      </w:pPr>
      <w:r>
        <w:rPr>
          <w:rFonts w:hint="cs"/>
          <w:rtl/>
        </w:rPr>
        <w:t>עלות נוספת של הטבת המס בחוק עידוד השקעות הון נובעת מחוסר השקיפות של חלק מהמרכיבים שלה. מרכיב אחד של ההטבה (ההטבה במס חברות) מכומת על יד מינהל הכנסות המדינה תחת הנחות שונות ומדווח לציבור אך מרכיבים אחרים (ההטבה במס דיבידנדים וההטבה בפחת מואץ) אינם שקופים ואינם מכומתים.</w:t>
      </w:r>
    </w:p>
    <w:p w:rsidR="00A30011" w:rsidRPr="00412BAD" w:rsidRDefault="00A30011" w:rsidP="00A30011">
      <w:pPr>
        <w:pStyle w:val="a7"/>
      </w:pPr>
    </w:p>
    <w:p w:rsidR="008E575A" w:rsidRDefault="00643A09" w:rsidP="002818BF">
      <w:pPr>
        <w:pStyle w:val="a7"/>
        <w:numPr>
          <w:ilvl w:val="0"/>
          <w:numId w:val="11"/>
        </w:numPr>
      </w:pPr>
      <w:r>
        <w:rPr>
          <w:rFonts w:hint="cs"/>
          <w:rtl/>
        </w:rPr>
        <w:lastRenderedPageBreak/>
        <w:t xml:space="preserve">בהנחה שביטול מוחלט של הטבות המס בחוק לעידוד השקעות הון אינו מעשי ואולי אף אינו רצוי, יש מקום </w:t>
      </w:r>
      <w:r w:rsidR="006F2EA0">
        <w:rPr>
          <w:rFonts w:hint="cs"/>
          <w:rtl/>
        </w:rPr>
        <w:t xml:space="preserve">בין היתר </w:t>
      </w:r>
      <w:r>
        <w:rPr>
          <w:rFonts w:hint="cs"/>
          <w:rtl/>
        </w:rPr>
        <w:t xml:space="preserve">לבחון באיזו מידה הטבות המס כאחוז מהתוצר גבוהות אצלנו ביחס לעולם. </w:t>
      </w:r>
      <w:r w:rsidR="00616E5D">
        <w:rPr>
          <w:rFonts w:hint="cs"/>
          <w:rtl/>
        </w:rPr>
        <w:t>השוואה מסוג זה הינה בעייתית</w:t>
      </w:r>
      <w:r w:rsidR="005E54BD">
        <w:rPr>
          <w:rFonts w:hint="cs"/>
          <w:rtl/>
        </w:rPr>
        <w:t xml:space="preserve">, הן בשל העובדה שהטבת המס הינה נגזרת של שיעור מס החברות הסטנדרטי, והן בשל היעדר אחידות בהגדרת ההטבות. </w:t>
      </w:r>
      <w:r w:rsidR="005B07A1">
        <w:rPr>
          <w:rFonts w:hint="cs"/>
          <w:rtl/>
        </w:rPr>
        <w:t>תחת הסתייגויות אלו נמצא כי שיעור ההטבות בישראל כאחוז מהתוצר גבוה משמעותית ביחס למדינות</w:t>
      </w:r>
      <w:r w:rsidR="008E575A">
        <w:rPr>
          <w:rFonts w:hint="cs"/>
          <w:rtl/>
        </w:rPr>
        <w:t xml:space="preserve"> ה-</w:t>
      </w:r>
      <w:r w:rsidR="008E575A">
        <w:t>OECD</w:t>
      </w:r>
      <w:r w:rsidR="005B07A1">
        <w:rPr>
          <w:rFonts w:hint="cs"/>
          <w:rtl/>
        </w:rPr>
        <w:t xml:space="preserve"> (0.</w:t>
      </w:r>
      <w:r w:rsidR="00C740D4">
        <w:rPr>
          <w:rFonts w:hint="cs"/>
          <w:rtl/>
        </w:rPr>
        <w:t>8</w:t>
      </w:r>
      <w:r w:rsidR="005B07A1">
        <w:rPr>
          <w:rFonts w:hint="cs"/>
          <w:rtl/>
        </w:rPr>
        <w:t>% לעומת שיעורים שנעים בין 0.03%-0.29%</w:t>
      </w:r>
      <w:r w:rsidR="008E575A">
        <w:rPr>
          <w:rFonts w:hint="cs"/>
          <w:rtl/>
        </w:rPr>
        <w:t>, בהתאמה</w:t>
      </w:r>
      <w:r w:rsidR="005B07A1">
        <w:rPr>
          <w:rFonts w:hint="cs"/>
          <w:rtl/>
        </w:rPr>
        <w:t>)</w:t>
      </w:r>
      <w:r w:rsidR="008E575A">
        <w:rPr>
          <w:rFonts w:hint="cs"/>
          <w:rtl/>
        </w:rPr>
        <w:t xml:space="preserve">. </w:t>
      </w:r>
      <w:r w:rsidR="00C740D4">
        <w:rPr>
          <w:rFonts w:hint="cs"/>
          <w:rtl/>
        </w:rPr>
        <w:t xml:space="preserve">זאת כאשר בישראל </w:t>
      </w:r>
      <w:r w:rsidR="003448FB">
        <w:rPr>
          <w:rFonts w:hint="cs"/>
          <w:rtl/>
        </w:rPr>
        <w:t xml:space="preserve">השיעור המחושב </w:t>
      </w:r>
      <w:r w:rsidR="00C740D4">
        <w:rPr>
          <w:rFonts w:hint="cs"/>
          <w:rtl/>
        </w:rPr>
        <w:t xml:space="preserve">מוטה כלפי מטה, שכן אינו כולל הטבות הניתנות במסגרת המדען הראשי </w:t>
      </w:r>
      <w:r w:rsidR="00A30011">
        <w:rPr>
          <w:rFonts w:hint="cs"/>
          <w:rtl/>
        </w:rPr>
        <w:t xml:space="preserve">לפעילות מו"פ </w:t>
      </w:r>
      <w:r w:rsidR="003D78EB">
        <w:rPr>
          <w:rFonts w:hint="cs"/>
          <w:rtl/>
        </w:rPr>
        <w:t xml:space="preserve">עסקי </w:t>
      </w:r>
      <w:r w:rsidR="00C740D4">
        <w:rPr>
          <w:rFonts w:hint="cs"/>
          <w:rtl/>
        </w:rPr>
        <w:t>(ה</w:t>
      </w:r>
      <w:r w:rsidR="00A30011">
        <w:rPr>
          <w:rFonts w:hint="cs"/>
          <w:rtl/>
        </w:rPr>
        <w:t xml:space="preserve">טבה הניתנת בגין הוצאות) ומנגד הוא מוטה כלפי מעלה, שכן במדינות אחרות קיימת הטבה נסתרת </w:t>
      </w:r>
      <w:r w:rsidR="00645E25">
        <w:rPr>
          <w:rFonts w:hint="cs"/>
          <w:rtl/>
        </w:rPr>
        <w:t xml:space="preserve">ולא שקופה </w:t>
      </w:r>
      <w:r w:rsidR="00A30011">
        <w:rPr>
          <w:rFonts w:hint="cs"/>
          <w:rtl/>
        </w:rPr>
        <w:t xml:space="preserve">הפועלת לא דרך הפרשי </w:t>
      </w:r>
      <w:r w:rsidR="00645E25">
        <w:rPr>
          <w:rFonts w:hint="cs"/>
          <w:rtl/>
        </w:rPr>
        <w:t xml:space="preserve">שיעורי המס, אלא </w:t>
      </w:r>
      <w:r w:rsidR="002818BF">
        <w:rPr>
          <w:rFonts w:hint="cs"/>
          <w:rtl/>
        </w:rPr>
        <w:t>ב</w:t>
      </w:r>
      <w:r w:rsidR="00645E25">
        <w:rPr>
          <w:rFonts w:hint="cs"/>
          <w:rtl/>
        </w:rPr>
        <w:t>דר</w:t>
      </w:r>
      <w:r w:rsidR="002818BF">
        <w:rPr>
          <w:rFonts w:hint="cs"/>
          <w:rtl/>
        </w:rPr>
        <w:t>כים אחרות, כגון אפשור תכנוני מס דרך מ</w:t>
      </w:r>
      <w:r w:rsidR="00645E25">
        <w:rPr>
          <w:rFonts w:hint="cs"/>
          <w:rtl/>
        </w:rPr>
        <w:t xml:space="preserve">חירי ההעברה </w:t>
      </w:r>
      <w:r w:rsidR="00A30011">
        <w:rPr>
          <w:rFonts w:hint="cs"/>
          <w:rtl/>
        </w:rPr>
        <w:t xml:space="preserve">(אירלנד היא דוגמה מובהקת </w:t>
      </w:r>
      <w:r w:rsidR="00645E25">
        <w:rPr>
          <w:rFonts w:hint="cs"/>
          <w:rtl/>
        </w:rPr>
        <w:t>לכך).</w:t>
      </w:r>
    </w:p>
    <w:p w:rsidR="00645E25" w:rsidRDefault="00645E25" w:rsidP="00645E25">
      <w:pPr>
        <w:pStyle w:val="a7"/>
        <w:rPr>
          <w:rtl/>
        </w:rPr>
      </w:pPr>
    </w:p>
    <w:p w:rsidR="00645E25" w:rsidRDefault="008E575A" w:rsidP="0013584C">
      <w:pPr>
        <w:pStyle w:val="a7"/>
        <w:numPr>
          <w:ilvl w:val="0"/>
          <w:numId w:val="11"/>
        </w:numPr>
        <w:rPr>
          <w:rtl/>
        </w:rPr>
      </w:pPr>
      <w:r>
        <w:rPr>
          <w:rFonts w:hint="cs"/>
          <w:rtl/>
        </w:rPr>
        <w:t xml:space="preserve">בנוסף לאמור בסעיף </w:t>
      </w:r>
      <w:r w:rsidR="00645E25">
        <w:rPr>
          <w:rFonts w:hint="cs"/>
          <w:rtl/>
        </w:rPr>
        <w:t>הקודם</w:t>
      </w:r>
      <w:r>
        <w:rPr>
          <w:rFonts w:hint="cs"/>
          <w:rtl/>
        </w:rPr>
        <w:t xml:space="preserve">, יש לציין כי </w:t>
      </w:r>
      <w:r w:rsidR="007C226E">
        <w:rPr>
          <w:rFonts w:hint="cs"/>
          <w:rtl/>
        </w:rPr>
        <w:t xml:space="preserve">טרם כניסתו לתוקף של תיקון 60, היה שיעור ההטבות ביחס לתוצר נמוך משמעותית מזה שבשנים האחרונות. כך למשל, בשנת 2003 עמד שיעור זה על </w:t>
      </w:r>
      <w:r>
        <w:rPr>
          <w:rFonts w:hint="cs"/>
          <w:rtl/>
        </w:rPr>
        <w:t xml:space="preserve">0.4 </w:t>
      </w:r>
      <w:r w:rsidR="00645E25">
        <w:rPr>
          <w:rFonts w:hint="cs"/>
          <w:rtl/>
        </w:rPr>
        <w:t xml:space="preserve">אחוז </w:t>
      </w:r>
      <w:r>
        <w:rPr>
          <w:rFonts w:hint="cs"/>
          <w:rtl/>
        </w:rPr>
        <w:t>תוצר בלבד. הגידול בהטבות המס התרכז</w:t>
      </w:r>
      <w:r w:rsidR="00253C71">
        <w:rPr>
          <w:rFonts w:hint="cs"/>
          <w:rtl/>
        </w:rPr>
        <w:t xml:space="preserve"> במידה רבה </w:t>
      </w:r>
      <w:r>
        <w:rPr>
          <w:rFonts w:hint="cs"/>
          <w:rtl/>
        </w:rPr>
        <w:t xml:space="preserve">אצל חברה בודדת, </w:t>
      </w:r>
      <w:r w:rsidR="00253C71">
        <w:rPr>
          <w:rFonts w:hint="cs"/>
          <w:rtl/>
        </w:rPr>
        <w:t xml:space="preserve">בגין הסרת המגבלה התקציבית במסגרת תיקון 60 (בניכוי חברה זו היה עומד שיעור ההטבות </w:t>
      </w:r>
      <w:r w:rsidR="00645E25">
        <w:rPr>
          <w:rFonts w:hint="cs"/>
          <w:rtl/>
        </w:rPr>
        <w:t>על 0.5 אחוז תוצר</w:t>
      </w:r>
      <w:r w:rsidR="00253C71">
        <w:rPr>
          <w:rFonts w:hint="cs"/>
          <w:rtl/>
        </w:rPr>
        <w:t xml:space="preserve">). הגידול בהטבות המס של חברה זו לא היה פרופורציונלי לגידול בהיקף התעסוקה או הוצאות השכר של החברה. </w:t>
      </w:r>
    </w:p>
    <w:p w:rsidR="007D0FCF" w:rsidRDefault="002A6935" w:rsidP="00887E67">
      <w:pPr>
        <w:pStyle w:val="a7"/>
        <w:numPr>
          <w:ilvl w:val="0"/>
          <w:numId w:val="11"/>
        </w:numPr>
      </w:pPr>
      <w:r>
        <w:rPr>
          <w:rFonts w:hint="cs"/>
          <w:rtl/>
        </w:rPr>
        <w:t xml:space="preserve">לאור הממצאים בסעיף </w:t>
      </w:r>
      <w:r w:rsidR="00645E25" w:rsidRPr="008928E1">
        <w:rPr>
          <w:rFonts w:hint="cs"/>
          <w:rtl/>
        </w:rPr>
        <w:t>הקודם</w:t>
      </w:r>
      <w:r w:rsidRPr="008928E1">
        <w:rPr>
          <w:rFonts w:hint="cs"/>
          <w:rtl/>
        </w:rPr>
        <w:t xml:space="preserve">, </w:t>
      </w:r>
      <w:r w:rsidR="008928E1">
        <w:rPr>
          <w:rFonts w:hint="cs"/>
          <w:rtl/>
        </w:rPr>
        <w:t>אנחנו מ</w:t>
      </w:r>
      <w:r w:rsidRPr="008928E1">
        <w:rPr>
          <w:rFonts w:hint="cs"/>
          <w:rtl/>
        </w:rPr>
        <w:t>צ</w:t>
      </w:r>
      <w:r w:rsidR="008928E1">
        <w:rPr>
          <w:rFonts w:hint="cs"/>
          <w:rtl/>
        </w:rPr>
        <w:t>יעים</w:t>
      </w:r>
      <w:r w:rsidRPr="008928E1">
        <w:rPr>
          <w:rFonts w:hint="cs"/>
          <w:rtl/>
        </w:rPr>
        <w:t xml:space="preserve"> לקבוע תקרה להטבות המס, אשר תהא תלויה </w:t>
      </w:r>
      <w:r w:rsidR="00FB644F">
        <w:rPr>
          <w:rFonts w:hint="cs"/>
          <w:rtl/>
        </w:rPr>
        <w:t>בסך ה</w:t>
      </w:r>
      <w:r w:rsidR="002874F3">
        <w:rPr>
          <w:rFonts w:hint="cs"/>
          <w:rtl/>
        </w:rPr>
        <w:t xml:space="preserve">שכר ברוטו של עובדי החברה (או </w:t>
      </w:r>
      <w:r w:rsidRPr="008928E1">
        <w:rPr>
          <w:rFonts w:hint="cs"/>
          <w:rtl/>
        </w:rPr>
        <w:t>ב</w:t>
      </w:r>
      <w:r w:rsidR="00412BAD">
        <w:rPr>
          <w:rFonts w:hint="cs"/>
          <w:rtl/>
        </w:rPr>
        <w:t xml:space="preserve">סך </w:t>
      </w:r>
      <w:r w:rsidRPr="008928E1">
        <w:rPr>
          <w:rFonts w:hint="cs"/>
          <w:rtl/>
        </w:rPr>
        <w:t>הוצאות השכר של החברה</w:t>
      </w:r>
      <w:r w:rsidR="002874F3">
        <w:rPr>
          <w:rFonts w:hint="cs"/>
          <w:rtl/>
        </w:rPr>
        <w:t>)</w:t>
      </w:r>
      <w:r w:rsidRPr="008928E1">
        <w:rPr>
          <w:rFonts w:hint="cs"/>
          <w:rtl/>
        </w:rPr>
        <w:t>.</w:t>
      </w:r>
      <w:r w:rsidR="005815B8" w:rsidRPr="008928E1">
        <w:rPr>
          <w:rFonts w:hint="cs"/>
          <w:rtl/>
        </w:rPr>
        <w:t xml:space="preserve"> </w:t>
      </w:r>
      <w:r w:rsidR="008928E1">
        <w:rPr>
          <w:rFonts w:hint="cs"/>
          <w:rtl/>
        </w:rPr>
        <w:t>במסגרת בחינת הרף הרצוי להטבות המס נבחנו מספר סימולציות, ביחסים שונים של סך הטבה לסך הוצאות שכר</w:t>
      </w:r>
      <w:r w:rsidR="00887E67">
        <w:rPr>
          <w:rFonts w:hint="cs"/>
          <w:rtl/>
        </w:rPr>
        <w:t>.</w:t>
      </w:r>
      <w:r w:rsidR="008928E1">
        <w:rPr>
          <w:rFonts w:hint="cs"/>
          <w:rtl/>
        </w:rPr>
        <w:t xml:space="preserve"> </w:t>
      </w:r>
      <w:r w:rsidR="0082623D">
        <w:rPr>
          <w:rFonts w:hint="cs"/>
          <w:rtl/>
        </w:rPr>
        <w:t xml:space="preserve">במידה והטבת המס הנגזרת </w:t>
      </w:r>
      <w:r w:rsidR="00412BAD">
        <w:rPr>
          <w:rFonts w:hint="cs"/>
          <w:rtl/>
        </w:rPr>
        <w:t xml:space="preserve">(הפער בין </w:t>
      </w:r>
      <w:r w:rsidR="007D0FCF">
        <w:rPr>
          <w:rFonts w:hint="cs"/>
          <w:rtl/>
        </w:rPr>
        <w:t xml:space="preserve">חבות המס של החברה לחבות המס אילו לא היו הטבות במס החברות) </w:t>
      </w:r>
      <w:r w:rsidR="0082623D">
        <w:rPr>
          <w:rFonts w:hint="cs"/>
          <w:rtl/>
        </w:rPr>
        <w:t xml:space="preserve">תהיה גבוהה </w:t>
      </w:r>
      <w:r w:rsidR="008928E1">
        <w:rPr>
          <w:rFonts w:hint="cs"/>
          <w:rtl/>
        </w:rPr>
        <w:t xml:space="preserve">מסך </w:t>
      </w:r>
      <w:r w:rsidR="00FF3928">
        <w:rPr>
          <w:rFonts w:hint="cs"/>
          <w:rtl/>
        </w:rPr>
        <w:t xml:space="preserve">השכר </w:t>
      </w:r>
      <w:r w:rsidR="008928E1">
        <w:rPr>
          <w:rFonts w:hint="cs"/>
          <w:rtl/>
        </w:rPr>
        <w:t xml:space="preserve">ברוטו </w:t>
      </w:r>
      <w:r w:rsidR="0082623D">
        <w:rPr>
          <w:rFonts w:hint="cs"/>
          <w:rtl/>
        </w:rPr>
        <w:t xml:space="preserve">של </w:t>
      </w:r>
      <w:r w:rsidR="008928E1">
        <w:rPr>
          <w:rFonts w:hint="cs"/>
          <w:rtl/>
        </w:rPr>
        <w:t xml:space="preserve">עובדי </w:t>
      </w:r>
      <w:r w:rsidR="0082623D">
        <w:rPr>
          <w:rFonts w:hint="cs"/>
          <w:rtl/>
        </w:rPr>
        <w:t xml:space="preserve">החברה, יוגבלו ההטבות לגובה </w:t>
      </w:r>
      <w:r w:rsidR="008928E1">
        <w:rPr>
          <w:rFonts w:hint="cs"/>
          <w:rtl/>
        </w:rPr>
        <w:t>סך השכר ברוטו</w:t>
      </w:r>
      <w:r w:rsidR="0082623D">
        <w:rPr>
          <w:rFonts w:hint="cs"/>
          <w:rtl/>
        </w:rPr>
        <w:t>. על מנת למנוע "ניפוח" ההטבות ע"י קביעת רמות שכר חריגות למי מהעובדים בחברה או בעליה, ייקבע כי על חלק השכר שמעל 3 מיליון ₪ לא תינתן הטבה (בחברות המוטבות כיום ישנם 48 עובדים ברמות שכר כאלו</w:t>
      </w:r>
      <w:r w:rsidR="005D3D79">
        <w:rPr>
          <w:rFonts w:hint="cs"/>
          <w:rtl/>
        </w:rPr>
        <w:t>)</w:t>
      </w:r>
      <w:r w:rsidR="00645E25">
        <w:rPr>
          <w:rFonts w:hint="cs"/>
          <w:rtl/>
        </w:rPr>
        <w:t>.</w:t>
      </w:r>
    </w:p>
    <w:p w:rsidR="00887E67" w:rsidRDefault="00887E67" w:rsidP="00887E67">
      <w:pPr>
        <w:pStyle w:val="a7"/>
      </w:pPr>
      <w:r>
        <w:rPr>
          <w:rFonts w:hint="cs"/>
          <w:rtl/>
        </w:rPr>
        <w:t xml:space="preserve">בתרשים 1 בנספח מוצגת התפלגות היחס בין הטבת המס לסך הוצאות השכר של החברה בקרב החברות שקיבלו הטבת מס בשנת 2011. </w:t>
      </w:r>
    </w:p>
    <w:p w:rsidR="00FB644F" w:rsidRDefault="008928E1" w:rsidP="00887E67">
      <w:pPr>
        <w:pStyle w:val="a7"/>
        <w:numPr>
          <w:ilvl w:val="0"/>
          <w:numId w:val="11"/>
        </w:numPr>
      </w:pPr>
      <w:r>
        <w:rPr>
          <w:rFonts w:hint="cs"/>
          <w:rtl/>
        </w:rPr>
        <w:t>אפשרות אחרת</w:t>
      </w:r>
      <w:r w:rsidR="00A711F6">
        <w:rPr>
          <w:rFonts w:hint="cs"/>
          <w:rtl/>
        </w:rPr>
        <w:t xml:space="preserve"> המביאה בקירוב לאותה תוצאה </w:t>
      </w:r>
      <w:r>
        <w:rPr>
          <w:rFonts w:hint="cs"/>
          <w:rtl/>
        </w:rPr>
        <w:t>(אשר יתכן ש</w:t>
      </w:r>
      <w:r w:rsidR="007D0FCF">
        <w:rPr>
          <w:rFonts w:hint="cs"/>
          <w:rtl/>
        </w:rPr>
        <w:t>נוחה</w:t>
      </w:r>
      <w:r>
        <w:rPr>
          <w:rFonts w:hint="cs"/>
          <w:rtl/>
        </w:rPr>
        <w:t xml:space="preserve"> יותר </w:t>
      </w:r>
      <w:r w:rsidR="007D0FCF">
        <w:rPr>
          <w:rFonts w:hint="cs"/>
          <w:rtl/>
        </w:rPr>
        <w:t>ל</w:t>
      </w:r>
      <w:r>
        <w:rPr>
          <w:rFonts w:hint="cs"/>
          <w:rtl/>
        </w:rPr>
        <w:t>י</w:t>
      </w:r>
      <w:r w:rsidR="00FB644F">
        <w:rPr>
          <w:rFonts w:hint="cs"/>
          <w:rtl/>
        </w:rPr>
        <w:t>ישום) היא להגביל את הטבות המס ל</w:t>
      </w:r>
      <w:r w:rsidR="00FB644F">
        <w:rPr>
          <w:rtl/>
        </w:rPr>
        <w:noBreakHyphen/>
      </w:r>
      <w:r>
        <w:rPr>
          <w:rFonts w:hint="cs"/>
          <w:rtl/>
        </w:rPr>
        <w:t>7</w:t>
      </w:r>
      <w:r w:rsidR="00A711F6">
        <w:rPr>
          <w:rFonts w:hint="cs"/>
          <w:rtl/>
        </w:rPr>
        <w:t>7</w:t>
      </w:r>
      <w:r>
        <w:rPr>
          <w:rFonts w:hint="cs"/>
          <w:rtl/>
        </w:rPr>
        <w:t xml:space="preserve">% מסך </w:t>
      </w:r>
      <w:r w:rsidR="002818BF">
        <w:rPr>
          <w:rFonts w:hint="cs"/>
          <w:rtl/>
        </w:rPr>
        <w:t>עלויות</w:t>
      </w:r>
      <w:r>
        <w:rPr>
          <w:rFonts w:hint="cs"/>
          <w:rtl/>
        </w:rPr>
        <w:t xml:space="preserve"> השכר של החברה (לעומת הגבלה ל-100% מתשלומי השכר ברוטו)</w:t>
      </w:r>
      <w:r w:rsidR="002818BF">
        <w:rPr>
          <w:rFonts w:hint="cs"/>
          <w:rtl/>
        </w:rPr>
        <w:t>, תחת ההנחה שעלויות השכר גבוהות בכ-30% מסך השכר ברוטו</w:t>
      </w:r>
      <w:r>
        <w:rPr>
          <w:rFonts w:hint="cs"/>
          <w:rtl/>
        </w:rPr>
        <w:t>.</w:t>
      </w:r>
      <w:r w:rsidR="00887E67">
        <w:rPr>
          <w:rFonts w:hint="cs"/>
          <w:rtl/>
        </w:rPr>
        <w:t xml:space="preserve"> מצאנו (ראה </w:t>
      </w:r>
      <w:r w:rsidR="002D3A1A">
        <w:rPr>
          <w:rFonts w:hint="cs"/>
          <w:rtl/>
        </w:rPr>
        <w:t xml:space="preserve">בנספח) </w:t>
      </w:r>
      <w:r w:rsidR="002D3A1A" w:rsidRPr="00602229">
        <w:rPr>
          <w:rFonts w:hint="cs"/>
          <w:rtl/>
        </w:rPr>
        <w:t>כי קביעת תקרה לפיה סך הטבות המס ל</w:t>
      </w:r>
      <w:r w:rsidR="002D3A1A">
        <w:rPr>
          <w:rFonts w:hint="cs"/>
          <w:rtl/>
        </w:rPr>
        <w:t>א יעלה על שכר העובדים בחברה</w:t>
      </w:r>
      <w:r w:rsidR="002D3A1A" w:rsidRPr="00602229">
        <w:rPr>
          <w:rFonts w:hint="cs"/>
          <w:rtl/>
        </w:rPr>
        <w:t xml:space="preserve"> יביא</w:t>
      </w:r>
      <w:r w:rsidR="002D3A1A">
        <w:rPr>
          <w:rFonts w:hint="cs"/>
          <w:rtl/>
        </w:rPr>
        <w:t xml:space="preserve"> בטווח הבינוני (לאחר שהחברות הקימות ישלימו את המעבר למסלולי המס כפי שנקבעו במסגרת תיקון 68) </w:t>
      </w:r>
      <w:r w:rsidR="002D3A1A" w:rsidRPr="00602229">
        <w:rPr>
          <w:rFonts w:hint="cs"/>
          <w:rtl/>
        </w:rPr>
        <w:t>ל</w:t>
      </w:r>
      <w:r w:rsidR="007D0FCF">
        <w:rPr>
          <w:rFonts w:hint="cs"/>
          <w:rtl/>
        </w:rPr>
        <w:t xml:space="preserve">ירידה </w:t>
      </w:r>
      <w:r w:rsidR="002D3A1A" w:rsidRPr="00602229">
        <w:rPr>
          <w:rFonts w:hint="cs"/>
          <w:rtl/>
        </w:rPr>
        <w:t xml:space="preserve">של </w:t>
      </w:r>
      <w:r w:rsidR="002D3A1A">
        <w:rPr>
          <w:rFonts w:hint="cs"/>
          <w:rtl/>
        </w:rPr>
        <w:t>26</w:t>
      </w:r>
      <w:r w:rsidR="002D3A1A" w:rsidRPr="00602229">
        <w:rPr>
          <w:rFonts w:hint="cs"/>
          <w:rtl/>
        </w:rPr>
        <w:t xml:space="preserve">% בהטבות </w:t>
      </w:r>
      <w:r w:rsidR="002D3A1A">
        <w:rPr>
          <w:rFonts w:hint="cs"/>
          <w:rtl/>
        </w:rPr>
        <w:t>ב</w:t>
      </w:r>
      <w:r w:rsidR="002D3A1A" w:rsidRPr="00602229">
        <w:rPr>
          <w:rFonts w:hint="cs"/>
          <w:rtl/>
        </w:rPr>
        <w:t xml:space="preserve">מס </w:t>
      </w:r>
      <w:r w:rsidR="002D3A1A">
        <w:rPr>
          <w:rFonts w:hint="cs"/>
          <w:rtl/>
        </w:rPr>
        <w:t>חברות לעומת מתן ה</w:t>
      </w:r>
      <w:r w:rsidR="007D0FCF">
        <w:rPr>
          <w:rFonts w:hint="cs"/>
          <w:rtl/>
        </w:rPr>
        <w:t>הטבות על פי התנאים הקיימים כיום, בהעדר שינוי התנהגותי.</w:t>
      </w:r>
    </w:p>
    <w:p w:rsidR="00FB644F" w:rsidRPr="007D0FCF" w:rsidRDefault="00FB644F" w:rsidP="00FB644F">
      <w:pPr>
        <w:pStyle w:val="a7"/>
      </w:pPr>
    </w:p>
    <w:p w:rsidR="002874F3" w:rsidRDefault="002874F3" w:rsidP="002226DB">
      <w:pPr>
        <w:pStyle w:val="a7"/>
        <w:numPr>
          <w:ilvl w:val="0"/>
          <w:numId w:val="11"/>
        </w:numPr>
      </w:pPr>
      <w:r>
        <w:rPr>
          <w:rFonts w:hint="cs"/>
          <w:rtl/>
        </w:rPr>
        <w:lastRenderedPageBreak/>
        <w:t xml:space="preserve">שימוש בסך השכר של עובדי החברה (או בסך תשלומי השכר של החברה) </w:t>
      </w:r>
      <w:r w:rsidR="00FB644F">
        <w:rPr>
          <w:rFonts w:hint="cs"/>
          <w:rtl/>
        </w:rPr>
        <w:t>למעשה מעניק</w:t>
      </w:r>
      <w:r>
        <w:rPr>
          <w:rFonts w:hint="cs"/>
          <w:rtl/>
        </w:rPr>
        <w:t xml:space="preserve"> משקל דומה למשתנה של היקף התעסוקה ולמשתנה של השכר הממוצע לעובד. לחילופין, היינו יכולים לקבוע משקל גבוה יותר לאחד המשתנים ונמוך יותר למשתנה האחר, אך לא </w:t>
      </w:r>
      <w:r w:rsidR="00FB644F">
        <w:rPr>
          <w:rFonts w:hint="cs"/>
          <w:rtl/>
        </w:rPr>
        <w:t xml:space="preserve">לגמרי </w:t>
      </w:r>
      <w:r>
        <w:rPr>
          <w:rFonts w:hint="cs"/>
          <w:rtl/>
        </w:rPr>
        <w:t>ברור מה הכיוון הרצוי. בתקופות של מיתון המלווה באבטלה גבוהה השיקול של היקף התעסוקה יהיה חשוב יותר, ואילו בתקופות בהן האבטלה נמוכה השיקול של השכר הממוצע לעובד עשוי להיות חשוב יותר. מכיוון שנדרשת עקביות, מוצע לקבוע משקל שווה לשני השיקולים ולהסתפק במדד פשוט: סך תשלומי השכר.</w:t>
      </w:r>
    </w:p>
    <w:p w:rsidR="007D0FCF" w:rsidRDefault="007D0FCF" w:rsidP="007D0FCF">
      <w:pPr>
        <w:pStyle w:val="a7"/>
      </w:pPr>
    </w:p>
    <w:p w:rsidR="0028569B" w:rsidRDefault="002226DB" w:rsidP="00B71D37">
      <w:pPr>
        <w:pStyle w:val="a7"/>
        <w:numPr>
          <w:ilvl w:val="0"/>
          <w:numId w:val="11"/>
        </w:numPr>
      </w:pPr>
      <w:r>
        <w:rPr>
          <w:rFonts w:hint="cs"/>
          <w:rtl/>
        </w:rPr>
        <w:t>בעשורים האחרונים</w:t>
      </w:r>
      <w:r w:rsidR="0028569B">
        <w:rPr>
          <w:rFonts w:hint="cs"/>
          <w:rtl/>
        </w:rPr>
        <w:t xml:space="preserve"> מדינות מובילות בעולם הצטרפו ל"תחרות המס" לשם משיכת חברות רב לאומיות לשטחן. על רקע מגמה זו, בין היתר, פועל צוות בראשות מנהל רשות המסים, בשיתוף אגף הכלכלן הראשי ואגף התקציבים, הבוחן מתן הטבות לחברות </w:t>
      </w:r>
      <w:r w:rsidR="0028569B">
        <w:t>IP</w:t>
      </w:r>
      <w:r w:rsidR="0028569B">
        <w:rPr>
          <w:rFonts w:hint="cs"/>
          <w:rtl/>
        </w:rPr>
        <w:t xml:space="preserve">. כאשר בוחנים את מטרות החוק לעידוד השקעות הון, שבמרכזן עידוד החדשנות, הטבות למגזר זה של חברות </w:t>
      </w:r>
      <w:r w:rsidR="0028569B">
        <w:t>IP</w:t>
      </w:r>
      <w:r w:rsidR="0028569B">
        <w:rPr>
          <w:rFonts w:hint="cs"/>
          <w:rtl/>
        </w:rPr>
        <w:t>, הינו בעל הצדקה כלכלית גבוהה יותר ביחס לחברות שכיום נהנות מהטבות במסגרת החוק, רק כי עמדו בתנאי היצוא למשל.</w:t>
      </w:r>
    </w:p>
    <w:p w:rsidR="00FB644F" w:rsidRDefault="00FB644F" w:rsidP="00FB644F">
      <w:pPr>
        <w:pStyle w:val="a7"/>
      </w:pPr>
    </w:p>
    <w:p w:rsidR="00645E25" w:rsidRDefault="0028569B" w:rsidP="002818BF">
      <w:pPr>
        <w:pStyle w:val="a7"/>
        <w:numPr>
          <w:ilvl w:val="0"/>
          <w:numId w:val="11"/>
        </w:numPr>
      </w:pPr>
      <w:r>
        <w:rPr>
          <w:rFonts w:hint="cs"/>
          <w:rtl/>
        </w:rPr>
        <w:t xml:space="preserve">לכן, ובכפוף להמלצות הסופיות של הצוות בראשות מנהל רשות המסים שתקבלנה קדימות, </w:t>
      </w:r>
      <w:r w:rsidR="00645E25">
        <w:rPr>
          <w:rFonts w:hint="cs"/>
          <w:rtl/>
        </w:rPr>
        <w:t>מ</w:t>
      </w:r>
      <w:r w:rsidR="007A3640">
        <w:rPr>
          <w:rFonts w:hint="cs"/>
          <w:rtl/>
        </w:rPr>
        <w:t>וצע כי תינתן הטבת מס גם על רווח המיוחס ל-</w:t>
      </w:r>
      <w:r w:rsidR="007A3640">
        <w:t>IP</w:t>
      </w:r>
      <w:r w:rsidR="007A3640">
        <w:rPr>
          <w:rFonts w:hint="cs"/>
          <w:rtl/>
        </w:rPr>
        <w:t xml:space="preserve">. </w:t>
      </w:r>
      <w:r w:rsidR="00645E25">
        <w:rPr>
          <w:rFonts w:hint="cs"/>
          <w:rtl/>
        </w:rPr>
        <w:t>מ</w:t>
      </w:r>
      <w:r w:rsidR="007A3640">
        <w:rPr>
          <w:rFonts w:hint="cs"/>
          <w:rtl/>
        </w:rPr>
        <w:t>וצע כי שיעור המס המופחת יעמוד על 9%</w:t>
      </w:r>
      <w:r w:rsidR="00645E25">
        <w:rPr>
          <w:rFonts w:hint="cs"/>
          <w:rtl/>
        </w:rPr>
        <w:t xml:space="preserve"> (בכל מקום בארץ</w:t>
      </w:r>
      <w:r w:rsidR="004753F8">
        <w:rPr>
          <w:rFonts w:hint="cs"/>
          <w:rtl/>
        </w:rPr>
        <w:t>, במסלול "ירוק"</w:t>
      </w:r>
      <w:r w:rsidR="00645E25">
        <w:rPr>
          <w:rFonts w:hint="cs"/>
          <w:rtl/>
        </w:rPr>
        <w:t>)</w:t>
      </w:r>
      <w:r w:rsidR="007A3640">
        <w:rPr>
          <w:rFonts w:hint="cs"/>
          <w:rtl/>
        </w:rPr>
        <w:t xml:space="preserve">, בדומה לשיעור המס הניתן כיום ל"מפעל תעשייתי" הנמצא </w:t>
      </w:r>
      <w:r w:rsidR="00645E25">
        <w:rPr>
          <w:rFonts w:hint="cs"/>
          <w:rtl/>
        </w:rPr>
        <w:t>בפריפריה</w:t>
      </w:r>
      <w:r w:rsidR="007A3640">
        <w:rPr>
          <w:rFonts w:hint="cs"/>
          <w:rtl/>
        </w:rPr>
        <w:t xml:space="preserve">. בנוסף </w:t>
      </w:r>
      <w:r w:rsidR="00645E25">
        <w:rPr>
          <w:rFonts w:hint="cs"/>
          <w:rtl/>
        </w:rPr>
        <w:t>מ</w:t>
      </w:r>
      <w:r w:rsidR="007A3640">
        <w:rPr>
          <w:rFonts w:hint="cs"/>
          <w:rtl/>
        </w:rPr>
        <w:t xml:space="preserve">וצע כי כשם שבתיקון 68 ניתן שיעור </w:t>
      </w:r>
      <w:r w:rsidR="006F2EA0">
        <w:rPr>
          <w:rFonts w:hint="cs"/>
          <w:rtl/>
        </w:rPr>
        <w:t>מ</w:t>
      </w:r>
      <w:r w:rsidR="007A3640">
        <w:rPr>
          <w:rFonts w:hint="cs"/>
          <w:rtl/>
        </w:rPr>
        <w:t xml:space="preserve">ס מופחת "מיוחד" להשקעה אסטרטגית, יינתן שיעור מופחת מיוחד לחברת </w:t>
      </w:r>
      <w:r w:rsidR="007A3640">
        <w:t>IP</w:t>
      </w:r>
      <w:r w:rsidR="007A3640">
        <w:rPr>
          <w:rFonts w:hint="cs"/>
          <w:rtl/>
        </w:rPr>
        <w:t xml:space="preserve"> שמשיכתה לארץ נתפשת כמשמעותית. </w:t>
      </w:r>
      <w:r w:rsidR="00645E25">
        <w:rPr>
          <w:rFonts w:hint="cs"/>
          <w:rtl/>
        </w:rPr>
        <w:t xml:space="preserve">מוצע כי שיעור המס המופחת המיוחד יעמוד על 5% (בכל מקום בארץ), בדומה לשיעור המס הניתן כיום ל"מפעל תעשייתי" מועדף מיוחד הנמצא בפריפריה. </w:t>
      </w:r>
      <w:r w:rsidR="007A3640">
        <w:rPr>
          <w:rFonts w:hint="cs"/>
          <w:rtl/>
        </w:rPr>
        <w:t xml:space="preserve">ההטבות במסגרת מסלול זה </w:t>
      </w:r>
      <w:r w:rsidR="006F2EA0">
        <w:rPr>
          <w:rFonts w:hint="cs"/>
          <w:rtl/>
        </w:rPr>
        <w:t>תהיינה</w:t>
      </w:r>
      <w:r w:rsidR="007A3640">
        <w:rPr>
          <w:rFonts w:hint="cs"/>
          <w:rtl/>
        </w:rPr>
        <w:t xml:space="preserve"> כפופ</w:t>
      </w:r>
      <w:r w:rsidR="006F2EA0">
        <w:rPr>
          <w:rFonts w:hint="cs"/>
          <w:rtl/>
        </w:rPr>
        <w:t>ות</w:t>
      </w:r>
      <w:r w:rsidR="007A3640">
        <w:rPr>
          <w:rFonts w:hint="cs"/>
          <w:rtl/>
        </w:rPr>
        <w:t xml:space="preserve"> אף ה</w:t>
      </w:r>
      <w:r w:rsidR="006F2EA0">
        <w:rPr>
          <w:rFonts w:hint="cs"/>
          <w:rtl/>
        </w:rPr>
        <w:t>ן</w:t>
      </w:r>
      <w:r w:rsidR="007A3640">
        <w:rPr>
          <w:rFonts w:hint="cs"/>
          <w:rtl/>
        </w:rPr>
        <w:t xml:space="preserve"> לתק</w:t>
      </w:r>
      <w:r w:rsidR="00645E25">
        <w:rPr>
          <w:rFonts w:hint="cs"/>
          <w:rtl/>
        </w:rPr>
        <w:t>רת הוצאות השכר המתוארת בסעיף הקודם.</w:t>
      </w:r>
      <w:r w:rsidR="002226DB">
        <w:rPr>
          <w:rFonts w:hint="cs"/>
          <w:rtl/>
        </w:rPr>
        <w:t xml:space="preserve"> </w:t>
      </w:r>
      <w:r w:rsidR="00E5783B">
        <w:rPr>
          <w:rFonts w:hint="cs"/>
          <w:rtl/>
        </w:rPr>
        <w:t xml:space="preserve">כדאי </w:t>
      </w:r>
      <w:r w:rsidR="00B71D37">
        <w:rPr>
          <w:rFonts w:hint="cs"/>
          <w:rtl/>
        </w:rPr>
        <w:t>לשקול גם הרחבת תחומי הפעילות של החברות המחזי</w:t>
      </w:r>
      <w:r w:rsidR="002818BF">
        <w:rPr>
          <w:rFonts w:hint="cs"/>
          <w:rtl/>
        </w:rPr>
        <w:t>ק</w:t>
      </w:r>
      <w:r w:rsidR="00B71D37">
        <w:rPr>
          <w:rFonts w:hint="cs"/>
          <w:rtl/>
        </w:rPr>
        <w:t>ות ב-</w:t>
      </w:r>
      <w:r w:rsidR="00B71D37">
        <w:t>IP</w:t>
      </w:r>
      <w:r w:rsidR="00B71D37">
        <w:rPr>
          <w:rFonts w:hint="cs"/>
          <w:rtl/>
        </w:rPr>
        <w:t>, מעבר לתחומים המוכרים כיום בחוק עידוד השקעות הון (תעשייה ותוכנה).</w:t>
      </w:r>
    </w:p>
    <w:p w:rsidR="00BA4F9A" w:rsidRDefault="00BA4F9A" w:rsidP="00BA4F9A">
      <w:pPr>
        <w:pStyle w:val="a7"/>
        <w:rPr>
          <w:rtl/>
        </w:rPr>
      </w:pPr>
    </w:p>
    <w:p w:rsidR="00FB644F" w:rsidRDefault="006A7BAB" w:rsidP="007D0FCF">
      <w:pPr>
        <w:pStyle w:val="a7"/>
        <w:numPr>
          <w:ilvl w:val="0"/>
          <w:numId w:val="11"/>
        </w:numPr>
        <w:rPr>
          <w:rtl/>
        </w:rPr>
      </w:pPr>
      <w:r>
        <w:rPr>
          <w:rFonts w:hint="cs"/>
          <w:rtl/>
        </w:rPr>
        <w:t xml:space="preserve">עוד </w:t>
      </w:r>
      <w:r w:rsidR="00645E25">
        <w:rPr>
          <w:rFonts w:hint="cs"/>
          <w:rtl/>
        </w:rPr>
        <w:t>מ</w:t>
      </w:r>
      <w:r>
        <w:rPr>
          <w:rFonts w:hint="cs"/>
          <w:rtl/>
        </w:rPr>
        <w:t>וצע לבטל את התנאי לפיו חברה תהיה זכאית להטבות כל עוד לפחות 90% מהיצור נעשה בישראל. תנאי זה נועד במקור למנוע הוצאה של פסי ייצור מישראל. אולם, תחת קביעת התנאי החדש לפיו ההטבה אינה יכולה לעלות על הוצאות השכר של החברה</w:t>
      </w:r>
      <w:r w:rsidR="002226DB">
        <w:rPr>
          <w:rFonts w:hint="cs"/>
          <w:rtl/>
        </w:rPr>
        <w:t xml:space="preserve"> בישראל</w:t>
      </w:r>
      <w:r>
        <w:rPr>
          <w:rFonts w:hint="cs"/>
          <w:rtl/>
        </w:rPr>
        <w:t>, הוצאת פסי ייצור תביא ממילא לצמצום ההטבה (כל עוד התקרה אפקטיבית).ביטולו של תנאי זה עשוי לעודד כניסה של חברות רב לאומיות לישראל, כאשר עד עתה נמנעו לעשות זאת בשל מגבלה זו.</w:t>
      </w:r>
    </w:p>
    <w:p w:rsidR="008F1ACA" w:rsidRDefault="008F1ACA" w:rsidP="008F1ACA">
      <w:pPr>
        <w:pStyle w:val="a7"/>
        <w:rPr>
          <w:rtl/>
        </w:rPr>
      </w:pPr>
    </w:p>
    <w:p w:rsidR="0028569B" w:rsidRDefault="00D13D7A" w:rsidP="0028569B">
      <w:pPr>
        <w:pStyle w:val="a7"/>
        <w:numPr>
          <w:ilvl w:val="0"/>
          <w:numId w:val="11"/>
        </w:numPr>
      </w:pPr>
      <w:r>
        <w:rPr>
          <w:rFonts w:hint="cs"/>
          <w:rtl/>
        </w:rPr>
        <w:lastRenderedPageBreak/>
        <w:t xml:space="preserve">כמו-כן </w:t>
      </w:r>
      <w:r w:rsidR="008F1ACA">
        <w:rPr>
          <w:rFonts w:hint="cs"/>
          <w:rtl/>
        </w:rPr>
        <w:t>מ</w:t>
      </w:r>
      <w:r>
        <w:rPr>
          <w:rFonts w:hint="cs"/>
          <w:rtl/>
        </w:rPr>
        <w:t>וצע ל</w:t>
      </w:r>
      <w:r w:rsidR="008F1ACA">
        <w:rPr>
          <w:rFonts w:hint="cs"/>
          <w:rtl/>
        </w:rPr>
        <w:t xml:space="preserve">בטל את ההטבה לגבי </w:t>
      </w:r>
      <w:r>
        <w:rPr>
          <w:rFonts w:hint="cs"/>
          <w:rtl/>
        </w:rPr>
        <w:t>שיעור המס על דיבידנד</w:t>
      </w:r>
      <w:r w:rsidR="002A3BCD">
        <w:rPr>
          <w:rFonts w:hint="cs"/>
          <w:rtl/>
        </w:rPr>
        <w:t>י</w:t>
      </w:r>
      <w:r w:rsidR="008F1ACA">
        <w:rPr>
          <w:rFonts w:hint="cs"/>
          <w:rtl/>
        </w:rPr>
        <w:t>ם ממפעל מוטב, העומד כיום על 20% (במקום מס דיבידנדים רגיל של 25% או מס דיבידנדים מוגבר של 30% במקרה של בעל שליטה).</w:t>
      </w:r>
    </w:p>
    <w:p w:rsidR="0028569B" w:rsidRDefault="0028569B" w:rsidP="0028569B">
      <w:pPr>
        <w:pStyle w:val="a7"/>
        <w:rPr>
          <w:rtl/>
        </w:rPr>
      </w:pPr>
    </w:p>
    <w:p w:rsidR="009C1BD4" w:rsidRDefault="009C1BD4" w:rsidP="0028569B">
      <w:pPr>
        <w:pStyle w:val="a7"/>
        <w:rPr>
          <w:rtl/>
        </w:rPr>
      </w:pPr>
      <w:r>
        <w:rPr>
          <w:rFonts w:hint="cs"/>
          <w:rtl/>
        </w:rPr>
        <w:t>יש לציין כי אמנות המס עליהן חתומה ישראל, עם מרבית שותפות הסחר שלה, מביאות לכך שממילא שיעור המס המופחת על דיבידנדים אינו אפקטיבי</w:t>
      </w:r>
      <w:r w:rsidR="0028569B">
        <w:rPr>
          <w:rFonts w:hint="cs"/>
          <w:rtl/>
        </w:rPr>
        <w:t xml:space="preserve"> לבעלי מניות זרים</w:t>
      </w:r>
      <w:r>
        <w:rPr>
          <w:rFonts w:hint="cs"/>
          <w:rtl/>
        </w:rPr>
        <w:t xml:space="preserve">, שכן שיעורי המס הנקובים באמנות נמוכים יותר. כך למשל, לבעל מניות בחברה תושבת ארה"ב שיעור המס על משיכת דיבידנד </w:t>
      </w:r>
      <w:r w:rsidR="00606F2B">
        <w:rPr>
          <w:rFonts w:hint="cs"/>
          <w:rtl/>
        </w:rPr>
        <w:t xml:space="preserve">ממפעל מאושר </w:t>
      </w:r>
      <w:r>
        <w:rPr>
          <w:rFonts w:hint="cs"/>
          <w:rtl/>
        </w:rPr>
        <w:t>עומד על</w:t>
      </w:r>
      <w:r w:rsidR="00606F2B">
        <w:rPr>
          <w:rFonts w:hint="cs"/>
          <w:rtl/>
        </w:rPr>
        <w:t xml:space="preserve"> 15%</w:t>
      </w:r>
      <w:r>
        <w:rPr>
          <w:rFonts w:hint="cs"/>
          <w:rtl/>
        </w:rPr>
        <w:t xml:space="preserve"> בלבד. המשמעות היא ששיעור המס המופחת על דיבידנדים מכח החוק לעידוד השקעות הון מיטיב </w:t>
      </w:r>
      <w:r w:rsidR="00606F2B">
        <w:rPr>
          <w:rFonts w:hint="cs"/>
          <w:rtl/>
        </w:rPr>
        <w:t xml:space="preserve">בעיקר </w:t>
      </w:r>
      <w:r>
        <w:rPr>
          <w:rFonts w:hint="cs"/>
          <w:rtl/>
        </w:rPr>
        <w:t xml:space="preserve">עם בעלי מניות ישראלים, ובפרט אם בעל מניות זה הינו בעל שליטה. כך, תמריץ שנועד במקור למשוך השקעות זרות, </w:t>
      </w:r>
      <w:r w:rsidR="00B12F15">
        <w:rPr>
          <w:rFonts w:hint="cs"/>
          <w:rtl/>
        </w:rPr>
        <w:t>מיטיב עם בעלי ההון הישראלים.</w:t>
      </w:r>
      <w:r w:rsidR="0028569B">
        <w:rPr>
          <w:rFonts w:hint="cs"/>
          <w:rtl/>
        </w:rPr>
        <w:t xml:space="preserve"> בנוסף, </w:t>
      </w:r>
      <w:r w:rsidR="00606F2B">
        <w:rPr>
          <w:rFonts w:hint="cs"/>
          <w:rtl/>
        </w:rPr>
        <w:t xml:space="preserve">יש לציין כי </w:t>
      </w:r>
      <w:r w:rsidR="00B53DCC">
        <w:rPr>
          <w:rFonts w:hint="cs"/>
          <w:rtl/>
        </w:rPr>
        <w:t xml:space="preserve">הטבה </w:t>
      </w:r>
      <w:r w:rsidR="00606F2B">
        <w:rPr>
          <w:rFonts w:hint="cs"/>
          <w:rtl/>
        </w:rPr>
        <w:t>המס בגין דיבידנדים</w:t>
      </w:r>
      <w:r w:rsidR="00B53DCC">
        <w:rPr>
          <w:rFonts w:hint="cs"/>
          <w:rtl/>
        </w:rPr>
        <w:t xml:space="preserve"> משמעותית יותר בפועל בעקבות תיקון 68, אשר ביטל את מושג "הרווחים הכלואים", שנוצרו עקב ה"קנס" שהיה גלום בעת </w:t>
      </w:r>
      <w:r w:rsidR="004958C4">
        <w:rPr>
          <w:rFonts w:hint="cs"/>
          <w:rtl/>
        </w:rPr>
        <w:t>חלוקת דיבידנד מהכנסה ממסלול חלופי (בשל קנס זה חברות נמנעו ממילא לחלק דיבידנדים).</w:t>
      </w:r>
    </w:p>
    <w:p w:rsidR="002F0175" w:rsidRDefault="002F0175" w:rsidP="009C1BD4">
      <w:pPr>
        <w:pStyle w:val="a7"/>
        <w:rPr>
          <w:rtl/>
        </w:rPr>
      </w:pPr>
    </w:p>
    <w:p w:rsidR="00211225" w:rsidRDefault="00211225" w:rsidP="004348D5">
      <w:pPr>
        <w:pStyle w:val="a7"/>
        <w:rPr>
          <w:rtl/>
        </w:rPr>
      </w:pPr>
      <w:r>
        <w:rPr>
          <w:rFonts w:hint="cs"/>
          <w:rtl/>
        </w:rPr>
        <w:t>יצוין, כי במסגרת אומדן הטבות המס המחושב על ידנו, לא נכללת הטבת המס בגין מש</w:t>
      </w:r>
      <w:r w:rsidR="004348D5">
        <w:rPr>
          <w:rFonts w:hint="cs"/>
          <w:rtl/>
        </w:rPr>
        <w:t>יכת דיבידנדים (בשל נתונים רבים הדרושים לשם חישובה, אשר אינם זמינים)</w:t>
      </w:r>
      <w:r w:rsidR="00072C21">
        <w:rPr>
          <w:rFonts w:hint="cs"/>
          <w:rtl/>
        </w:rPr>
        <w:t>.</w:t>
      </w:r>
      <w:r w:rsidR="002818BF">
        <w:rPr>
          <w:rFonts w:hint="cs"/>
          <w:rtl/>
        </w:rPr>
        <w:t xml:space="preserve"> </w:t>
      </w:r>
    </w:p>
    <w:p w:rsidR="00482653" w:rsidRDefault="00482653" w:rsidP="004348D5">
      <w:pPr>
        <w:pStyle w:val="a7"/>
        <w:rPr>
          <w:rtl/>
        </w:rPr>
      </w:pPr>
    </w:p>
    <w:p w:rsidR="00FB644F" w:rsidRDefault="00FB644F">
      <w:pPr>
        <w:bidi w:val="0"/>
        <w:spacing w:before="200" w:after="200" w:line="276" w:lineRule="auto"/>
        <w:jc w:val="left"/>
        <w:rPr>
          <w:b/>
          <w:bCs/>
          <w:sz w:val="28"/>
          <w:szCs w:val="28"/>
        </w:rPr>
      </w:pPr>
      <w:r>
        <w:rPr>
          <w:b/>
          <w:bCs/>
          <w:sz w:val="28"/>
          <w:szCs w:val="28"/>
          <w:rtl/>
        </w:rPr>
        <w:br w:type="page"/>
      </w:r>
    </w:p>
    <w:p w:rsidR="00AE7EB5" w:rsidRPr="00AE7EB5" w:rsidRDefault="00AE7EB5" w:rsidP="00AE7EB5">
      <w:pPr>
        <w:bidi w:val="0"/>
        <w:spacing w:before="200" w:after="200" w:line="276" w:lineRule="auto"/>
        <w:jc w:val="left"/>
        <w:rPr>
          <w:rFonts w:asciiTheme="majorBidi" w:hAnsiTheme="majorBidi" w:cstheme="majorBidi"/>
          <w:sz w:val="14"/>
          <w:szCs w:val="14"/>
          <w:rtl/>
        </w:rPr>
      </w:pPr>
    </w:p>
    <w:p w:rsidR="008928E1" w:rsidRPr="00602229" w:rsidRDefault="00B8790A" w:rsidP="00B8790A">
      <w:pPr>
        <w:jc w:val="center"/>
        <w:rPr>
          <w:b/>
          <w:bCs/>
          <w:sz w:val="28"/>
          <w:szCs w:val="28"/>
        </w:rPr>
      </w:pPr>
      <w:r>
        <w:rPr>
          <w:rFonts w:hint="cs"/>
          <w:b/>
          <w:bCs/>
          <w:sz w:val="28"/>
          <w:szCs w:val="28"/>
          <w:rtl/>
        </w:rPr>
        <w:t>נספח</w:t>
      </w:r>
    </w:p>
    <w:p w:rsidR="008928E1" w:rsidRPr="00602229" w:rsidRDefault="008928E1" w:rsidP="008928E1">
      <w:pPr>
        <w:pStyle w:val="a7"/>
        <w:ind w:left="1440"/>
        <w:rPr>
          <w:rtl/>
        </w:rPr>
      </w:pPr>
      <w:r w:rsidRPr="00602229">
        <w:rPr>
          <w:rFonts w:hint="cs"/>
          <w:rtl/>
        </w:rPr>
        <w:t xml:space="preserve"> </w:t>
      </w:r>
    </w:p>
    <w:p w:rsidR="008928E1" w:rsidRPr="00887E67" w:rsidRDefault="008928E1" w:rsidP="00887E67">
      <w:pPr>
        <w:pStyle w:val="a7"/>
        <w:rPr>
          <w:b/>
          <w:bCs/>
          <w:rtl/>
        </w:rPr>
      </w:pPr>
      <w:r w:rsidRPr="00887E67">
        <w:rPr>
          <w:rFonts w:hint="cs"/>
          <w:b/>
          <w:bCs/>
          <w:rtl/>
        </w:rPr>
        <w:t>תרשים 1</w:t>
      </w:r>
      <w:r w:rsidR="00887E67" w:rsidRPr="00887E67">
        <w:rPr>
          <w:rFonts w:hint="cs"/>
          <w:b/>
          <w:bCs/>
          <w:rtl/>
        </w:rPr>
        <w:t xml:space="preserve"> - </w:t>
      </w:r>
      <w:r w:rsidRPr="00887E67">
        <w:rPr>
          <w:rFonts w:hint="cs"/>
          <w:b/>
          <w:bCs/>
          <w:rtl/>
        </w:rPr>
        <w:t xml:space="preserve"> התפלגות היחס בין סך ההטבה לחברה, לפי תיקון 68, לבין השכר הכולל ברוטו של כלל העובדים בחברות המוטבות בשנת 2011.</w:t>
      </w:r>
    </w:p>
    <w:p w:rsidR="008928E1" w:rsidRDefault="008928E1" w:rsidP="00B8790A">
      <w:pPr>
        <w:pStyle w:val="a7"/>
        <w:rPr>
          <w:sz w:val="20"/>
          <w:szCs w:val="20"/>
          <w:rtl/>
        </w:rPr>
      </w:pPr>
      <w:r w:rsidRPr="0077219A">
        <w:rPr>
          <w:rFonts w:hint="cs"/>
          <w:noProof/>
          <w:rtl/>
        </w:rPr>
        <w:drawing>
          <wp:inline distT="0" distB="0" distL="0" distR="0" wp14:anchorId="128E1191" wp14:editId="6F449BE6">
            <wp:extent cx="4579951" cy="2615979"/>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9951" cy="2615979"/>
                    </a:xfrm>
                    <a:prstGeom prst="rect">
                      <a:avLst/>
                    </a:prstGeom>
                    <a:noFill/>
                    <a:ln>
                      <a:noFill/>
                    </a:ln>
                  </pic:spPr>
                </pic:pic>
              </a:graphicData>
            </a:graphic>
          </wp:inline>
        </w:drawing>
      </w:r>
    </w:p>
    <w:sectPr w:rsidR="008928E1" w:rsidSect="00164B30">
      <w:headerReference w:type="default"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51E" w:rsidRDefault="0076151E" w:rsidP="00745E64">
      <w:pPr>
        <w:spacing w:before="0" w:after="0" w:line="240" w:lineRule="auto"/>
      </w:pPr>
      <w:r>
        <w:separator/>
      </w:r>
    </w:p>
  </w:endnote>
  <w:endnote w:type="continuationSeparator" w:id="0">
    <w:p w:rsidR="0076151E" w:rsidRDefault="0076151E" w:rsidP="00745E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86165115"/>
      <w:docPartObj>
        <w:docPartGallery w:val="Page Numbers (Bottom of Page)"/>
        <w:docPartUnique/>
      </w:docPartObj>
    </w:sdtPr>
    <w:sdtEndPr/>
    <w:sdtContent>
      <w:p w:rsidR="00412BAD" w:rsidRDefault="00412BAD">
        <w:pPr>
          <w:pStyle w:val="aa"/>
          <w:jc w:val="center"/>
          <w:rPr>
            <w:rtl/>
            <w:cs/>
          </w:rPr>
        </w:pPr>
        <w:r>
          <w:fldChar w:fldCharType="begin"/>
        </w:r>
        <w:r>
          <w:rPr>
            <w:rtl/>
            <w:cs/>
          </w:rPr>
          <w:instrText>PAGE   \* MERGEFORMAT</w:instrText>
        </w:r>
        <w:r>
          <w:fldChar w:fldCharType="separate"/>
        </w:r>
        <w:r w:rsidR="00242D5C" w:rsidRPr="00242D5C">
          <w:rPr>
            <w:noProof/>
            <w:rtl/>
            <w:lang w:val="he-IL"/>
          </w:rPr>
          <w:t>1</w:t>
        </w:r>
        <w:r>
          <w:fldChar w:fldCharType="end"/>
        </w:r>
      </w:p>
    </w:sdtContent>
  </w:sdt>
  <w:p w:rsidR="00412BAD" w:rsidRDefault="00412BA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51E" w:rsidRDefault="0076151E" w:rsidP="00745E64">
      <w:pPr>
        <w:spacing w:before="0" w:after="0" w:line="240" w:lineRule="auto"/>
      </w:pPr>
      <w:r>
        <w:separator/>
      </w:r>
    </w:p>
  </w:footnote>
  <w:footnote w:type="continuationSeparator" w:id="0">
    <w:p w:rsidR="0076151E" w:rsidRDefault="0076151E" w:rsidP="00745E64">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BAD" w:rsidRDefault="00412BAD">
    <w:pPr>
      <w:pStyle w:val="a8"/>
      <w:rPr>
        <w:rtl/>
        <w:cs/>
      </w:rPr>
    </w:pPr>
    <w:r>
      <w:rPr>
        <w:b/>
        <w:bCs/>
        <w:noProof/>
        <w:szCs w:val="40"/>
      </w:rPr>
      <w:drawing>
        <wp:anchor distT="0" distB="0" distL="114300" distR="114300" simplePos="0" relativeHeight="251659264" behindDoc="1" locked="0" layoutInCell="1" allowOverlap="1" wp14:anchorId="609B7732" wp14:editId="47389DB8">
          <wp:simplePos x="0" y="0"/>
          <wp:positionH relativeFrom="column">
            <wp:posOffset>4646295</wp:posOffset>
          </wp:positionH>
          <wp:positionV relativeFrom="paragraph">
            <wp:posOffset>54610</wp:posOffset>
          </wp:positionV>
          <wp:extent cx="1559560" cy="783590"/>
          <wp:effectExtent l="0" t="0" r="2540" b="0"/>
          <wp:wrapTight wrapText="bothSides">
            <wp:wrapPolygon edited="0">
              <wp:start x="0" y="0"/>
              <wp:lineTo x="0" y="21005"/>
              <wp:lineTo x="21371" y="21005"/>
              <wp:lineTo x="21371" y="0"/>
              <wp:lineTo x="0" y="0"/>
            </wp:wrapPolygon>
          </wp:wrapTight>
          <wp:docPr id="5" name="תמונה 5" descr="P:\נושאי ארגון\201310 לוגו\סופי\לוגו - אגף הכלכלן הראש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נושאי ארגון\201310 לוגו\סופי\לוגו - אגף הכלכלן הראשי.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5956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2BAD" w:rsidRDefault="00412BAD">
    <w:pPr>
      <w:pStyle w:val="a8"/>
      <w:rPr>
        <w:rtl/>
        <w:cs/>
      </w:rPr>
    </w:pPr>
  </w:p>
  <w:p w:rsidR="00412BAD" w:rsidRDefault="00412BAD">
    <w:pPr>
      <w:pStyle w:val="a8"/>
      <w:rPr>
        <w:rtl/>
        <w:cs/>
      </w:rPr>
    </w:pPr>
  </w:p>
  <w:p w:rsidR="00412BAD" w:rsidRDefault="00412BAD">
    <w:pPr>
      <w:pStyle w:val="a8"/>
      <w:rPr>
        <w:rtl/>
        <w:cs/>
      </w:rPr>
    </w:pPr>
  </w:p>
  <w:p w:rsidR="00412BAD" w:rsidRDefault="00412BAD">
    <w:pPr>
      <w:pStyle w:val="a8"/>
      <w:rPr>
        <w:rtl/>
        <w:cs/>
      </w:rPr>
    </w:pPr>
  </w:p>
  <w:p w:rsidR="00412BAD" w:rsidRDefault="00412BA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D14D1"/>
    <w:multiLevelType w:val="hybridMultilevel"/>
    <w:tmpl w:val="51C8CD14"/>
    <w:lvl w:ilvl="0" w:tplc="039E1978">
      <w:start w:val="1"/>
      <w:numFmt w:val="bullet"/>
      <w:lvlText w:val="-"/>
      <w:lvlJc w:val="left"/>
      <w:pPr>
        <w:ind w:left="1800" w:hanging="360"/>
      </w:pPr>
      <w:rPr>
        <w:rFonts w:ascii="Times New Roman" w:eastAsiaTheme="minorHAnsi" w:hAnsi="Times New Roman"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0B82797"/>
    <w:multiLevelType w:val="multilevel"/>
    <w:tmpl w:val="CB2CFB36"/>
    <w:numStyleLink w:val="-"/>
  </w:abstractNum>
  <w:abstractNum w:abstractNumId="2" w15:restartNumberingAfterBreak="0">
    <w:nsid w:val="11B87F5A"/>
    <w:multiLevelType w:val="multilevel"/>
    <w:tmpl w:val="2C7611E6"/>
    <w:styleLink w:val="-0"/>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3" w15:restartNumberingAfterBreak="0">
    <w:nsid w:val="16240D29"/>
    <w:multiLevelType w:val="hybridMultilevel"/>
    <w:tmpl w:val="39723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7D7D4A"/>
    <w:multiLevelType w:val="hybridMultilevel"/>
    <w:tmpl w:val="228A9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690D37"/>
    <w:multiLevelType w:val="multilevel"/>
    <w:tmpl w:val="2C7611E6"/>
    <w:numStyleLink w:val="-0"/>
  </w:abstractNum>
  <w:abstractNum w:abstractNumId="6" w15:restartNumberingAfterBreak="0">
    <w:nsid w:val="25782DA2"/>
    <w:multiLevelType w:val="hybridMultilevel"/>
    <w:tmpl w:val="9CE6C04E"/>
    <w:lvl w:ilvl="0" w:tplc="49BE5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CF2F26"/>
    <w:multiLevelType w:val="hybridMultilevel"/>
    <w:tmpl w:val="B00E756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EEE1200"/>
    <w:multiLevelType w:val="hybridMultilevel"/>
    <w:tmpl w:val="9CE6C04E"/>
    <w:lvl w:ilvl="0" w:tplc="49BE5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347E4B"/>
    <w:multiLevelType w:val="hybridMultilevel"/>
    <w:tmpl w:val="1A24269C"/>
    <w:lvl w:ilvl="0" w:tplc="C2CE06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77D4CEE"/>
    <w:multiLevelType w:val="multilevel"/>
    <w:tmpl w:val="2C7611E6"/>
    <w:numStyleLink w:val="-0"/>
  </w:abstractNum>
  <w:abstractNum w:abstractNumId="11" w15:restartNumberingAfterBreak="0">
    <w:nsid w:val="4C121EDF"/>
    <w:multiLevelType w:val="hybridMultilevel"/>
    <w:tmpl w:val="1DFA79D4"/>
    <w:lvl w:ilvl="0" w:tplc="808263D0">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731BE"/>
    <w:multiLevelType w:val="hybridMultilevel"/>
    <w:tmpl w:val="ED30E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C63965"/>
    <w:multiLevelType w:val="multilevel"/>
    <w:tmpl w:val="CB2CFB36"/>
    <w:numStyleLink w:val="-"/>
  </w:abstractNum>
  <w:abstractNum w:abstractNumId="14" w15:restartNumberingAfterBreak="0">
    <w:nsid w:val="55172A18"/>
    <w:multiLevelType w:val="hybridMultilevel"/>
    <w:tmpl w:val="5F4684DE"/>
    <w:lvl w:ilvl="0" w:tplc="A8A099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BCE271C"/>
    <w:multiLevelType w:val="hybridMultilevel"/>
    <w:tmpl w:val="20445462"/>
    <w:lvl w:ilvl="0" w:tplc="04090013">
      <w:start w:val="1"/>
      <w:numFmt w:val="hebrew1"/>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C2D00DD"/>
    <w:multiLevelType w:val="multilevel"/>
    <w:tmpl w:val="CB2CFB36"/>
    <w:styleLink w:val="-"/>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17" w15:restartNumberingAfterBreak="0">
    <w:nsid w:val="61B24202"/>
    <w:multiLevelType w:val="hybridMultilevel"/>
    <w:tmpl w:val="5BE6E832"/>
    <w:lvl w:ilvl="0" w:tplc="8A404B2C">
      <w:start w:val="2"/>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EE3BF0"/>
    <w:multiLevelType w:val="hybridMultilevel"/>
    <w:tmpl w:val="9CE6C04E"/>
    <w:lvl w:ilvl="0" w:tplc="49BE5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D85A6F"/>
    <w:multiLevelType w:val="hybridMultilevel"/>
    <w:tmpl w:val="DAC4491E"/>
    <w:lvl w:ilvl="0" w:tplc="2A0C86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6"/>
  </w:num>
  <w:num w:numId="3">
    <w:abstractNumId w:val="2"/>
  </w:num>
  <w:num w:numId="4">
    <w:abstractNumId w:val="3"/>
  </w:num>
  <w:num w:numId="5">
    <w:abstractNumId w:val="1"/>
  </w:num>
  <w:num w:numId="6">
    <w:abstractNumId w:val="10"/>
  </w:num>
  <w:num w:numId="7">
    <w:abstractNumId w:val="13"/>
  </w:num>
  <w:num w:numId="8">
    <w:abstractNumId w:val="0"/>
  </w:num>
  <w:num w:numId="9">
    <w:abstractNumId w:val="11"/>
  </w:num>
  <w:num w:numId="10">
    <w:abstractNumId w:val="15"/>
  </w:num>
  <w:num w:numId="11">
    <w:abstractNumId w:val="17"/>
  </w:num>
  <w:num w:numId="12">
    <w:abstractNumId w:val="4"/>
  </w:num>
  <w:num w:numId="13">
    <w:abstractNumId w:val="19"/>
  </w:num>
  <w:num w:numId="14">
    <w:abstractNumId w:val="14"/>
  </w:num>
  <w:num w:numId="15">
    <w:abstractNumId w:val="9"/>
  </w:num>
  <w:num w:numId="16">
    <w:abstractNumId w:val="12"/>
  </w:num>
  <w:num w:numId="17">
    <w:abstractNumId w:val="7"/>
  </w:num>
  <w:num w:numId="18">
    <w:abstractNumId w:val="18"/>
  </w:num>
  <w:num w:numId="19">
    <w:abstractNumId w:val="6"/>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3B3"/>
    <w:rsid w:val="00011907"/>
    <w:rsid w:val="00014182"/>
    <w:rsid w:val="00047C97"/>
    <w:rsid w:val="000520B7"/>
    <w:rsid w:val="000568CE"/>
    <w:rsid w:val="00066383"/>
    <w:rsid w:val="00072C21"/>
    <w:rsid w:val="0008295C"/>
    <w:rsid w:val="00093B9D"/>
    <w:rsid w:val="000B04AB"/>
    <w:rsid w:val="000C04AE"/>
    <w:rsid w:val="000E6098"/>
    <w:rsid w:val="000E632C"/>
    <w:rsid w:val="0010326C"/>
    <w:rsid w:val="001611C6"/>
    <w:rsid w:val="00164B30"/>
    <w:rsid w:val="001806EF"/>
    <w:rsid w:val="0018292D"/>
    <w:rsid w:val="001A7C42"/>
    <w:rsid w:val="001C4F6D"/>
    <w:rsid w:val="001D55DD"/>
    <w:rsid w:val="001E548A"/>
    <w:rsid w:val="00204433"/>
    <w:rsid w:val="00211225"/>
    <w:rsid w:val="002226DB"/>
    <w:rsid w:val="00242D5C"/>
    <w:rsid w:val="00253C71"/>
    <w:rsid w:val="0026342A"/>
    <w:rsid w:val="002646B7"/>
    <w:rsid w:val="00275887"/>
    <w:rsid w:val="002818BF"/>
    <w:rsid w:val="0028569B"/>
    <w:rsid w:val="002874F3"/>
    <w:rsid w:val="00292517"/>
    <w:rsid w:val="002A3BCD"/>
    <w:rsid w:val="002A54A3"/>
    <w:rsid w:val="002A6935"/>
    <w:rsid w:val="002A7FEA"/>
    <w:rsid w:val="002B2181"/>
    <w:rsid w:val="002D3A1A"/>
    <w:rsid w:val="002D6F06"/>
    <w:rsid w:val="002E287B"/>
    <w:rsid w:val="002E38F4"/>
    <w:rsid w:val="002E57EC"/>
    <w:rsid w:val="002F0175"/>
    <w:rsid w:val="002F197C"/>
    <w:rsid w:val="003024F4"/>
    <w:rsid w:val="00325E01"/>
    <w:rsid w:val="003448FB"/>
    <w:rsid w:val="00361114"/>
    <w:rsid w:val="003840FE"/>
    <w:rsid w:val="00393C6A"/>
    <w:rsid w:val="003A1D7A"/>
    <w:rsid w:val="003A307B"/>
    <w:rsid w:val="003C3A5C"/>
    <w:rsid w:val="003D78EB"/>
    <w:rsid w:val="003F1396"/>
    <w:rsid w:val="0040055E"/>
    <w:rsid w:val="00412BAD"/>
    <w:rsid w:val="00423D6A"/>
    <w:rsid w:val="00426E0E"/>
    <w:rsid w:val="004323EF"/>
    <w:rsid w:val="004348D5"/>
    <w:rsid w:val="004410DE"/>
    <w:rsid w:val="0044663B"/>
    <w:rsid w:val="00451F2E"/>
    <w:rsid w:val="004523EB"/>
    <w:rsid w:val="00452D7A"/>
    <w:rsid w:val="004753F8"/>
    <w:rsid w:val="00482653"/>
    <w:rsid w:val="004958C4"/>
    <w:rsid w:val="004C127D"/>
    <w:rsid w:val="004C5538"/>
    <w:rsid w:val="004D65A1"/>
    <w:rsid w:val="004E0521"/>
    <w:rsid w:val="004E0806"/>
    <w:rsid w:val="004E479D"/>
    <w:rsid w:val="004F3773"/>
    <w:rsid w:val="005028F9"/>
    <w:rsid w:val="00505D36"/>
    <w:rsid w:val="00505DD7"/>
    <w:rsid w:val="00515321"/>
    <w:rsid w:val="00515E5C"/>
    <w:rsid w:val="005230E8"/>
    <w:rsid w:val="00534452"/>
    <w:rsid w:val="005371D8"/>
    <w:rsid w:val="00556BE2"/>
    <w:rsid w:val="005815B8"/>
    <w:rsid w:val="005B07A1"/>
    <w:rsid w:val="005D3D79"/>
    <w:rsid w:val="005D42E4"/>
    <w:rsid w:val="005E54BD"/>
    <w:rsid w:val="00600BFA"/>
    <w:rsid w:val="00600F1F"/>
    <w:rsid w:val="00602DAD"/>
    <w:rsid w:val="00606F2B"/>
    <w:rsid w:val="00616E5D"/>
    <w:rsid w:val="006309B0"/>
    <w:rsid w:val="00643A09"/>
    <w:rsid w:val="00645E25"/>
    <w:rsid w:val="0066664E"/>
    <w:rsid w:val="00677A13"/>
    <w:rsid w:val="00692C69"/>
    <w:rsid w:val="006952CA"/>
    <w:rsid w:val="006A13C9"/>
    <w:rsid w:val="006A2503"/>
    <w:rsid w:val="006A5446"/>
    <w:rsid w:val="006A7BAB"/>
    <w:rsid w:val="006B352E"/>
    <w:rsid w:val="006C55AF"/>
    <w:rsid w:val="006D0744"/>
    <w:rsid w:val="006D686D"/>
    <w:rsid w:val="006E02B8"/>
    <w:rsid w:val="006E5942"/>
    <w:rsid w:val="006F166C"/>
    <w:rsid w:val="006F2EA0"/>
    <w:rsid w:val="00706164"/>
    <w:rsid w:val="00735D55"/>
    <w:rsid w:val="00743847"/>
    <w:rsid w:val="00745E64"/>
    <w:rsid w:val="00751B50"/>
    <w:rsid w:val="00757313"/>
    <w:rsid w:val="00757879"/>
    <w:rsid w:val="007611DA"/>
    <w:rsid w:val="0076151E"/>
    <w:rsid w:val="00793E5C"/>
    <w:rsid w:val="007A3640"/>
    <w:rsid w:val="007A373A"/>
    <w:rsid w:val="007B5044"/>
    <w:rsid w:val="007C226E"/>
    <w:rsid w:val="007D0FCF"/>
    <w:rsid w:val="007D1020"/>
    <w:rsid w:val="007D4118"/>
    <w:rsid w:val="007E2692"/>
    <w:rsid w:val="007E2F35"/>
    <w:rsid w:val="0080160A"/>
    <w:rsid w:val="0082623D"/>
    <w:rsid w:val="0082739B"/>
    <w:rsid w:val="0086030E"/>
    <w:rsid w:val="00864DB3"/>
    <w:rsid w:val="00867AE5"/>
    <w:rsid w:val="00870D8A"/>
    <w:rsid w:val="008857A7"/>
    <w:rsid w:val="00887E67"/>
    <w:rsid w:val="008928E1"/>
    <w:rsid w:val="008B39D7"/>
    <w:rsid w:val="008E575A"/>
    <w:rsid w:val="008E77BE"/>
    <w:rsid w:val="008F1ACA"/>
    <w:rsid w:val="00910BC9"/>
    <w:rsid w:val="00915C9A"/>
    <w:rsid w:val="00935E81"/>
    <w:rsid w:val="00951213"/>
    <w:rsid w:val="00970487"/>
    <w:rsid w:val="00977365"/>
    <w:rsid w:val="00986444"/>
    <w:rsid w:val="00990A24"/>
    <w:rsid w:val="009B64FE"/>
    <w:rsid w:val="009C1BD4"/>
    <w:rsid w:val="009E52B5"/>
    <w:rsid w:val="009F7F7A"/>
    <w:rsid w:val="00A14A0D"/>
    <w:rsid w:val="00A15876"/>
    <w:rsid w:val="00A15D5D"/>
    <w:rsid w:val="00A26FF4"/>
    <w:rsid w:val="00A30011"/>
    <w:rsid w:val="00A30921"/>
    <w:rsid w:val="00A35EDE"/>
    <w:rsid w:val="00A5751E"/>
    <w:rsid w:val="00A67A4F"/>
    <w:rsid w:val="00A711F6"/>
    <w:rsid w:val="00A7396A"/>
    <w:rsid w:val="00A73972"/>
    <w:rsid w:val="00A84333"/>
    <w:rsid w:val="00A84658"/>
    <w:rsid w:val="00A93FD9"/>
    <w:rsid w:val="00AA4752"/>
    <w:rsid w:val="00AA7C2E"/>
    <w:rsid w:val="00AD0167"/>
    <w:rsid w:val="00AE6520"/>
    <w:rsid w:val="00AE7EB5"/>
    <w:rsid w:val="00AF1C47"/>
    <w:rsid w:val="00AF23B3"/>
    <w:rsid w:val="00B03E2B"/>
    <w:rsid w:val="00B041F7"/>
    <w:rsid w:val="00B12F15"/>
    <w:rsid w:val="00B311D4"/>
    <w:rsid w:val="00B344B6"/>
    <w:rsid w:val="00B429D7"/>
    <w:rsid w:val="00B53DCC"/>
    <w:rsid w:val="00B60EE6"/>
    <w:rsid w:val="00B67385"/>
    <w:rsid w:val="00B71D37"/>
    <w:rsid w:val="00B74D05"/>
    <w:rsid w:val="00B8790A"/>
    <w:rsid w:val="00B93390"/>
    <w:rsid w:val="00B93A25"/>
    <w:rsid w:val="00B97234"/>
    <w:rsid w:val="00BA487F"/>
    <w:rsid w:val="00BA4F9A"/>
    <w:rsid w:val="00BB393A"/>
    <w:rsid w:val="00BD58C1"/>
    <w:rsid w:val="00BD67E7"/>
    <w:rsid w:val="00C01906"/>
    <w:rsid w:val="00C12BE4"/>
    <w:rsid w:val="00C171DC"/>
    <w:rsid w:val="00C27AC8"/>
    <w:rsid w:val="00C37F33"/>
    <w:rsid w:val="00C740D4"/>
    <w:rsid w:val="00C84ABA"/>
    <w:rsid w:val="00CA61AF"/>
    <w:rsid w:val="00CB40A4"/>
    <w:rsid w:val="00CC356E"/>
    <w:rsid w:val="00CD6DB8"/>
    <w:rsid w:val="00CE0517"/>
    <w:rsid w:val="00CF44BB"/>
    <w:rsid w:val="00D04FBC"/>
    <w:rsid w:val="00D13D7A"/>
    <w:rsid w:val="00D174CD"/>
    <w:rsid w:val="00D323E1"/>
    <w:rsid w:val="00D33979"/>
    <w:rsid w:val="00D66453"/>
    <w:rsid w:val="00D71809"/>
    <w:rsid w:val="00D731DA"/>
    <w:rsid w:val="00D8678E"/>
    <w:rsid w:val="00D969C1"/>
    <w:rsid w:val="00DB0951"/>
    <w:rsid w:val="00DD5320"/>
    <w:rsid w:val="00DE069A"/>
    <w:rsid w:val="00DE7CC8"/>
    <w:rsid w:val="00DF73FF"/>
    <w:rsid w:val="00E41B31"/>
    <w:rsid w:val="00E56588"/>
    <w:rsid w:val="00E5783B"/>
    <w:rsid w:val="00E95EEF"/>
    <w:rsid w:val="00EA6729"/>
    <w:rsid w:val="00EC303E"/>
    <w:rsid w:val="00EC6B94"/>
    <w:rsid w:val="00EF71D7"/>
    <w:rsid w:val="00F00D41"/>
    <w:rsid w:val="00F0592A"/>
    <w:rsid w:val="00F25ABF"/>
    <w:rsid w:val="00F509E4"/>
    <w:rsid w:val="00F74EF7"/>
    <w:rsid w:val="00F80DA7"/>
    <w:rsid w:val="00F975CB"/>
    <w:rsid w:val="00FB644F"/>
    <w:rsid w:val="00FE3193"/>
    <w:rsid w:val="00FE3F33"/>
    <w:rsid w:val="00FE683B"/>
    <w:rsid w:val="00FF392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924720E-72B9-4FB1-BE3B-5F9E6CBF5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356E"/>
    <w:pPr>
      <w:bidi/>
      <w:spacing w:before="120" w:after="120" w:line="360" w:lineRule="auto"/>
      <w:jc w:val="both"/>
    </w:pPr>
    <w:rPr>
      <w:rFonts w:ascii="Times New Roman" w:hAnsi="Times New Roman" w:cs="David"/>
      <w:sz w:val="24"/>
      <w:szCs w:val="24"/>
    </w:rPr>
  </w:style>
  <w:style w:type="paragraph" w:styleId="1">
    <w:name w:val="heading 1"/>
    <w:basedOn w:val="a"/>
    <w:next w:val="a"/>
    <w:link w:val="10"/>
    <w:uiPriority w:val="9"/>
    <w:qFormat/>
    <w:rsid w:val="003A1D7A"/>
    <w:pPr>
      <w:widowControl w:val="0"/>
      <w:spacing w:after="0"/>
      <w:outlineLvl w:val="0"/>
    </w:pPr>
    <w:rPr>
      <w:b/>
      <w:bCs/>
      <w:caps/>
      <w:spacing w:val="15"/>
      <w:sz w:val="36"/>
      <w:szCs w:val="36"/>
    </w:rPr>
  </w:style>
  <w:style w:type="paragraph" w:styleId="2">
    <w:name w:val="heading 2"/>
    <w:basedOn w:val="a"/>
    <w:next w:val="a"/>
    <w:link w:val="20"/>
    <w:uiPriority w:val="9"/>
    <w:unhideWhenUsed/>
    <w:qFormat/>
    <w:rsid w:val="003A1D7A"/>
    <w:pPr>
      <w:widowControl w:val="0"/>
      <w:spacing w:after="0"/>
      <w:outlineLvl w:val="1"/>
    </w:pPr>
    <w:rPr>
      <w:b/>
      <w:bCs/>
      <w:caps/>
      <w:spacing w:val="15"/>
      <w:sz w:val="32"/>
      <w:szCs w:val="32"/>
    </w:rPr>
  </w:style>
  <w:style w:type="paragraph" w:styleId="3">
    <w:name w:val="heading 3"/>
    <w:basedOn w:val="a"/>
    <w:next w:val="a"/>
    <w:link w:val="30"/>
    <w:uiPriority w:val="9"/>
    <w:unhideWhenUsed/>
    <w:qFormat/>
    <w:rsid w:val="001611C6"/>
    <w:pPr>
      <w:widowControl w:val="0"/>
      <w:bidi w:val="0"/>
      <w:spacing w:before="300" w:after="0"/>
      <w:outlineLvl w:val="2"/>
    </w:pPr>
    <w:rPr>
      <w:bCs/>
      <w:caps/>
      <w:spacing w:val="15"/>
      <w:sz w:val="28"/>
      <w:szCs w:val="28"/>
    </w:rPr>
  </w:style>
  <w:style w:type="paragraph" w:styleId="4">
    <w:name w:val="heading 4"/>
    <w:basedOn w:val="a"/>
    <w:next w:val="a"/>
    <w:link w:val="40"/>
    <w:uiPriority w:val="9"/>
    <w:unhideWhenUsed/>
    <w:qFormat/>
    <w:rsid w:val="003A1D7A"/>
    <w:pPr>
      <w:bidi w:val="0"/>
      <w:spacing w:before="300" w:after="0"/>
      <w:outlineLvl w:val="3"/>
    </w:pPr>
    <w:rPr>
      <w:b/>
      <w:bCs/>
      <w:caps/>
      <w:spacing w:val="10"/>
    </w:rPr>
  </w:style>
  <w:style w:type="paragraph" w:styleId="5">
    <w:name w:val="heading 5"/>
    <w:basedOn w:val="a"/>
    <w:next w:val="a"/>
    <w:link w:val="50"/>
    <w:uiPriority w:val="9"/>
    <w:unhideWhenUsed/>
    <w:qFormat/>
    <w:rsid w:val="003A1D7A"/>
    <w:pPr>
      <w:widowControl w:val="0"/>
      <w:bidi w:val="0"/>
      <w:spacing w:before="300" w:after="0"/>
      <w:outlineLvl w:val="4"/>
    </w:pPr>
    <w:rPr>
      <w:b/>
      <w:bCs/>
      <w:caps/>
      <w:spacing w:val="10"/>
    </w:rPr>
  </w:style>
  <w:style w:type="paragraph" w:styleId="6">
    <w:name w:val="heading 6"/>
    <w:basedOn w:val="a"/>
    <w:next w:val="a"/>
    <w:link w:val="60"/>
    <w:uiPriority w:val="9"/>
    <w:unhideWhenUsed/>
    <w:qFormat/>
    <w:rsid w:val="00066383"/>
    <w:pPr>
      <w:widowControl w:val="0"/>
      <w:bidi w:val="0"/>
      <w:spacing w:before="300" w:after="0"/>
      <w:outlineLvl w:val="5"/>
    </w:pPr>
    <w:rPr>
      <w:b/>
      <w:bCs/>
      <w:caps/>
      <w:spacing w:val="10"/>
    </w:rPr>
  </w:style>
  <w:style w:type="paragraph" w:styleId="7">
    <w:name w:val="heading 7"/>
    <w:basedOn w:val="a"/>
    <w:next w:val="a"/>
    <w:link w:val="70"/>
    <w:uiPriority w:val="9"/>
    <w:unhideWhenUsed/>
    <w:qFormat/>
    <w:rsid w:val="003A1D7A"/>
    <w:pPr>
      <w:widowControl w:val="0"/>
      <w:bidi w:val="0"/>
      <w:spacing w:before="300" w:after="0"/>
      <w:outlineLvl w:val="6"/>
    </w:pPr>
    <w:rPr>
      <w:b/>
      <w:bCs/>
      <w:caps/>
      <w:spacing w:val="10"/>
    </w:rPr>
  </w:style>
  <w:style w:type="paragraph" w:styleId="8">
    <w:name w:val="heading 8"/>
    <w:basedOn w:val="a"/>
    <w:next w:val="a"/>
    <w:link w:val="80"/>
    <w:uiPriority w:val="9"/>
    <w:semiHidden/>
    <w:unhideWhenUsed/>
    <w:qFormat/>
    <w:rsid w:val="00014182"/>
    <w:pPr>
      <w:bidi w:val="0"/>
      <w:spacing w:before="300" w:after="0"/>
      <w:outlineLvl w:val="7"/>
    </w:pPr>
    <w:rPr>
      <w:caps/>
      <w:spacing w:val="10"/>
      <w:sz w:val="18"/>
      <w:szCs w:val="18"/>
    </w:rPr>
  </w:style>
  <w:style w:type="paragraph" w:styleId="9">
    <w:name w:val="heading 9"/>
    <w:basedOn w:val="a"/>
    <w:next w:val="a"/>
    <w:link w:val="90"/>
    <w:uiPriority w:val="9"/>
    <w:semiHidden/>
    <w:unhideWhenUsed/>
    <w:qFormat/>
    <w:rsid w:val="00014182"/>
    <w:pPr>
      <w:bidi w:val="0"/>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ind w:left="567" w:right="567"/>
    </w:pPr>
    <w:rPr>
      <w:i/>
      <w:iC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pPr>
    <w:rPr>
      <w:b/>
      <w:bCs/>
      <w:color w:val="365F91" w:themeColor="accent1" w:themeShade="BF"/>
      <w:sz w:val="16"/>
      <w:szCs w:val="16"/>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spacing w:before="100" w:after="100" w:line="240" w:lineRule="auto"/>
      <w:ind w:left="482"/>
    </w:pPr>
  </w:style>
  <w:style w:type="paragraph" w:styleId="TOC1">
    <w:name w:val="toc 1"/>
    <w:basedOn w:val="a"/>
    <w:next w:val="a"/>
    <w:autoRedefine/>
    <w:uiPriority w:val="39"/>
    <w:unhideWhenUsed/>
    <w:rsid w:val="00600BFA"/>
    <w:pPr>
      <w:widowControl w:val="0"/>
      <w:tabs>
        <w:tab w:val="right" w:leader="dot" w:pos="8296"/>
      </w:tabs>
      <w:spacing w:before="100" w:after="100" w:line="240" w:lineRule="auto"/>
    </w:pPr>
  </w:style>
  <w:style w:type="paragraph" w:styleId="TOC2">
    <w:name w:val="toc 2"/>
    <w:basedOn w:val="a"/>
    <w:next w:val="a"/>
    <w:autoRedefine/>
    <w:uiPriority w:val="39"/>
    <w:unhideWhenUsed/>
    <w:rsid w:val="00600BFA"/>
    <w:pPr>
      <w:widowControl w:val="0"/>
      <w:tabs>
        <w:tab w:val="right" w:leader="dot" w:pos="8296"/>
      </w:tabs>
      <w:spacing w:before="100" w:after="100" w:line="240" w:lineRule="auto"/>
      <w:ind w:left="238"/>
    </w:pPr>
  </w:style>
  <w:style w:type="paragraph" w:styleId="TOC7">
    <w:name w:val="toc 7"/>
    <w:basedOn w:val="a"/>
    <w:next w:val="a"/>
    <w:autoRedefine/>
    <w:uiPriority w:val="39"/>
    <w:unhideWhenUsed/>
    <w:rsid w:val="00600BFA"/>
    <w:pPr>
      <w:widowControl w:val="0"/>
      <w:tabs>
        <w:tab w:val="right" w:leader="dot" w:pos="8296"/>
      </w:tabs>
      <w:spacing w:before="100" w:after="100" w:line="240" w:lineRule="auto"/>
      <w:ind w:left="1440"/>
    </w:pPr>
  </w:style>
  <w:style w:type="paragraph" w:styleId="TOC6">
    <w:name w:val="toc 6"/>
    <w:basedOn w:val="a"/>
    <w:next w:val="a"/>
    <w:autoRedefine/>
    <w:uiPriority w:val="39"/>
    <w:unhideWhenUsed/>
    <w:rsid w:val="00600BFA"/>
    <w:pPr>
      <w:widowControl w:val="0"/>
      <w:tabs>
        <w:tab w:val="right" w:leader="dot" w:pos="8296"/>
      </w:tabs>
      <w:spacing w:before="100" w:after="100" w:line="240" w:lineRule="auto"/>
      <w:ind w:left="1202"/>
      <w:contextualSpacing/>
    </w:pPr>
  </w:style>
  <w:style w:type="paragraph" w:styleId="TOC5">
    <w:name w:val="toc 5"/>
    <w:basedOn w:val="a"/>
    <w:next w:val="a"/>
    <w:autoRedefine/>
    <w:uiPriority w:val="39"/>
    <w:unhideWhenUsed/>
    <w:rsid w:val="00600BFA"/>
    <w:pPr>
      <w:widowControl w:val="0"/>
      <w:tabs>
        <w:tab w:val="right" w:leader="dot" w:pos="8296"/>
      </w:tabs>
      <w:spacing w:before="100" w:after="100" w:line="240" w:lineRule="auto"/>
      <w:ind w:left="958"/>
    </w:pPr>
  </w:style>
  <w:style w:type="paragraph" w:styleId="TOC4">
    <w:name w:val="toc 4"/>
    <w:basedOn w:val="a"/>
    <w:next w:val="a"/>
    <w:autoRedefine/>
    <w:uiPriority w:val="39"/>
    <w:unhideWhenUsed/>
    <w:rsid w:val="00600BFA"/>
    <w:pPr>
      <w:widowControl w:val="0"/>
      <w:spacing w:before="100" w:after="100" w:line="240" w:lineRule="auto"/>
      <w:ind w:left="720"/>
    </w:pPr>
  </w:style>
  <w:style w:type="paragraph" w:styleId="a7">
    <w:name w:val="List Paragraph"/>
    <w:basedOn w:val="a"/>
    <w:uiPriority w:val="34"/>
    <w:rsid w:val="00FE3193"/>
    <w:pPr>
      <w:ind w:left="720"/>
      <w:contextualSpacing/>
    </w:p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8">
    <w:name w:val="header"/>
    <w:basedOn w:val="a"/>
    <w:link w:val="a9"/>
    <w:uiPriority w:val="99"/>
    <w:unhideWhenUsed/>
    <w:rsid w:val="00745E64"/>
    <w:pPr>
      <w:tabs>
        <w:tab w:val="center" w:pos="4153"/>
        <w:tab w:val="right" w:pos="8306"/>
      </w:tabs>
      <w:spacing w:before="0" w:after="0" w:line="240" w:lineRule="auto"/>
    </w:pPr>
  </w:style>
  <w:style w:type="character" w:customStyle="1" w:styleId="a9">
    <w:name w:val="כותרת עליונה תו"/>
    <w:basedOn w:val="a0"/>
    <w:link w:val="a8"/>
    <w:uiPriority w:val="99"/>
    <w:rsid w:val="00745E64"/>
    <w:rPr>
      <w:rFonts w:ascii="Times New Roman" w:hAnsi="Times New Roman" w:cs="David"/>
      <w:sz w:val="24"/>
      <w:szCs w:val="24"/>
    </w:rPr>
  </w:style>
  <w:style w:type="paragraph" w:styleId="aa">
    <w:name w:val="footer"/>
    <w:basedOn w:val="a"/>
    <w:link w:val="ab"/>
    <w:uiPriority w:val="99"/>
    <w:unhideWhenUsed/>
    <w:rsid w:val="00745E64"/>
    <w:pPr>
      <w:tabs>
        <w:tab w:val="center" w:pos="4153"/>
        <w:tab w:val="right" w:pos="8306"/>
      </w:tabs>
      <w:spacing w:before="0" w:after="0" w:line="240" w:lineRule="auto"/>
    </w:pPr>
  </w:style>
  <w:style w:type="character" w:customStyle="1" w:styleId="ab">
    <w:name w:val="כותרת תחתונה תו"/>
    <w:basedOn w:val="a0"/>
    <w:link w:val="aa"/>
    <w:uiPriority w:val="99"/>
    <w:rsid w:val="00745E64"/>
    <w:rPr>
      <w:rFonts w:ascii="Times New Roman" w:hAnsi="Times New Roman" w:cs="David"/>
      <w:sz w:val="24"/>
      <w:szCs w:val="24"/>
    </w:rPr>
  </w:style>
  <w:style w:type="paragraph" w:styleId="ac">
    <w:name w:val="Balloon Text"/>
    <w:basedOn w:val="a"/>
    <w:link w:val="ad"/>
    <w:uiPriority w:val="99"/>
    <w:semiHidden/>
    <w:unhideWhenUsed/>
    <w:rsid w:val="00745E64"/>
    <w:pPr>
      <w:spacing w:before="0" w:after="0" w:line="240" w:lineRule="auto"/>
    </w:pPr>
    <w:rPr>
      <w:rFonts w:ascii="Tahoma" w:hAnsi="Tahoma" w:cs="Tahoma"/>
      <w:sz w:val="16"/>
      <w:szCs w:val="16"/>
    </w:rPr>
  </w:style>
  <w:style w:type="character" w:customStyle="1" w:styleId="ad">
    <w:name w:val="טקסט בלונים תו"/>
    <w:basedOn w:val="a0"/>
    <w:link w:val="ac"/>
    <w:uiPriority w:val="99"/>
    <w:semiHidden/>
    <w:rsid w:val="00745E64"/>
    <w:rPr>
      <w:rFonts w:ascii="Tahoma" w:hAnsi="Tahoma" w:cs="Tahoma"/>
      <w:sz w:val="16"/>
      <w:szCs w:val="16"/>
    </w:rPr>
  </w:style>
  <w:style w:type="paragraph" w:styleId="ae">
    <w:name w:val="footnote text"/>
    <w:basedOn w:val="a"/>
    <w:link w:val="af"/>
    <w:uiPriority w:val="99"/>
    <w:semiHidden/>
    <w:unhideWhenUsed/>
    <w:rsid w:val="00A30011"/>
    <w:pPr>
      <w:spacing w:before="0" w:after="0" w:line="240" w:lineRule="auto"/>
    </w:pPr>
    <w:rPr>
      <w:sz w:val="20"/>
      <w:szCs w:val="20"/>
    </w:rPr>
  </w:style>
  <w:style w:type="character" w:customStyle="1" w:styleId="af">
    <w:name w:val="טקסט הערת שוליים תו"/>
    <w:basedOn w:val="a0"/>
    <w:link w:val="ae"/>
    <w:uiPriority w:val="99"/>
    <w:semiHidden/>
    <w:rsid w:val="00A30011"/>
    <w:rPr>
      <w:rFonts w:ascii="Times New Roman" w:hAnsi="Times New Roman" w:cs="David"/>
      <w:sz w:val="20"/>
      <w:szCs w:val="20"/>
    </w:rPr>
  </w:style>
  <w:style w:type="character" w:styleId="af0">
    <w:name w:val="footnote reference"/>
    <w:basedOn w:val="a0"/>
    <w:uiPriority w:val="99"/>
    <w:semiHidden/>
    <w:unhideWhenUsed/>
    <w:rsid w:val="00A30011"/>
    <w:rPr>
      <w:vertAlign w:val="superscript"/>
    </w:rPr>
  </w:style>
  <w:style w:type="table" w:styleId="af1">
    <w:name w:val="Table Grid"/>
    <w:basedOn w:val="a1"/>
    <w:uiPriority w:val="59"/>
    <w:rsid w:val="008928E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semiHidden/>
    <w:unhideWhenUsed/>
    <w:rsid w:val="002E28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83A622-A2EC-4AD8-8AEC-96C7B1C28860}">
  <ds:schemaRefs>
    <ds:schemaRef ds:uri="http://schemas.openxmlformats.org/officeDocument/2006/bibliography"/>
  </ds:schemaRefs>
</ds:datastoreItem>
</file>

<file path=customXml/itemProps2.xml><?xml version="1.0" encoding="utf-8"?>
<ds:datastoreItem xmlns:ds="http://schemas.openxmlformats.org/officeDocument/2006/customXml" ds:itemID="{A370CD91-D972-45E5-8A98-7FDEC377D942}"/>
</file>

<file path=customXml/itemProps3.xml><?xml version="1.0" encoding="utf-8"?>
<ds:datastoreItem xmlns:ds="http://schemas.openxmlformats.org/officeDocument/2006/customXml" ds:itemID="{268E731F-DA02-4338-85D5-FFC7A4B4D09F}"/>
</file>

<file path=customXml/itemProps4.xml><?xml version="1.0" encoding="utf-8"?>
<ds:datastoreItem xmlns:ds="http://schemas.openxmlformats.org/officeDocument/2006/customXml" ds:itemID="{9B9EC7AD-D0D3-432C-95F7-A8F01A3390EB}"/>
</file>

<file path=docProps/app.xml><?xml version="1.0" encoding="utf-8"?>
<Properties xmlns="http://schemas.openxmlformats.org/officeDocument/2006/extended-properties" xmlns:vt="http://schemas.openxmlformats.org/officeDocument/2006/docPropsVTypes">
  <Template>Normal</Template>
  <TotalTime>1</TotalTime>
  <Pages>6</Pages>
  <Words>1534</Words>
  <Characters>7671</Characters>
  <Application>Microsoft Office Word</Application>
  <DocSecurity>0</DocSecurity>
  <Lines>63</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MOF</Company>
  <LinksUpToDate>false</LinksUpToDate>
  <CharactersWithSpaces>9187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גלית בן-נאים</dc:creator>
  <cp:lastModifiedBy>חנה יוסף</cp:lastModifiedBy>
  <cp:revision>2</cp:revision>
  <cp:lastPrinted>2014-03-30T10:02:00Z</cp:lastPrinted>
  <dcterms:created xsi:type="dcterms:W3CDTF">2017-12-19T06:47:00Z</dcterms:created>
  <dcterms:modified xsi:type="dcterms:W3CDTF">2017-12-19T06:47:00Z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2024830</vt:r8>
  </property>
</Properties>
</file>