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564959</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אורלי לוי אבקסיס</w:t>
      </w:r>
      <w:r>
        <w:br/>
      </w:r>
      <w:r>
        <w:rPr>
          <w:rFonts w:hint="cs"/>
          <w:b/>
          <w:bCs/>
          <w:rtl/>
        </w:rPr>
        <w:t xml:space="preserve"> </w:t>
      </w:r>
      <w:r>
        <w:tab/>
      </w:r>
      <w:r>
        <w:tab/>
      </w:r>
      <w:r>
        <w:tab/>
      </w:r>
      <w:r>
        <w:tab/>
      </w:r>
      <w:r>
        <w:rPr>
          <w:rFonts w:hint="cs"/>
          <w:b/>
          <w:bCs/>
          <w:rtl/>
        </w:rPr>
        <w:t>דוד אמסלם</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איילת נחמיאס ורבין</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אורן אסף חזן</w:t>
      </w:r>
      <w:r>
        <w:br/>
      </w:r>
      <w:r>
        <w:rPr>
          <w:rFonts w:hint="cs"/>
          <w:b/>
          <w:bCs/>
          <w:rtl/>
        </w:rPr>
        <w:t xml:space="preserve"> </w:t>
      </w:r>
      <w:r>
        <w:tab/>
      </w:r>
      <w:r>
        <w:tab/>
      </w:r>
      <w:r>
        <w:tab/>
      </w:r>
      <w:r>
        <w:tab/>
      </w:r>
      <w:r>
        <w:rPr>
          <w:rFonts w:hint="cs"/>
          <w:b/>
          <w:bCs/>
          <w:rtl/>
        </w:rPr>
        <w:t>מרב מיכאלי</w:t>
      </w:r>
      <w:r>
        <w:br/>
      </w:r>
      <w:r>
        <w:rPr>
          <w:rFonts w:hint="cs"/>
          <w:b/>
          <w:bCs/>
          <w:rtl/>
        </w:rPr>
        <w:t xml:space="preserve"> </w:t>
      </w:r>
      <w:r>
        <w:tab/>
      </w:r>
      <w:r>
        <w:tab/>
      </w:r>
      <w:r>
        <w:tab/>
      </w:r>
      <w:r>
        <w:tab/>
      </w:r>
      <w:r>
        <w:rPr>
          <w:rFonts w:hint="cs"/>
          <w:b/>
          <w:bCs/>
          <w:rtl/>
        </w:rPr>
        <w:t>דניאל עטר</w:t>
      </w:r>
      <w:r>
        <w:br/>
      </w:r>
      <w:r>
        <w:rPr>
          <w:rFonts w:hint="cs"/>
          <w:b/>
          <w:bCs/>
          <w:rtl/>
        </w:rPr>
        <w:t xml:space="preserve"> </w:t>
      </w:r>
      <w:r>
        <w:tab/>
      </w:r>
      <w:r>
        <w:tab/>
      </w:r>
      <w:r>
        <w:tab/>
      </w:r>
      <w:r>
        <w:tab/>
      </w:r>
      <w:r>
        <w:rPr>
          <w:rFonts w:hint="cs"/>
          <w:b/>
          <w:bCs/>
          <w:rtl/>
        </w:rPr>
        <w:t>קסניה סבטלובה</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מכלוף מיקי זוהר</w:t>
      </w:r>
      <w:r>
        <w:br/>
      </w:r>
      <w:r>
        <w:rPr>
          <w:rFonts w:hint="cs"/>
          <w:b/>
          <w:bCs/>
          <w:rtl/>
        </w:rPr>
        <w:t xml:space="preserve"> </w:t>
      </w:r>
      <w:r>
        <w:tab/>
      </w:r>
      <w:r>
        <w:tab/>
      </w:r>
      <w:r>
        <w:tab/>
      </w:r>
      <w:r>
        <w:tab/>
      </w:r>
      <w:r>
        <w:rPr>
          <w:rFonts w:hint="cs"/>
          <w:b/>
          <w:bCs/>
          <w:rtl/>
        </w:rPr>
        <w:t>מאיר כהן</w:t>
      </w:r>
      <w:r>
        <w:br/>
      </w:r>
      <w:r>
        <w:rPr>
          <w:rFonts w:hint="cs"/>
          <w:b/>
          <w:bCs/>
          <w:rtl/>
        </w:rPr>
        <w:t xml:space="preserve"> </w:t>
      </w:r>
      <w:r>
        <w:tab/>
      </w:r>
      <w:r>
        <w:tab/>
      </w:r>
      <w:r>
        <w:tab/>
      </w:r>
      <w:r>
        <w:tab/>
      </w:r>
      <w:r>
        <w:rPr>
          <w:rFonts w:hint="cs"/>
          <w:b/>
          <w:bCs/>
          <w:rtl/>
        </w:rPr>
        <w:t>עליזה לביא</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136335DC" w:rsidR="00F95E27" w:rsidRDefault="00266D86" w:rsidP="00F95E27">
      <w:pPr>
        <w:pStyle w:val="David"/>
        <w:spacing w:before="0" w:line="360" w:lineRule="auto"/>
        <w:ind w:left="3544"/>
        <w:rPr>
          <w:rtl/>
        </w:rPr>
      </w:pPr>
      <w:r>
        <w:t>____</w:t>
      </w:r>
      <w:r w:rsidR="00E374F2">
        <w:t>__</w:t>
      </w:r>
      <w:r>
        <w:t>________________________________________</w:t>
      </w:r>
    </w:p>
    <w:p w14:paraId="7F6961AB" w14:textId="2A071229" w:rsidR="00E13C27" w:rsidRPr="00E06736" w:rsidRDefault="006F791D" w:rsidP="00F95E27">
      <w:pPr>
        <w:pStyle w:val="David"/>
        <w:spacing w:before="0" w:line="240" w:lineRule="auto"/>
        <w:ind w:left="3544"/>
        <w:rPr>
          <w:rtl/>
        </w:rPr>
      </w:pPr>
      <w:r>
        <w:rPr>
          <w:rtl/>
        </w:rPr>
        <w:tab/>
      </w:r>
      <w:r>
        <w:rPr>
          <w:rtl/>
        </w:rPr>
        <w:tab/>
      </w:r>
      <w:r>
        <w:rPr>
          <w:rtl/>
        </w:rPr>
        <w:tab/>
      </w:r>
      <w:r>
        <w:rPr>
          <w:rtl/>
        </w:rPr>
        <w:tab/>
      </w:r>
      <w:r>
        <w:rPr>
          <w:rtl/>
        </w:rPr>
        <w:tab/>
      </w:r>
      <w:r>
        <w:rPr>
          <w:rFonts w:hint="cs"/>
          <w:rtl/>
        </w:rPr>
        <w:t>פ/1810/20</w:t>
      </w:r>
    </w:p>
    <w:p w14:paraId="7F6961AD" w14:textId="05D2A7B0" w:rsidR="00E13C27" w:rsidRPr="00F67051" w:rsidRDefault="00A443CF" w:rsidP="0021633A">
      <w:pPr>
        <w:pStyle w:val="HeadHatzaotHok"/>
        <w:rPr>
          <w:rtl/>
        </w:rPr>
      </w:pPr>
      <w:bookmarkStart w:id="6" w:name="LGS_Subject"/>
      <w:bookmarkStart w:id="7" w:name="_GoBack"/>
      <w:r>
        <w:rPr>
          <w:rFonts w:hint="cs"/>
          <w:rtl/>
        </w:rPr>
        <w:t>הצעת חוק לטיפול בכתות פוגעניות, התשע"ה–2015</w:t>
      </w:r>
      <w:bookmarkEnd w:id="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E922CD" w14:paraId="509C598D" w14:textId="77777777" w:rsidTr="00E922CD">
        <w:trPr>
          <w:cantSplit/>
        </w:trPr>
        <w:tc>
          <w:tcPr>
            <w:tcW w:w="1872" w:type="dxa"/>
            <w:hideMark/>
          </w:tcPr>
          <w:bookmarkEnd w:id="7"/>
          <w:p w14:paraId="40C882C1" w14:textId="77777777" w:rsidR="00E922CD" w:rsidRDefault="00E922CD" w:rsidP="000808C9">
            <w:pPr>
              <w:pStyle w:val="TableSideHeading"/>
              <w:keepLines w:val="0"/>
            </w:pPr>
            <w:r>
              <w:rPr>
                <w:rFonts w:hint="cs"/>
                <w:rtl/>
              </w:rPr>
              <w:t>הגדרות</w:t>
            </w:r>
          </w:p>
        </w:tc>
        <w:tc>
          <w:tcPr>
            <w:tcW w:w="624" w:type="dxa"/>
            <w:hideMark/>
          </w:tcPr>
          <w:p w14:paraId="674CECB2" w14:textId="77777777" w:rsidR="00E922CD" w:rsidRDefault="00E922CD" w:rsidP="000808C9">
            <w:pPr>
              <w:pStyle w:val="TableText"/>
              <w:keepLines w:val="0"/>
            </w:pPr>
            <w:r>
              <w:rPr>
                <w:rFonts w:hint="cs"/>
                <w:rtl/>
              </w:rPr>
              <w:t>1.</w:t>
            </w:r>
          </w:p>
        </w:tc>
        <w:tc>
          <w:tcPr>
            <w:tcW w:w="7149" w:type="dxa"/>
            <w:gridSpan w:val="2"/>
            <w:hideMark/>
          </w:tcPr>
          <w:p w14:paraId="0D21468D" w14:textId="77777777" w:rsidR="00E922CD" w:rsidRDefault="00E922CD" w:rsidP="000808C9">
            <w:pPr>
              <w:pStyle w:val="TableBlock"/>
            </w:pPr>
            <w:r>
              <w:rPr>
                <w:rFonts w:hint="cs"/>
                <w:rtl/>
              </w:rPr>
              <w:t xml:space="preserve"> בחוק זה –</w:t>
            </w:r>
          </w:p>
        </w:tc>
      </w:tr>
      <w:tr w:rsidR="00E922CD" w14:paraId="2C3D5F61" w14:textId="77777777" w:rsidTr="00E922CD">
        <w:trPr>
          <w:cantSplit/>
        </w:trPr>
        <w:tc>
          <w:tcPr>
            <w:tcW w:w="1872" w:type="dxa"/>
          </w:tcPr>
          <w:p w14:paraId="19245742" w14:textId="77777777" w:rsidR="00E922CD" w:rsidRDefault="00E922CD" w:rsidP="000808C9">
            <w:pPr>
              <w:pStyle w:val="TableSideHeading"/>
              <w:keepLines w:val="0"/>
            </w:pPr>
          </w:p>
        </w:tc>
        <w:tc>
          <w:tcPr>
            <w:tcW w:w="624" w:type="dxa"/>
          </w:tcPr>
          <w:p w14:paraId="22343B12" w14:textId="77777777" w:rsidR="00E922CD" w:rsidRDefault="00E922CD" w:rsidP="000808C9">
            <w:pPr>
              <w:pStyle w:val="TableText"/>
            </w:pPr>
          </w:p>
        </w:tc>
        <w:tc>
          <w:tcPr>
            <w:tcW w:w="7149" w:type="dxa"/>
            <w:gridSpan w:val="2"/>
            <w:hideMark/>
          </w:tcPr>
          <w:p w14:paraId="48CAEEF1" w14:textId="77777777" w:rsidR="00E922CD" w:rsidRDefault="00E922CD" w:rsidP="000808C9">
            <w:pPr>
              <w:pStyle w:val="TableBlockOutdent"/>
            </w:pPr>
            <w:r>
              <w:rPr>
                <w:rFonts w:hint="cs"/>
                <w:rtl/>
              </w:rPr>
              <w:t>"כת פוגענית" – חבר בני אדם, מואגד או בלתי מואגד, המתלכדים סביב אדם או רעיון, באופן שמתקיים ניצול יחסי תלות, מרות או מצוקה נפשית של אחד או יותר מהחברים על ידי שימוש בשיטות של שליטה בתהליכי החשיבה ובדפוסי ההתנהגות, ופועל בתבנית מאורגנת, שיטתית ומתמשכת תוך עבירת עבירות שלפי דיני ישראל הן מסוג פשע או עבירות מין או אלימות חמורה כאמור בחוק זכויות נפגעי עבירה, התשס"א–2001</w:t>
            </w:r>
            <w:r>
              <w:rPr>
                <w:rStyle w:val="a6"/>
                <w:rtl/>
              </w:rPr>
              <w:footnoteReference w:id="2"/>
            </w:r>
            <w:r>
              <w:rPr>
                <w:rFonts w:hint="cs"/>
                <w:rtl/>
              </w:rPr>
              <w:t>;</w:t>
            </w:r>
          </w:p>
        </w:tc>
      </w:tr>
      <w:tr w:rsidR="00E922CD" w14:paraId="5C808769" w14:textId="77777777" w:rsidTr="00E922CD">
        <w:trPr>
          <w:cantSplit/>
        </w:trPr>
        <w:tc>
          <w:tcPr>
            <w:tcW w:w="1872" w:type="dxa"/>
          </w:tcPr>
          <w:p w14:paraId="4980DF2F" w14:textId="77777777" w:rsidR="00E922CD" w:rsidRDefault="00E922CD" w:rsidP="000808C9">
            <w:pPr>
              <w:pStyle w:val="TableSideHeading"/>
              <w:keepLines w:val="0"/>
            </w:pPr>
          </w:p>
        </w:tc>
        <w:tc>
          <w:tcPr>
            <w:tcW w:w="624" w:type="dxa"/>
          </w:tcPr>
          <w:p w14:paraId="6FFEEAD5" w14:textId="77777777" w:rsidR="00E922CD" w:rsidRDefault="00E922CD" w:rsidP="000808C9">
            <w:pPr>
              <w:pStyle w:val="TableText"/>
            </w:pPr>
          </w:p>
        </w:tc>
        <w:tc>
          <w:tcPr>
            <w:tcW w:w="7149" w:type="dxa"/>
            <w:gridSpan w:val="2"/>
            <w:hideMark/>
          </w:tcPr>
          <w:p w14:paraId="2183E8A3" w14:textId="77777777" w:rsidR="00E922CD" w:rsidRDefault="00E922CD" w:rsidP="000808C9">
            <w:pPr>
              <w:pStyle w:val="TableBlockOutdent"/>
            </w:pPr>
            <w:r>
              <w:rPr>
                <w:rFonts w:hint="cs"/>
                <w:rtl/>
              </w:rPr>
              <w:t>"השר" – שר הרווחה והשירותים החברתיים.</w:t>
            </w:r>
          </w:p>
        </w:tc>
      </w:tr>
      <w:tr w:rsidR="00E922CD" w14:paraId="7381EB7D" w14:textId="77777777" w:rsidTr="00E922CD">
        <w:trPr>
          <w:cantSplit/>
        </w:trPr>
        <w:tc>
          <w:tcPr>
            <w:tcW w:w="1872" w:type="dxa"/>
            <w:hideMark/>
          </w:tcPr>
          <w:p w14:paraId="49D7AAF3" w14:textId="77777777" w:rsidR="00E922CD" w:rsidRDefault="00E922CD" w:rsidP="000808C9">
            <w:pPr>
              <w:pStyle w:val="TableSideHeading"/>
            </w:pPr>
            <w:r>
              <w:rPr>
                <w:rFonts w:hint="cs"/>
                <w:rtl/>
              </w:rPr>
              <w:t>ראש כת פוגענית</w:t>
            </w:r>
          </w:p>
        </w:tc>
        <w:tc>
          <w:tcPr>
            <w:tcW w:w="624" w:type="dxa"/>
            <w:hideMark/>
          </w:tcPr>
          <w:p w14:paraId="71C60404" w14:textId="77777777" w:rsidR="00E922CD" w:rsidRDefault="00E922CD" w:rsidP="000808C9">
            <w:pPr>
              <w:pStyle w:val="TableText"/>
            </w:pPr>
            <w:r>
              <w:rPr>
                <w:rFonts w:hint="cs"/>
                <w:rtl/>
              </w:rPr>
              <w:t>2.</w:t>
            </w:r>
          </w:p>
        </w:tc>
        <w:tc>
          <w:tcPr>
            <w:tcW w:w="7149" w:type="dxa"/>
            <w:gridSpan w:val="2"/>
            <w:hideMark/>
          </w:tcPr>
          <w:p w14:paraId="54950231" w14:textId="77777777" w:rsidR="00E922CD" w:rsidRDefault="00E922CD" w:rsidP="000808C9">
            <w:pPr>
              <w:pStyle w:val="TableBlock"/>
            </w:pPr>
            <w:r>
              <w:rPr>
                <w:rFonts w:hint="cs"/>
                <w:rtl/>
              </w:rPr>
              <w:t>העומד בראש כת פוגענית או אדם המנהל או המארגן את הפעילות בכת פוגענית, דינו – מאסר עשר שנים.</w:t>
            </w:r>
          </w:p>
        </w:tc>
      </w:tr>
      <w:tr w:rsidR="00E922CD" w14:paraId="725B0618" w14:textId="77777777" w:rsidTr="00E922CD">
        <w:trPr>
          <w:cantSplit/>
        </w:trPr>
        <w:tc>
          <w:tcPr>
            <w:tcW w:w="1872" w:type="dxa"/>
          </w:tcPr>
          <w:p w14:paraId="5A340482" w14:textId="77777777" w:rsidR="00E922CD" w:rsidRDefault="00E922CD" w:rsidP="000808C9">
            <w:pPr>
              <w:pStyle w:val="TableSideHeading"/>
              <w:rPr>
                <w:sz w:val="22"/>
                <w:szCs w:val="22"/>
                <w:highlight w:val="yellow"/>
                <w:rtl/>
              </w:rPr>
            </w:pPr>
            <w:r>
              <w:rPr>
                <w:rFonts w:hint="cs"/>
                <w:rtl/>
              </w:rPr>
              <w:t>חילוט רכוש</w:t>
            </w:r>
          </w:p>
          <w:p w14:paraId="189DD0DC" w14:textId="77777777" w:rsidR="00E922CD" w:rsidRDefault="00E922CD" w:rsidP="000808C9">
            <w:pPr>
              <w:pStyle w:val="TableSideHeading"/>
              <w:rPr>
                <w:sz w:val="22"/>
                <w:szCs w:val="22"/>
                <w:highlight w:val="yellow"/>
              </w:rPr>
            </w:pPr>
          </w:p>
        </w:tc>
        <w:tc>
          <w:tcPr>
            <w:tcW w:w="624" w:type="dxa"/>
            <w:hideMark/>
          </w:tcPr>
          <w:p w14:paraId="79625565" w14:textId="77777777" w:rsidR="00E922CD" w:rsidRDefault="00E922CD" w:rsidP="000808C9">
            <w:pPr>
              <w:pStyle w:val="TableText"/>
            </w:pPr>
            <w:r>
              <w:rPr>
                <w:rFonts w:hint="cs"/>
                <w:rtl/>
              </w:rPr>
              <w:t>3.</w:t>
            </w:r>
          </w:p>
        </w:tc>
        <w:tc>
          <w:tcPr>
            <w:tcW w:w="7149" w:type="dxa"/>
            <w:gridSpan w:val="2"/>
            <w:hideMark/>
          </w:tcPr>
          <w:p w14:paraId="4C72FCDA" w14:textId="77777777" w:rsidR="00E922CD" w:rsidRDefault="00E922CD" w:rsidP="000808C9">
            <w:pPr>
              <w:pStyle w:val="TableBlock"/>
            </w:pPr>
            <w:r>
              <w:rPr>
                <w:rFonts w:hint="cs"/>
                <w:rtl/>
              </w:rPr>
              <w:t>הורשע אדם בעבירה לפי סעיף 2, יצווה בית המשפט, אלא אם כן סבר שלא לעשות כן מנימוקים מיוחדים שיפרט, כי נוסף על כל עונש יחולט רכוש הקשור לעבירה שנמצא בחזקתו, בשליטתו או בחשבונו של הנידון; על חילוט כאמור יחולו הוראות פרקים ג' ו-ה' עד ז' לחוק מאבק בארגוני פשיעה, התשס"ג–2003</w:t>
            </w:r>
            <w:r>
              <w:rPr>
                <w:rStyle w:val="a6"/>
                <w:rtl/>
              </w:rPr>
              <w:footnoteReference w:id="3"/>
            </w:r>
            <w:r>
              <w:rPr>
                <w:rFonts w:hint="cs"/>
                <w:rtl/>
              </w:rPr>
              <w:t>.</w:t>
            </w:r>
          </w:p>
        </w:tc>
      </w:tr>
      <w:tr w:rsidR="00E922CD" w14:paraId="2EF92DFF" w14:textId="77777777" w:rsidTr="00E922CD">
        <w:trPr>
          <w:cantSplit/>
          <w:trHeight w:val="60"/>
        </w:trPr>
        <w:tc>
          <w:tcPr>
            <w:tcW w:w="1872" w:type="dxa"/>
          </w:tcPr>
          <w:p w14:paraId="2905AAD3" w14:textId="77777777" w:rsidR="00E922CD" w:rsidRDefault="00E922CD" w:rsidP="000808C9">
            <w:pPr>
              <w:pStyle w:val="TableSideHeading"/>
              <w:rPr>
                <w:rtl/>
              </w:rPr>
            </w:pPr>
            <w:r>
              <w:rPr>
                <w:rFonts w:hint="cs"/>
                <w:rtl/>
              </w:rPr>
              <w:t>הקמת מאגר מידע</w:t>
            </w:r>
          </w:p>
          <w:p w14:paraId="59772DE7" w14:textId="77777777" w:rsidR="00E922CD" w:rsidRDefault="00E922CD" w:rsidP="000808C9">
            <w:pPr>
              <w:pStyle w:val="TableSideHeading"/>
            </w:pPr>
          </w:p>
        </w:tc>
        <w:tc>
          <w:tcPr>
            <w:tcW w:w="624" w:type="dxa"/>
            <w:hideMark/>
          </w:tcPr>
          <w:p w14:paraId="4C28DB2C" w14:textId="77777777" w:rsidR="00E922CD" w:rsidRDefault="00E922CD" w:rsidP="000808C9">
            <w:pPr>
              <w:pStyle w:val="TableText"/>
            </w:pPr>
            <w:r>
              <w:rPr>
                <w:rFonts w:hint="cs"/>
                <w:rtl/>
              </w:rPr>
              <w:t>4.</w:t>
            </w:r>
          </w:p>
        </w:tc>
        <w:tc>
          <w:tcPr>
            <w:tcW w:w="7149" w:type="dxa"/>
            <w:gridSpan w:val="2"/>
            <w:hideMark/>
          </w:tcPr>
          <w:p w14:paraId="566D022C" w14:textId="77777777" w:rsidR="00E922CD" w:rsidRDefault="00E922CD" w:rsidP="000808C9">
            <w:pPr>
              <w:pStyle w:val="TableBlock"/>
            </w:pPr>
            <w:r>
              <w:rPr>
                <w:rFonts w:hint="cs"/>
                <w:rtl/>
              </w:rPr>
              <w:t>(א)</w:t>
            </w:r>
            <w:r>
              <w:rPr>
                <w:rFonts w:hint="cs"/>
                <w:rtl/>
              </w:rPr>
              <w:tab/>
              <w:t>השר יפרסם באתר האינטרנט של משרד הרווחה והשירותים החברתיים מידע בענייני כתות פוגעניות אשר יכלול, בין היתר, את הפרטים המפורטים להלן:</w:t>
            </w:r>
          </w:p>
        </w:tc>
      </w:tr>
      <w:tr w:rsidR="00E922CD" w14:paraId="663AEF80" w14:textId="77777777" w:rsidTr="00E922CD">
        <w:trPr>
          <w:cantSplit/>
          <w:trHeight w:val="60"/>
        </w:trPr>
        <w:tc>
          <w:tcPr>
            <w:tcW w:w="1872" w:type="dxa"/>
          </w:tcPr>
          <w:p w14:paraId="28666B93" w14:textId="77777777" w:rsidR="00E922CD" w:rsidRDefault="00E922CD" w:rsidP="000808C9">
            <w:pPr>
              <w:pStyle w:val="TableSideHeading"/>
            </w:pPr>
          </w:p>
        </w:tc>
        <w:tc>
          <w:tcPr>
            <w:tcW w:w="624" w:type="dxa"/>
          </w:tcPr>
          <w:p w14:paraId="7C39BB5E" w14:textId="77777777" w:rsidR="00E922CD" w:rsidRDefault="00E922CD" w:rsidP="000808C9">
            <w:pPr>
              <w:pStyle w:val="TableText"/>
            </w:pPr>
          </w:p>
        </w:tc>
        <w:tc>
          <w:tcPr>
            <w:tcW w:w="624" w:type="dxa"/>
            <w:hideMark/>
          </w:tcPr>
          <w:p w14:paraId="4DD6049A" w14:textId="77777777" w:rsidR="00E922CD" w:rsidRDefault="00E922CD" w:rsidP="000808C9">
            <w:pPr>
              <w:pStyle w:val="TableText"/>
            </w:pPr>
          </w:p>
        </w:tc>
        <w:tc>
          <w:tcPr>
            <w:tcW w:w="6525" w:type="dxa"/>
            <w:hideMark/>
          </w:tcPr>
          <w:p w14:paraId="267B60BD" w14:textId="77777777" w:rsidR="00E922CD" w:rsidRDefault="00E922CD" w:rsidP="000808C9">
            <w:pPr>
              <w:pStyle w:val="TableBlock"/>
            </w:pPr>
            <w:r>
              <w:rPr>
                <w:rFonts w:hint="cs"/>
                <w:rtl/>
              </w:rPr>
              <w:t>(1)</w:t>
            </w:r>
            <w:r>
              <w:rPr>
                <w:rtl/>
              </w:rPr>
              <w:tab/>
            </w:r>
            <w:r>
              <w:rPr>
                <w:rFonts w:hint="cs"/>
                <w:rtl/>
              </w:rPr>
              <w:t>שם ראש הכת;</w:t>
            </w:r>
          </w:p>
        </w:tc>
      </w:tr>
      <w:tr w:rsidR="00E922CD" w14:paraId="6B9D62B6" w14:textId="77777777" w:rsidTr="00E922CD">
        <w:trPr>
          <w:cantSplit/>
          <w:trHeight w:val="60"/>
        </w:trPr>
        <w:tc>
          <w:tcPr>
            <w:tcW w:w="1872" w:type="dxa"/>
          </w:tcPr>
          <w:p w14:paraId="7E02EE38" w14:textId="77777777" w:rsidR="00E922CD" w:rsidRDefault="00E922CD" w:rsidP="000808C9">
            <w:pPr>
              <w:pStyle w:val="TableSideHeading"/>
            </w:pPr>
          </w:p>
        </w:tc>
        <w:tc>
          <w:tcPr>
            <w:tcW w:w="624" w:type="dxa"/>
          </w:tcPr>
          <w:p w14:paraId="5179C9B0" w14:textId="77777777" w:rsidR="00E922CD" w:rsidRDefault="00E922CD" w:rsidP="000808C9">
            <w:pPr>
              <w:pStyle w:val="TableText"/>
            </w:pPr>
          </w:p>
        </w:tc>
        <w:tc>
          <w:tcPr>
            <w:tcW w:w="624" w:type="dxa"/>
            <w:hideMark/>
          </w:tcPr>
          <w:p w14:paraId="483B3BA1" w14:textId="77777777" w:rsidR="00E922CD" w:rsidRDefault="00E922CD" w:rsidP="000808C9">
            <w:pPr>
              <w:pStyle w:val="TableText"/>
            </w:pPr>
            <w:r>
              <w:rPr>
                <w:rFonts w:hint="cs"/>
                <w:rtl/>
              </w:rPr>
              <w:t>ׁׁ</w:t>
            </w:r>
          </w:p>
        </w:tc>
        <w:tc>
          <w:tcPr>
            <w:tcW w:w="6525" w:type="dxa"/>
            <w:hideMark/>
          </w:tcPr>
          <w:p w14:paraId="236B6F66" w14:textId="77777777" w:rsidR="00E922CD" w:rsidRDefault="00E922CD" w:rsidP="000808C9">
            <w:pPr>
              <w:pStyle w:val="TableBlock"/>
            </w:pPr>
            <w:r>
              <w:rPr>
                <w:rFonts w:hint="cs"/>
                <w:rtl/>
              </w:rPr>
              <w:t>(2)</w:t>
            </w:r>
            <w:r>
              <w:rPr>
                <w:rtl/>
              </w:rPr>
              <w:tab/>
            </w:r>
            <w:r>
              <w:rPr>
                <w:rFonts w:hint="cs"/>
                <w:rtl/>
              </w:rPr>
              <w:t>שם אדם המנהל או המארגן פעילות בכת;</w:t>
            </w:r>
          </w:p>
        </w:tc>
      </w:tr>
      <w:tr w:rsidR="00E922CD" w14:paraId="01195DF7" w14:textId="77777777" w:rsidTr="00E922CD">
        <w:trPr>
          <w:cantSplit/>
          <w:trHeight w:val="60"/>
        </w:trPr>
        <w:tc>
          <w:tcPr>
            <w:tcW w:w="1872" w:type="dxa"/>
          </w:tcPr>
          <w:p w14:paraId="0FE0C4F9" w14:textId="77777777" w:rsidR="00E922CD" w:rsidRDefault="00E922CD" w:rsidP="000808C9">
            <w:pPr>
              <w:pStyle w:val="TableSideHeading"/>
            </w:pPr>
          </w:p>
        </w:tc>
        <w:tc>
          <w:tcPr>
            <w:tcW w:w="624" w:type="dxa"/>
          </w:tcPr>
          <w:p w14:paraId="3CF14AAA" w14:textId="77777777" w:rsidR="00E922CD" w:rsidRDefault="00E922CD" w:rsidP="000808C9">
            <w:pPr>
              <w:pStyle w:val="TableText"/>
            </w:pPr>
          </w:p>
        </w:tc>
        <w:tc>
          <w:tcPr>
            <w:tcW w:w="624" w:type="dxa"/>
            <w:hideMark/>
          </w:tcPr>
          <w:p w14:paraId="0FCA3D2B" w14:textId="77777777" w:rsidR="00E922CD" w:rsidRDefault="00E922CD" w:rsidP="000808C9">
            <w:pPr>
              <w:pStyle w:val="TableText"/>
            </w:pPr>
            <w:r>
              <w:rPr>
                <w:rFonts w:hint="cs"/>
                <w:rtl/>
              </w:rPr>
              <w:t>ׁ</w:t>
            </w:r>
          </w:p>
        </w:tc>
        <w:tc>
          <w:tcPr>
            <w:tcW w:w="6525" w:type="dxa"/>
            <w:hideMark/>
          </w:tcPr>
          <w:p w14:paraId="5C995331" w14:textId="77777777" w:rsidR="00E922CD" w:rsidRDefault="00E922CD" w:rsidP="000808C9">
            <w:pPr>
              <w:pStyle w:val="TableBlock"/>
            </w:pPr>
            <w:r>
              <w:rPr>
                <w:rFonts w:hint="cs"/>
                <w:rtl/>
              </w:rPr>
              <w:t>(3)</w:t>
            </w:r>
            <w:r>
              <w:rPr>
                <w:rtl/>
              </w:rPr>
              <w:tab/>
            </w:r>
            <w:r>
              <w:rPr>
                <w:rFonts w:hint="cs"/>
                <w:rtl/>
              </w:rPr>
              <w:t>מען שבו מתבצעת פעילות הכת.</w:t>
            </w:r>
          </w:p>
        </w:tc>
      </w:tr>
      <w:tr w:rsidR="00E922CD" w14:paraId="57833000" w14:textId="77777777" w:rsidTr="00E922CD">
        <w:trPr>
          <w:cantSplit/>
          <w:trHeight w:val="60"/>
        </w:trPr>
        <w:tc>
          <w:tcPr>
            <w:tcW w:w="1872" w:type="dxa"/>
          </w:tcPr>
          <w:p w14:paraId="45367411" w14:textId="77777777" w:rsidR="00E922CD" w:rsidRDefault="00E922CD" w:rsidP="000808C9">
            <w:pPr>
              <w:pStyle w:val="TableSideHeading"/>
            </w:pPr>
          </w:p>
        </w:tc>
        <w:tc>
          <w:tcPr>
            <w:tcW w:w="624" w:type="dxa"/>
          </w:tcPr>
          <w:p w14:paraId="550F97E0" w14:textId="77777777" w:rsidR="00E922CD" w:rsidRDefault="00E922CD" w:rsidP="000808C9">
            <w:pPr>
              <w:pStyle w:val="TableText"/>
            </w:pPr>
          </w:p>
        </w:tc>
        <w:tc>
          <w:tcPr>
            <w:tcW w:w="7149" w:type="dxa"/>
            <w:gridSpan w:val="2"/>
            <w:hideMark/>
          </w:tcPr>
          <w:p w14:paraId="524260AA" w14:textId="77777777" w:rsidR="00E922CD" w:rsidRDefault="00E922CD" w:rsidP="000808C9">
            <w:pPr>
              <w:pStyle w:val="TableBlock"/>
            </w:pPr>
            <w:r>
              <w:rPr>
                <w:rFonts w:hint="cs"/>
                <w:rtl/>
              </w:rPr>
              <w:t>(ב)</w:t>
            </w:r>
            <w:r>
              <w:rPr>
                <w:rFonts w:hint="cs"/>
                <w:rtl/>
              </w:rPr>
              <w:tab/>
              <w:t>בטרם פרסום כאמור בסעיף קטן (א), תימסר לאדם הודעה על הכוונה לפרסם פרטים אשר עשויים להביא לזיהויו, אם ניתן לאתרו בשקידה סבירה בנסיבות העניין, ויתאפשר לו לטעון את טענותיו.</w:t>
            </w:r>
          </w:p>
        </w:tc>
      </w:tr>
      <w:tr w:rsidR="00E922CD" w14:paraId="35AB9BE6" w14:textId="77777777" w:rsidTr="00E922CD">
        <w:trPr>
          <w:cantSplit/>
          <w:trHeight w:val="60"/>
        </w:trPr>
        <w:tc>
          <w:tcPr>
            <w:tcW w:w="1872" w:type="dxa"/>
            <w:hideMark/>
          </w:tcPr>
          <w:p w14:paraId="5ED54C76" w14:textId="77777777" w:rsidR="00E922CD" w:rsidRDefault="00E922CD" w:rsidP="000808C9">
            <w:pPr>
              <w:pStyle w:val="TableSideHeading"/>
            </w:pPr>
            <w:r>
              <w:rPr>
                <w:rFonts w:hint="cs"/>
                <w:rtl/>
              </w:rPr>
              <w:t>הקמת מערך טיפולי</w:t>
            </w:r>
          </w:p>
        </w:tc>
        <w:tc>
          <w:tcPr>
            <w:tcW w:w="624" w:type="dxa"/>
            <w:hideMark/>
          </w:tcPr>
          <w:p w14:paraId="37E32A40" w14:textId="77777777" w:rsidR="00E922CD" w:rsidRDefault="00E922CD" w:rsidP="000808C9">
            <w:pPr>
              <w:pStyle w:val="TableText"/>
            </w:pPr>
            <w:r>
              <w:rPr>
                <w:rFonts w:hint="cs"/>
                <w:rtl/>
              </w:rPr>
              <w:t>5.</w:t>
            </w:r>
          </w:p>
        </w:tc>
        <w:tc>
          <w:tcPr>
            <w:tcW w:w="7149" w:type="dxa"/>
            <w:gridSpan w:val="2"/>
            <w:hideMark/>
          </w:tcPr>
          <w:p w14:paraId="20D8BBDC" w14:textId="77777777" w:rsidR="00E922CD" w:rsidRDefault="00E922CD" w:rsidP="000808C9">
            <w:pPr>
              <w:pStyle w:val="TableBlock"/>
            </w:pPr>
            <w:r>
              <w:rPr>
                <w:rFonts w:hint="cs"/>
                <w:rtl/>
              </w:rPr>
              <w:t>השר יקים מערך אשר יעניק טיפול נפשי לנפגעי כתות ובני משפחותיהם, כפי שיקבע השר.</w:t>
            </w:r>
          </w:p>
        </w:tc>
      </w:tr>
      <w:tr w:rsidR="00E922CD" w14:paraId="10DD395B" w14:textId="77777777" w:rsidTr="00E922CD">
        <w:trPr>
          <w:cantSplit/>
          <w:trHeight w:val="60"/>
        </w:trPr>
        <w:tc>
          <w:tcPr>
            <w:tcW w:w="1872" w:type="dxa"/>
            <w:hideMark/>
          </w:tcPr>
          <w:p w14:paraId="13888A25" w14:textId="77777777" w:rsidR="00E922CD" w:rsidRDefault="00E922CD" w:rsidP="000808C9">
            <w:pPr>
              <w:pStyle w:val="TableSideHeading"/>
            </w:pPr>
            <w:r>
              <w:rPr>
                <w:rFonts w:hint="cs"/>
                <w:rtl/>
              </w:rPr>
              <w:t>תיקון חוק הכשרות המשפטית והאפוטרופסות</w:t>
            </w:r>
          </w:p>
        </w:tc>
        <w:tc>
          <w:tcPr>
            <w:tcW w:w="624" w:type="dxa"/>
            <w:hideMark/>
          </w:tcPr>
          <w:p w14:paraId="78285AC5" w14:textId="77777777" w:rsidR="00E922CD" w:rsidRDefault="00E922CD" w:rsidP="000808C9">
            <w:pPr>
              <w:pStyle w:val="TableText"/>
            </w:pPr>
            <w:r>
              <w:rPr>
                <w:rFonts w:hint="cs"/>
                <w:rtl/>
              </w:rPr>
              <w:t>6.</w:t>
            </w:r>
          </w:p>
        </w:tc>
        <w:tc>
          <w:tcPr>
            <w:tcW w:w="7149" w:type="dxa"/>
            <w:gridSpan w:val="2"/>
            <w:hideMark/>
          </w:tcPr>
          <w:p w14:paraId="3F2F33A6" w14:textId="77777777" w:rsidR="00E922CD" w:rsidRDefault="00E922CD" w:rsidP="000808C9">
            <w:pPr>
              <w:pStyle w:val="TableBlock"/>
            </w:pPr>
            <w:r>
              <w:rPr>
                <w:rFonts w:hint="cs"/>
                <w:rtl/>
              </w:rPr>
              <w:t>בחוק הכשרות המשפטית והאפוטרופסות, התשכ"ב–1962</w:t>
            </w:r>
            <w:r>
              <w:rPr>
                <w:rStyle w:val="a6"/>
                <w:rtl/>
              </w:rPr>
              <w:footnoteReference w:id="4"/>
            </w:r>
            <w:r>
              <w:rPr>
                <w:rFonts w:hint="cs"/>
                <w:rtl/>
              </w:rPr>
              <w:t xml:space="preserve">, בסעיף 33(א), אחרי פסקה (6) יבוא: </w:t>
            </w:r>
          </w:p>
        </w:tc>
      </w:tr>
      <w:tr w:rsidR="00E922CD" w14:paraId="67F4E287" w14:textId="77777777" w:rsidTr="00E922CD">
        <w:trPr>
          <w:cantSplit/>
          <w:trHeight w:val="60"/>
        </w:trPr>
        <w:tc>
          <w:tcPr>
            <w:tcW w:w="1872" w:type="dxa"/>
          </w:tcPr>
          <w:p w14:paraId="11EE0791" w14:textId="77777777" w:rsidR="00E922CD" w:rsidRDefault="00E922CD" w:rsidP="000808C9">
            <w:pPr>
              <w:pStyle w:val="TableSideHeading"/>
            </w:pPr>
          </w:p>
        </w:tc>
        <w:tc>
          <w:tcPr>
            <w:tcW w:w="624" w:type="dxa"/>
          </w:tcPr>
          <w:p w14:paraId="73A4FF4B" w14:textId="77777777" w:rsidR="00E922CD" w:rsidRDefault="00E922CD" w:rsidP="000808C9">
            <w:pPr>
              <w:pStyle w:val="TableText"/>
            </w:pPr>
          </w:p>
        </w:tc>
        <w:tc>
          <w:tcPr>
            <w:tcW w:w="7149" w:type="dxa"/>
            <w:gridSpan w:val="2"/>
          </w:tcPr>
          <w:p w14:paraId="1BE2D43D" w14:textId="058DDD61" w:rsidR="00E922CD" w:rsidRDefault="00E922CD" w:rsidP="0051120A">
            <w:pPr>
              <w:pStyle w:val="TableBlock"/>
            </w:pPr>
            <w:r>
              <w:rPr>
                <w:rFonts w:hint="cs"/>
                <w:rtl/>
              </w:rPr>
              <w:t>"(7)</w:t>
            </w:r>
            <w:r>
              <w:rPr>
                <w:rFonts w:hint="cs"/>
                <w:rtl/>
              </w:rPr>
              <w:tab/>
              <w:t>לאדם הנמצא תחת השפעה של כת פוגענית כאמור בחוק לטיפול בכתות פוגעניות, התשע"</w:t>
            </w:r>
            <w:r w:rsidR="0051120A">
              <w:rPr>
                <w:rFonts w:hint="cs"/>
                <w:rtl/>
              </w:rPr>
              <w:t>ה</w:t>
            </w:r>
            <w:r>
              <w:rPr>
                <w:rFonts w:hint="cs"/>
                <w:rtl/>
              </w:rPr>
              <w:t>–201</w:t>
            </w:r>
            <w:r w:rsidR="0051120A">
              <w:rPr>
                <w:rFonts w:hint="cs"/>
                <w:rtl/>
              </w:rPr>
              <w:t>5</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4A5DF958" w14:textId="77777777" w:rsidR="00E922CD" w:rsidRPr="002E38DA" w:rsidRDefault="00E922CD" w:rsidP="006F791D">
      <w:pPr>
        <w:pStyle w:val="Hesber"/>
        <w:spacing w:line="276" w:lineRule="auto"/>
        <w:rPr>
          <w:rtl/>
        </w:rPr>
      </w:pPr>
      <w:r w:rsidRPr="002E38DA">
        <w:rPr>
          <w:rFonts w:hint="cs"/>
          <w:rtl/>
        </w:rPr>
        <w:t>בשנים האחרונות נחשפנו למספר מקרים של כתות פוגעניות בישראל. בחלק מהמקרים החברות בכת היוותה עבור הנפגע ובני משפחתו משבר שורשי עמוק הן בהיבטים חברתיים, הן בהיבטים כ</w:t>
      </w:r>
      <w:r>
        <w:rPr>
          <w:rFonts w:hint="cs"/>
          <w:rtl/>
        </w:rPr>
        <w:t xml:space="preserve">לכליים והן בהיבטים נפשיים, אשר </w:t>
      </w:r>
      <w:r w:rsidRPr="002E38DA">
        <w:rPr>
          <w:rFonts w:hint="cs"/>
          <w:rtl/>
        </w:rPr>
        <w:t>חייב מתן סיוע מקיף.</w:t>
      </w:r>
    </w:p>
    <w:p w14:paraId="12338913" w14:textId="77777777" w:rsidR="00E922CD" w:rsidRPr="002E38DA" w:rsidRDefault="00E922CD" w:rsidP="006F791D">
      <w:pPr>
        <w:pStyle w:val="Hesber"/>
        <w:spacing w:line="276" w:lineRule="auto"/>
        <w:rPr>
          <w:rtl/>
        </w:rPr>
      </w:pPr>
      <w:r w:rsidRPr="002E38DA">
        <w:rPr>
          <w:rFonts w:hint="cs"/>
          <w:rtl/>
        </w:rPr>
        <w:t xml:space="preserve">מאפייניה של התופעה, כפי שעולים מאותם מקרים שנחשפו, מצביעים על כך שהמגויסים לכתות עוברים תהליך המרה במטרה להשיג שליטה, נאמנות ומחויבות מוחלטת להנהגת הכת. קשת הפגיעות </w:t>
      </w:r>
      <w:r w:rsidRPr="002E38DA">
        <w:rPr>
          <w:rFonts w:hint="cs"/>
          <w:rtl/>
        </w:rPr>
        <w:lastRenderedPageBreak/>
        <w:t>שעלולות להיגרם כתוצאה מחברות בכת פוגענית היא רחבה, וכוללת פגיעות נפשיות, פגיעות פיזיות, פגיעות מיניות, פגיעות חברתיות ופגיעות כלכליות. לאור זאת, יש צורך בגיבוש מדיניות חקיקתית בנדון.</w:t>
      </w:r>
    </w:p>
    <w:p w14:paraId="5E1E6B27" w14:textId="7C74B8A5" w:rsidR="00E922CD" w:rsidRPr="002E38DA" w:rsidRDefault="00E922CD" w:rsidP="006F791D">
      <w:pPr>
        <w:pStyle w:val="Hesber"/>
        <w:spacing w:line="276" w:lineRule="auto"/>
        <w:rPr>
          <w:rtl/>
        </w:rPr>
      </w:pPr>
      <w:r w:rsidRPr="002E38DA">
        <w:rPr>
          <w:rFonts w:hint="cs"/>
          <w:rtl/>
        </w:rPr>
        <w:t>עם השנים גברה ההכרה בצורך בחוק שיתמודד עם תופעה זו. כבר בשנת 1987 פורסמו מסקנות</w:t>
      </w:r>
      <w:r w:rsidRPr="002E38DA">
        <w:t> </w:t>
      </w:r>
      <w:r w:rsidRPr="002E38DA">
        <w:rPr>
          <w:rFonts w:hint="cs"/>
          <w:rtl/>
        </w:rPr>
        <w:t>ועדה בין-משרדית</w:t>
      </w:r>
      <w:r>
        <w:rPr>
          <w:rFonts w:hint="cs"/>
          <w:rtl/>
        </w:rPr>
        <w:t>,</w:t>
      </w:r>
      <w:r w:rsidRPr="002E38DA">
        <w:t> </w:t>
      </w:r>
      <w:r w:rsidRPr="002E38DA">
        <w:rPr>
          <w:rFonts w:hint="cs"/>
          <w:rtl/>
        </w:rPr>
        <w:t>בראשות</w:t>
      </w:r>
      <w:r w:rsidRPr="002E38DA">
        <w:t> </w:t>
      </w:r>
      <w:r>
        <w:rPr>
          <w:rFonts w:hint="cs"/>
          <w:rtl/>
        </w:rPr>
        <w:t xml:space="preserve">חברת </w:t>
      </w:r>
      <w:r w:rsidRPr="002E38DA">
        <w:rPr>
          <w:rFonts w:hint="cs"/>
          <w:rtl/>
        </w:rPr>
        <w:t>הכנסת</w:t>
      </w:r>
      <w:r w:rsidRPr="002E38DA">
        <w:t> </w:t>
      </w:r>
      <w:r>
        <w:rPr>
          <w:rFonts w:hint="cs"/>
          <w:rtl/>
        </w:rPr>
        <w:t xml:space="preserve">מרים </w:t>
      </w:r>
      <w:r w:rsidRPr="002E38DA">
        <w:rPr>
          <w:rFonts w:hint="cs"/>
          <w:rtl/>
        </w:rPr>
        <w:t>גלזר-תעסה</w:t>
      </w:r>
      <w:r>
        <w:rPr>
          <w:rFonts w:hint="cs"/>
          <w:rtl/>
        </w:rPr>
        <w:t xml:space="preserve">, </w:t>
      </w:r>
      <w:r w:rsidRPr="002E38DA">
        <w:rPr>
          <w:rFonts w:hint="cs"/>
          <w:rtl/>
        </w:rPr>
        <w:t>לבדיקת תופעת הכתות בישראל. את הוועדה מינה</w:t>
      </w:r>
      <w:r w:rsidRPr="002E38DA">
        <w:t> </w:t>
      </w:r>
      <w:r w:rsidRPr="002E38DA">
        <w:rPr>
          <w:rFonts w:hint="cs"/>
          <w:rtl/>
        </w:rPr>
        <w:t>שר החינוך</w:t>
      </w:r>
      <w:r w:rsidRPr="002E38DA">
        <w:t> </w:t>
      </w:r>
      <w:r w:rsidRPr="002E38DA">
        <w:rPr>
          <w:rFonts w:hint="cs"/>
          <w:rtl/>
        </w:rPr>
        <w:t>דאז זבולון המר ז"ל</w:t>
      </w:r>
      <w:r w:rsidRPr="002E38DA">
        <w:t> </w:t>
      </w:r>
      <w:r w:rsidRPr="002E38DA">
        <w:rPr>
          <w:rFonts w:hint="cs"/>
          <w:rtl/>
        </w:rPr>
        <w:t>והיא בדקה</w:t>
      </w:r>
      <w:r>
        <w:rPr>
          <w:rFonts w:hint="cs"/>
          <w:rtl/>
        </w:rPr>
        <w:t>,</w:t>
      </w:r>
      <w:r w:rsidRPr="002E38DA">
        <w:rPr>
          <w:rFonts w:hint="cs"/>
          <w:rtl/>
        </w:rPr>
        <w:t xml:space="preserve"> במשך חמש שנים, עשר כתות שפעלו בישראל. מסק</w:t>
      </w:r>
      <w:r>
        <w:rPr>
          <w:rFonts w:hint="cs"/>
          <w:rtl/>
        </w:rPr>
        <w:t>נות הוועדה היו כי חלק מהכתות ה</w:t>
      </w:r>
      <w:r w:rsidRPr="002E38DA">
        <w:rPr>
          <w:rFonts w:hint="cs"/>
          <w:rtl/>
        </w:rPr>
        <w:t xml:space="preserve">ן פוגעניות ומסוכנות וכי הפעילות העבריינית המבוצעת במסגרת הכתות נוגעת במספר תחומים, ביניהם העלמות מס, פגיעה בחוקי ההגירה, סחר או שימוש בסמים, אגירת נשק ואימונים </w:t>
      </w:r>
      <w:r w:rsidR="0051120A">
        <w:rPr>
          <w:rFonts w:hint="cs"/>
          <w:rtl/>
        </w:rPr>
        <w:t>ללא רישיון, הונאה באיסוף תרומות</w:t>
      </w:r>
      <w:r w:rsidRPr="002E38DA">
        <w:rPr>
          <w:rFonts w:hint="cs"/>
          <w:rtl/>
        </w:rPr>
        <w:t xml:space="preserve"> וכספים ואלימות כלפי המתנגדים בקבוצה וכלפי החברים בה. המלצותיה התמק</w:t>
      </w:r>
      <w:r>
        <w:rPr>
          <w:rFonts w:hint="cs"/>
          <w:rtl/>
        </w:rPr>
        <w:t>דו בארבעה תחומים עיקריים: איסוף;</w:t>
      </w:r>
      <w:r w:rsidRPr="002E38DA">
        <w:rPr>
          <w:rFonts w:hint="cs"/>
          <w:rtl/>
        </w:rPr>
        <w:t xml:space="preserve"> ריכוז והפצת מידע;</w:t>
      </w:r>
      <w:r>
        <w:rPr>
          <w:rFonts w:hint="cs"/>
          <w:rtl/>
        </w:rPr>
        <w:t xml:space="preserve"> עזרה לאוכלוסיות נפגעות; חינוך ו</w:t>
      </w:r>
      <w:r w:rsidRPr="002E38DA">
        <w:rPr>
          <w:rFonts w:hint="cs"/>
          <w:rtl/>
        </w:rPr>
        <w:t xml:space="preserve">חקיקה. </w:t>
      </w:r>
    </w:p>
    <w:p w14:paraId="50019B6C" w14:textId="77777777" w:rsidR="00E922CD" w:rsidRPr="002E38DA" w:rsidRDefault="00E922CD" w:rsidP="006F791D">
      <w:pPr>
        <w:pStyle w:val="Hesber"/>
        <w:spacing w:line="276" w:lineRule="auto"/>
        <w:rPr>
          <w:rtl/>
        </w:rPr>
      </w:pPr>
      <w:r w:rsidRPr="002E38DA">
        <w:rPr>
          <w:rFonts w:hint="cs"/>
          <w:rtl/>
        </w:rPr>
        <w:t>ב</w:t>
      </w:r>
      <w:r>
        <w:rPr>
          <w:rFonts w:hint="cs"/>
          <w:rtl/>
        </w:rPr>
        <w:t>שנת 2011 הקים שר הרווחה דאז, חבר הכנסת</w:t>
      </w:r>
      <w:r w:rsidRPr="002E38DA">
        <w:rPr>
          <w:rFonts w:hint="cs"/>
          <w:rtl/>
        </w:rPr>
        <w:t xml:space="preserve"> יצחק הרצוג, צוות משרדי על מנת לגבש קריטריונים לבחינת תופעת הכתות לצורך קביעת מדיניות בנושא. בדומה לוועדה מש</w:t>
      </w:r>
      <w:r>
        <w:rPr>
          <w:rFonts w:hint="cs"/>
          <w:rtl/>
        </w:rPr>
        <w:t>נת 87', הגיע הצוות למסקנות לפיהן</w:t>
      </w:r>
      <w:r w:rsidRPr="002E38DA">
        <w:rPr>
          <w:rFonts w:hint="cs"/>
          <w:rtl/>
        </w:rPr>
        <w:t xml:space="preserve"> יש לגבש מדיניות כוללת בנוגע למספר תחומים. בתוך כך, המליץ הצוות על הקמת מאגר מידע בתחום הכתות אשר ירכז את המידע סביב התופעה בארץ; הקמת יחידה לטיפול בנפגעי כתות ובמשפחותיהם; חקיקת חוק נגד פעילות כתות.</w:t>
      </w:r>
    </w:p>
    <w:p w14:paraId="68B4596C" w14:textId="77777777" w:rsidR="00E922CD" w:rsidRPr="002E38DA" w:rsidRDefault="00E922CD" w:rsidP="006F791D">
      <w:pPr>
        <w:pStyle w:val="Hesber"/>
        <w:spacing w:line="276" w:lineRule="auto"/>
        <w:rPr>
          <w:rtl/>
        </w:rPr>
      </w:pPr>
      <w:r w:rsidRPr="002E38DA">
        <w:rPr>
          <w:rFonts w:hint="cs"/>
          <w:rtl/>
        </w:rPr>
        <w:t>בניגוד לתופעות פסולות אחרות הקיימות, השיח הציבורי בישראל, ובכלל זה המערכת הפוליטית, ארגוני המגזר השלישי והתקשורת, מיעט עד כה לעסוק באופן נרחב ועקבי בתופעה, הן בשל הקושי באיתור כתות ובאיתור נפגעים והן בשל חוסר רצונם של נפגעי כתות להתעמת עם מנהיגי הכתות וחבריהן.</w:t>
      </w:r>
    </w:p>
    <w:p w14:paraId="69D7603E" w14:textId="0F8E02EF" w:rsidR="00E922CD" w:rsidRPr="002E38DA" w:rsidRDefault="00E922CD" w:rsidP="006F791D">
      <w:pPr>
        <w:pStyle w:val="Hesber"/>
        <w:spacing w:line="276" w:lineRule="auto"/>
        <w:rPr>
          <w:rtl/>
        </w:rPr>
      </w:pPr>
      <w:r w:rsidRPr="002E38DA">
        <w:rPr>
          <w:rFonts w:hint="cs"/>
          <w:rtl/>
        </w:rPr>
        <w:t xml:space="preserve">הצעת החוק נועדה להביא להסדרת החקיקה סביב תחום פרוץ זה של כתות פוגעניות, הגורם לעתים קרובות קושי בהוכחת הקשר בין ראשיהם ומוביליהם של ארגונים מסוג זה לבין ביצוען של עבירות. בתוך כך, הצעת החוק מגדירה מהי כת פוגענית תוך איזון </w:t>
      </w:r>
      <w:r>
        <w:rPr>
          <w:rFonts w:hint="cs"/>
          <w:rtl/>
        </w:rPr>
        <w:t xml:space="preserve">והבחנה בין </w:t>
      </w:r>
      <w:r w:rsidRPr="002E38DA">
        <w:rPr>
          <w:rFonts w:hint="cs"/>
          <w:rtl/>
        </w:rPr>
        <w:t xml:space="preserve">כתות </w:t>
      </w:r>
      <w:r>
        <w:rPr>
          <w:rFonts w:hint="cs"/>
          <w:rtl/>
        </w:rPr>
        <w:t>לגיטימיות שהן</w:t>
      </w:r>
      <w:r w:rsidRPr="002E38DA">
        <w:rPr>
          <w:rFonts w:hint="cs"/>
          <w:rtl/>
        </w:rPr>
        <w:t xml:space="preserve"> בעלות מאפיינים דתיים לבין כתות אשר מאופיינות ביחסי שליטה ו</w:t>
      </w:r>
      <w:r>
        <w:rPr>
          <w:rFonts w:hint="cs"/>
          <w:rtl/>
        </w:rPr>
        <w:t xml:space="preserve">מרות ופועלות תוך עבירת עבירות. </w:t>
      </w:r>
      <w:r w:rsidRPr="002E38DA">
        <w:rPr>
          <w:rFonts w:hint="cs"/>
          <w:rtl/>
        </w:rPr>
        <w:t>נוסף</w:t>
      </w:r>
      <w:r>
        <w:rPr>
          <w:rFonts w:hint="cs"/>
          <w:rtl/>
        </w:rPr>
        <w:t xml:space="preserve"> על כך</w:t>
      </w:r>
      <w:r w:rsidRPr="002E38DA">
        <w:rPr>
          <w:rFonts w:hint="cs"/>
          <w:rtl/>
        </w:rPr>
        <w:t>, לאור הקושי להוכיח את הקשר בין ראשי הכת לבין העבירות שנעברו במסגרת הכת, מוצע לקבוע כי מילו</w:t>
      </w:r>
      <w:r w:rsidR="0051120A">
        <w:rPr>
          <w:rFonts w:hint="cs"/>
          <w:rtl/>
        </w:rPr>
        <w:t>י תפקידים משמעותיים במסגרת הכת י</w:t>
      </w:r>
      <w:r w:rsidRPr="002E38DA">
        <w:rPr>
          <w:rFonts w:hint="cs"/>
          <w:rtl/>
        </w:rPr>
        <w:t>הווה כשלעצמ</w:t>
      </w:r>
      <w:r w:rsidR="0051120A">
        <w:rPr>
          <w:rFonts w:hint="cs"/>
          <w:rtl/>
        </w:rPr>
        <w:t>ו</w:t>
      </w:r>
      <w:r w:rsidRPr="002E38DA">
        <w:rPr>
          <w:rFonts w:hint="cs"/>
          <w:rtl/>
        </w:rPr>
        <w:t xml:space="preserve"> עבירה פלילית שדינה 10 שנות מאסר. כמו כן, יוצרת הצעת החוק מנגנון של חילוט רכוש שהושג כתוצאה מפעילות במסגרת כת פוגענית בדומה למנגנון הקיים בחוק המאבק בארגוני פשיעה, התשס"ב</w:t>
      </w:r>
      <w:r w:rsidRPr="002E38DA">
        <w:rPr>
          <w:rFonts w:hint="eastAsia"/>
          <w:rtl/>
        </w:rPr>
        <w:t>–</w:t>
      </w:r>
      <w:r w:rsidRPr="002E38DA">
        <w:rPr>
          <w:rFonts w:hint="cs"/>
          <w:rtl/>
        </w:rPr>
        <w:t xml:space="preserve">2002.   </w:t>
      </w:r>
    </w:p>
    <w:p w14:paraId="06942CD4" w14:textId="24666D92" w:rsidR="00E922CD" w:rsidRPr="002E38DA" w:rsidRDefault="0051120A" w:rsidP="006F791D">
      <w:pPr>
        <w:pStyle w:val="Hesber"/>
        <w:spacing w:line="276" w:lineRule="auto"/>
        <w:rPr>
          <w:rtl/>
        </w:rPr>
      </w:pPr>
      <w:r>
        <w:rPr>
          <w:rFonts w:hint="cs"/>
          <w:rtl/>
        </w:rPr>
        <w:t>עוד מוצע</w:t>
      </w:r>
      <w:r w:rsidR="00E922CD" w:rsidRPr="002E38DA">
        <w:rPr>
          <w:rFonts w:hint="cs"/>
          <w:rtl/>
        </w:rPr>
        <w:t xml:space="preserve"> כי על משרד הרווחה </w:t>
      </w:r>
      <w:r w:rsidR="00E922CD">
        <w:rPr>
          <w:rFonts w:hint="cs"/>
          <w:rtl/>
        </w:rPr>
        <w:t xml:space="preserve">והשירותים החברתיים </w:t>
      </w:r>
      <w:r w:rsidR="00E922CD" w:rsidRPr="002E38DA">
        <w:rPr>
          <w:rFonts w:hint="cs"/>
          <w:rtl/>
        </w:rPr>
        <w:t xml:space="preserve">להקים מאגר מידע אשר ירכז את המידע סביב פעילות כתות פוגעניות בישראל. בין היתר יכלול מאגר זה מידע </w:t>
      </w:r>
      <w:r>
        <w:rPr>
          <w:rFonts w:hint="cs"/>
          <w:rtl/>
        </w:rPr>
        <w:t xml:space="preserve">על </w:t>
      </w:r>
      <w:r w:rsidR="00E922CD" w:rsidRPr="002E38DA">
        <w:rPr>
          <w:rFonts w:hint="cs"/>
          <w:rtl/>
        </w:rPr>
        <w:t xml:space="preserve">אודות ראשיה ומנהליה של הכת וכן מידע </w:t>
      </w:r>
      <w:r>
        <w:rPr>
          <w:rFonts w:hint="cs"/>
          <w:rtl/>
        </w:rPr>
        <w:t xml:space="preserve">על </w:t>
      </w:r>
      <w:r w:rsidR="00E922CD" w:rsidRPr="002E38DA">
        <w:rPr>
          <w:rFonts w:hint="cs"/>
          <w:rtl/>
        </w:rPr>
        <w:t>א</w:t>
      </w:r>
      <w:r w:rsidR="00E922CD">
        <w:rPr>
          <w:rFonts w:hint="cs"/>
          <w:rtl/>
        </w:rPr>
        <w:t>ודות אזורי הפעילות של הכת. כמו כן</w:t>
      </w:r>
      <w:r w:rsidR="00E922CD" w:rsidRPr="002E38DA">
        <w:rPr>
          <w:rFonts w:hint="cs"/>
          <w:rtl/>
        </w:rPr>
        <w:t>, על פי הצעת החוק, יקים שר הרווחה</w:t>
      </w:r>
      <w:r>
        <w:rPr>
          <w:rFonts w:hint="cs"/>
          <w:rtl/>
        </w:rPr>
        <w:t xml:space="preserve"> והשירותים החברתיים</w:t>
      </w:r>
      <w:r w:rsidR="00E922CD" w:rsidRPr="002E38DA">
        <w:rPr>
          <w:rFonts w:hint="cs"/>
          <w:rtl/>
        </w:rPr>
        <w:t xml:space="preserve"> מערך טיפול לנפגעי הכתות ובני משפחותיהם. המערך יהיה אחראי על גיבוש מדיניות וד</w:t>
      </w:r>
      <w:r>
        <w:rPr>
          <w:rFonts w:hint="cs"/>
          <w:rtl/>
        </w:rPr>
        <w:t>רכי המניעה וההתערבות בתחום זה, י</w:t>
      </w:r>
      <w:r w:rsidR="00E922CD" w:rsidRPr="002E38DA">
        <w:rPr>
          <w:rFonts w:hint="cs"/>
          <w:rtl/>
        </w:rPr>
        <w:t xml:space="preserve">צבור מידע </w:t>
      </w:r>
      <w:r>
        <w:rPr>
          <w:rFonts w:hint="cs"/>
          <w:rtl/>
        </w:rPr>
        <w:t>וידע בתחום הטיפול בנפגעי כתות וי</w:t>
      </w:r>
      <w:r w:rsidR="00E922CD" w:rsidRPr="002E38DA">
        <w:rPr>
          <w:rFonts w:hint="cs"/>
          <w:rtl/>
        </w:rPr>
        <w:t>נחה את יחידות השדה באופן שיבטיח מענה אחיד ומקצועי בכל הרמות.</w:t>
      </w:r>
    </w:p>
    <w:p w14:paraId="7D886F9E" w14:textId="77777777" w:rsidR="00E922CD" w:rsidRDefault="00E922CD" w:rsidP="006F791D">
      <w:pPr>
        <w:pStyle w:val="Hesber"/>
        <w:spacing w:line="276" w:lineRule="auto"/>
        <w:rPr>
          <w:rtl/>
        </w:rPr>
      </w:pPr>
      <w:r w:rsidRPr="002E38DA">
        <w:rPr>
          <w:rFonts w:hint="cs"/>
          <w:rtl/>
        </w:rPr>
        <w:t>הצעת החוק היא צעד ראשון בגיבוש מדיניות כוללת ובניית הכלים הדרושים לשם התמודדות עם התופעה, על כל מורכבותה</w:t>
      </w:r>
      <w:r w:rsidRPr="00C10B9D">
        <w:rPr>
          <w:rFonts w:hint="cs"/>
          <w:rtl/>
        </w:rPr>
        <w:t>.</w:t>
      </w:r>
    </w:p>
    <w:p w14:paraId="7F6961CB" w14:textId="2862CA50" w:rsidR="00E13C27" w:rsidRDefault="00E922CD" w:rsidP="006F791D">
      <w:pPr>
        <w:pStyle w:val="Hesber"/>
        <w:spacing w:line="276" w:lineRule="auto"/>
        <w:rPr>
          <w:rtl/>
        </w:rPr>
      </w:pPr>
      <w:r>
        <w:rPr>
          <w:rFonts w:hint="cs"/>
          <w:rtl/>
        </w:rPr>
        <w:t>הצעת חוק</w:t>
      </w:r>
      <w:r w:rsidR="006F791D">
        <w:rPr>
          <w:rFonts w:hint="cs"/>
          <w:rtl/>
        </w:rPr>
        <w:t xml:space="preserve"> זהה הונחה על שולחן הכנסת התשע-</w:t>
      </w:r>
      <w:r>
        <w:rPr>
          <w:rFonts w:hint="cs"/>
          <w:rtl/>
        </w:rPr>
        <w:t xml:space="preserve">עשרה </w:t>
      </w:r>
      <w:r w:rsidR="0051120A">
        <w:rPr>
          <w:rFonts w:hint="cs"/>
          <w:rtl/>
        </w:rPr>
        <w:t xml:space="preserve">על ידי חברי הכנסת יריב לוין ואורלי לוי אבקסיס </w:t>
      </w:r>
      <w:r>
        <w:rPr>
          <w:rFonts w:hint="cs"/>
          <w:rtl/>
        </w:rPr>
        <w:t>(</w:t>
      </w:r>
      <w:bookmarkStart w:id="8" w:name="LawNum"/>
      <w:r w:rsidRPr="0068735A">
        <w:rPr>
          <w:sz w:val="26"/>
          <w:rtl/>
        </w:rPr>
        <w:t>פ/2246/19</w:t>
      </w:r>
      <w:bookmarkEnd w:id="8"/>
      <w:r>
        <w:rPr>
          <w:rFonts w:hint="cs"/>
          <w:sz w:val="26"/>
          <w:rtl/>
        </w:rPr>
        <w:t>)</w:t>
      </w:r>
      <w:r>
        <w:rPr>
          <w:rFonts w:hint="cs"/>
          <w:rtl/>
        </w:rPr>
        <w:t>.</w:t>
      </w:r>
    </w:p>
    <w:p w14:paraId="15D85C8A" w14:textId="77777777" w:rsidR="006F791D" w:rsidRDefault="006F791D" w:rsidP="006F791D">
      <w:pPr>
        <w:pStyle w:val="Hesber"/>
        <w:spacing w:line="276" w:lineRule="auto"/>
        <w:rPr>
          <w:rtl/>
        </w:rPr>
      </w:pPr>
    </w:p>
    <w:p w14:paraId="50958FC7" w14:textId="77777777" w:rsidR="006F791D" w:rsidRDefault="006F791D" w:rsidP="006F791D">
      <w:pPr>
        <w:pStyle w:val="Hesber"/>
        <w:spacing w:line="276" w:lineRule="auto"/>
        <w:rPr>
          <w:rtl/>
        </w:rPr>
      </w:pPr>
    </w:p>
    <w:p w14:paraId="29B962C4" w14:textId="77777777" w:rsidR="006F791D" w:rsidRPr="0022704F" w:rsidRDefault="006F791D" w:rsidP="006F791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480ECAF3" w14:textId="77777777" w:rsidR="006F791D" w:rsidRPr="0022704F" w:rsidRDefault="006F791D" w:rsidP="006F791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7A8CACA2" w14:textId="77777777" w:rsidR="006F791D" w:rsidRPr="0022704F" w:rsidRDefault="006F791D" w:rsidP="006F791D">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01C7B353" w14:textId="77777777" w:rsidR="006F791D" w:rsidRPr="00935520" w:rsidRDefault="006F791D" w:rsidP="006F791D">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ד'  באב התשע"ה</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65371CFD" w14:textId="77777777" w:rsidR="006F791D" w:rsidRPr="00E635D3" w:rsidRDefault="006F791D" w:rsidP="006F791D">
      <w:pPr>
        <w:ind w:left="340" w:firstLine="0"/>
        <w:rPr>
          <w:rFonts w:ascii="Arial" w:eastAsia="Arial Unicode MS" w:hAnsi="Arial" w:cs="David"/>
          <w:snapToGrid w:val="0"/>
          <w:spacing w:val="0"/>
          <w:sz w:val="20"/>
          <w:szCs w:val="26"/>
          <w:rtl/>
        </w:rPr>
      </w:pPr>
    </w:p>
    <w:p w14:paraId="09FAF7BD" w14:textId="77777777" w:rsidR="006F791D" w:rsidRDefault="006F791D" w:rsidP="006F791D">
      <w:pPr>
        <w:pStyle w:val="Hesber"/>
        <w:spacing w:line="276" w:lineRule="auto"/>
        <w:rPr>
          <w:rtl/>
        </w:rPr>
      </w:pPr>
    </w:p>
    <w:sectPr w:rsidR="006F791D"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F527C4">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8A341FD" w14:textId="77777777" w:rsidR="00E922CD" w:rsidRDefault="00E922CD" w:rsidP="00E922CD">
      <w:pPr>
        <w:pStyle w:val="a4"/>
        <w:rPr>
          <w:rFonts w:cs="Times New Roman"/>
          <w:rtl/>
        </w:rPr>
      </w:pPr>
      <w:r>
        <w:rPr>
          <w:rStyle w:val="a6"/>
        </w:rPr>
        <w:footnoteRef/>
      </w:r>
      <w:r>
        <w:rPr>
          <w:rtl/>
        </w:rPr>
        <w:t xml:space="preserve"> ס"ח התשס"א, עמ' 183.</w:t>
      </w:r>
    </w:p>
  </w:footnote>
  <w:footnote w:id="3">
    <w:p w14:paraId="6A2764CB" w14:textId="77777777" w:rsidR="00E922CD" w:rsidRDefault="00E922CD" w:rsidP="00E922CD">
      <w:pPr>
        <w:pStyle w:val="a4"/>
      </w:pPr>
      <w:r>
        <w:rPr>
          <w:rStyle w:val="a6"/>
        </w:rPr>
        <w:footnoteRef/>
      </w:r>
      <w:r>
        <w:rPr>
          <w:rtl/>
        </w:rPr>
        <w:t xml:space="preserve"> </w:t>
      </w:r>
      <w:r>
        <w:rPr>
          <w:rFonts w:hint="cs"/>
          <w:rtl/>
        </w:rPr>
        <w:t>ס"ח התשס"ג, עמ' 502.</w:t>
      </w:r>
    </w:p>
  </w:footnote>
  <w:footnote w:id="4">
    <w:p w14:paraId="0452B071" w14:textId="77777777" w:rsidR="00E922CD" w:rsidRDefault="00E922CD" w:rsidP="00E922CD">
      <w:pPr>
        <w:pStyle w:val="a4"/>
      </w:pPr>
      <w:r>
        <w:rPr>
          <w:rStyle w:val="a6"/>
        </w:rPr>
        <w:footnoteRef/>
      </w:r>
      <w:r>
        <w:rPr>
          <w:rtl/>
        </w:rPr>
        <w:t xml:space="preserve"> </w:t>
      </w:r>
      <w:r>
        <w:rPr>
          <w:rFonts w:hint="cs"/>
          <w:rtl/>
        </w:rPr>
        <w:t>ס"ח התשכ"ב, עמ' 120.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1120A"/>
    <w:rsid w:val="00553C9D"/>
    <w:rsid w:val="00562A66"/>
    <w:rsid w:val="005B064E"/>
    <w:rsid w:val="005D51AE"/>
    <w:rsid w:val="0062674B"/>
    <w:rsid w:val="006363B2"/>
    <w:rsid w:val="00644940"/>
    <w:rsid w:val="006818A9"/>
    <w:rsid w:val="006A2D81"/>
    <w:rsid w:val="006C1D0D"/>
    <w:rsid w:val="006F791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922CD"/>
    <w:rsid w:val="00EA01E6"/>
    <w:rsid w:val="00EA3DE8"/>
    <w:rsid w:val="00EA758F"/>
    <w:rsid w:val="00ED4A6F"/>
    <w:rsid w:val="00EF3A3A"/>
    <w:rsid w:val="00F527C4"/>
    <w:rsid w:val="00F628D6"/>
    <w:rsid w:val="00F67051"/>
    <w:rsid w:val="00F86A1E"/>
    <w:rsid w:val="00F95E27"/>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CED8F2B-0395-43E9-B9F4-86AEC427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E922CD"/>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 ds:uri="http://purl.org/dc/terms/"/>
  </ds:schemaRefs>
</ds:datastoreItem>
</file>

<file path=customXml/itemProps3.xml><?xml version="1.0" encoding="utf-8"?>
<ds:datastoreItem xmlns:ds="http://schemas.openxmlformats.org/officeDocument/2006/customXml" ds:itemID="{7C69AB53-2B5C-4587-B69F-48A234977698}"/>
</file>

<file path=customXml/itemProps4.xml><?xml version="1.0" encoding="utf-8"?>
<ds:datastoreItem xmlns:ds="http://schemas.openxmlformats.org/officeDocument/2006/customXml" ds:itemID="{5429CBF9-BAEE-4C52-A819-085C665CD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893</Words>
  <Characters>4467</Characters>
  <Application>Microsoft Office Word</Application>
  <DocSecurity>4</DocSecurity>
  <Lines>37</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נטלי שלף</cp:lastModifiedBy>
  <cp:revision>2</cp:revision>
  <cp:lastPrinted>2015-07-16T08:47:00Z</cp:lastPrinted>
  <dcterms:created xsi:type="dcterms:W3CDTF">2017-12-26T15:55:00Z</dcterms:created>
  <dcterms:modified xsi:type="dcterms:W3CDTF">2017-12-26T15:55:00Z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2025553</vt:r8>
  </property>
</Properties>
</file>