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0702" w:rsidRDefault="00CF0702" w:rsidP="00543EB9">
      <w:pPr>
        <w:pStyle w:val="HeadHatzaotHok"/>
        <w:keepNext w:val="0"/>
        <w:keepLines w:val="0"/>
        <w:rPr>
          <w:rtl/>
        </w:rPr>
      </w:pPr>
      <w:bookmarkStart w:id="0" w:name="_GoBack"/>
      <w:bookmarkEnd w:id="0"/>
      <w:r>
        <w:rPr>
          <w:rFonts w:hint="cs"/>
          <w:rtl/>
        </w:rPr>
        <w:t>תקנות להגברת האכיפה של דיני העבודה (הפחת</w:t>
      </w:r>
      <w:r w:rsidR="00734630">
        <w:rPr>
          <w:rFonts w:hint="cs"/>
          <w:rtl/>
        </w:rPr>
        <w:t xml:space="preserve">ה של </w:t>
      </w:r>
      <w:r>
        <w:rPr>
          <w:rFonts w:hint="cs"/>
          <w:rtl/>
        </w:rPr>
        <w:t>סכום העיצום הכספי)</w:t>
      </w:r>
      <w:r w:rsidRPr="00CF5BDF">
        <w:rPr>
          <w:rFonts w:hint="cs"/>
          <w:rtl/>
        </w:rPr>
        <w:t>(תיקון)</w:t>
      </w:r>
      <w:r>
        <w:rPr>
          <w:rFonts w:hint="cs"/>
          <w:rtl/>
        </w:rPr>
        <w:t>, התשע"ח-2017</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624"/>
        <w:gridCol w:w="2778"/>
      </w:tblGrid>
      <w:tr w:rsidR="00CF0702" w:rsidTr="00411FB7">
        <w:trPr>
          <w:cantSplit/>
          <w:trHeight w:val="60"/>
        </w:trPr>
        <w:tc>
          <w:tcPr>
            <w:tcW w:w="9641" w:type="dxa"/>
            <w:gridSpan w:val="10"/>
          </w:tcPr>
          <w:p w:rsidR="00CF0702" w:rsidRPr="00CF0702" w:rsidRDefault="00CF0702" w:rsidP="00CF0702">
            <w:pPr>
              <w:pStyle w:val="TableBlock"/>
            </w:pPr>
            <w:r w:rsidRPr="00CF0702">
              <w:rPr>
                <w:rFonts w:hint="cs"/>
                <w:rtl/>
              </w:rPr>
              <w:t>בתוקף סמכותי</w:t>
            </w:r>
            <w:r w:rsidR="00543EB9">
              <w:rPr>
                <w:rStyle w:val="ad"/>
                <w:rtl/>
              </w:rPr>
              <w:footnoteReference w:id="1"/>
            </w:r>
            <w:r w:rsidRPr="00CF0702">
              <w:rPr>
                <w:rFonts w:hint="cs"/>
                <w:rtl/>
              </w:rPr>
              <w:t xml:space="preserve"> לפי סעיף 8(ב) לחוק להגברת האכיפה של דיני העבודה, התשע"ב-2011</w:t>
            </w:r>
            <w:r w:rsidR="00734630">
              <w:rPr>
                <w:rStyle w:val="ad"/>
                <w:rtl/>
              </w:rPr>
              <w:footnoteReference w:id="2"/>
            </w:r>
            <w:r w:rsidRPr="00CF0702">
              <w:rPr>
                <w:rFonts w:hint="cs"/>
                <w:rtl/>
              </w:rPr>
              <w:t xml:space="preserve"> (להלן – החוק), בהסכמת שר המשפטים, בהתייעצות עם הארגונים ובאישור ועדת העבודה הרווחה והבריאות של הכנסת, אני מתקין תקנות אלה:</w:t>
            </w:r>
          </w:p>
        </w:tc>
      </w:tr>
      <w:tr w:rsidR="00734630">
        <w:trPr>
          <w:cantSplit/>
          <w:trHeight w:val="60"/>
        </w:trPr>
        <w:tc>
          <w:tcPr>
            <w:tcW w:w="1871" w:type="dxa"/>
          </w:tcPr>
          <w:p w:rsidR="00734630" w:rsidRDefault="001D76C8" w:rsidP="007E751D">
            <w:pPr>
              <w:pStyle w:val="TableSideHeading"/>
              <w:keepLines w:val="0"/>
            </w:pPr>
            <w:r>
              <w:rPr>
                <w:rFonts w:hint="cs"/>
                <w:rtl/>
              </w:rPr>
              <w:t>הוספת תקנה 4</w:t>
            </w:r>
          </w:p>
        </w:tc>
        <w:tc>
          <w:tcPr>
            <w:tcW w:w="624" w:type="dxa"/>
          </w:tcPr>
          <w:p w:rsidR="00734630" w:rsidRDefault="00734630" w:rsidP="00734630">
            <w:pPr>
              <w:pStyle w:val="TableText"/>
              <w:keepLines w:val="0"/>
              <w:numPr>
                <w:ilvl w:val="0"/>
                <w:numId w:val="1"/>
              </w:numPr>
            </w:pPr>
          </w:p>
        </w:tc>
        <w:tc>
          <w:tcPr>
            <w:tcW w:w="7146" w:type="dxa"/>
            <w:gridSpan w:val="8"/>
          </w:tcPr>
          <w:p w:rsidR="00734630" w:rsidRPr="00C34DE2" w:rsidRDefault="00734630" w:rsidP="00E33A97">
            <w:pPr>
              <w:pStyle w:val="TableBlock"/>
              <w:keepLines w:val="0"/>
              <w:rPr>
                <w:rtl/>
              </w:rPr>
            </w:pPr>
            <w:r>
              <w:rPr>
                <w:rFonts w:hint="cs"/>
                <w:rtl/>
              </w:rPr>
              <w:t>בתקנות להגברת האכיפה של דיני העבודה (הפחתה של סכום העיצום הכספי), התשע"ב-2012</w:t>
            </w:r>
            <w:r>
              <w:rPr>
                <w:rStyle w:val="ad"/>
                <w:rtl/>
              </w:rPr>
              <w:footnoteReference w:id="3"/>
            </w:r>
            <w:r w:rsidR="00E33A97">
              <w:rPr>
                <w:rFonts w:hint="cs"/>
                <w:rtl/>
              </w:rPr>
              <w:t xml:space="preserve"> (</w:t>
            </w:r>
            <w:r w:rsidR="00E33A97" w:rsidRPr="00E33A97">
              <w:rPr>
                <w:rtl/>
              </w:rPr>
              <w:t>להלן – ה</w:t>
            </w:r>
            <w:r w:rsidR="00E33A97">
              <w:rPr>
                <w:rFonts w:hint="cs"/>
                <w:rtl/>
              </w:rPr>
              <w:t>תקנות</w:t>
            </w:r>
            <w:r w:rsidR="00E95350">
              <w:rPr>
                <w:rFonts w:hint="cs"/>
                <w:rtl/>
              </w:rPr>
              <w:t xml:space="preserve"> העיקריות</w:t>
            </w:r>
            <w:r w:rsidR="00E33A97">
              <w:rPr>
                <w:rFonts w:hint="cs"/>
                <w:rtl/>
              </w:rPr>
              <w:t>)</w:t>
            </w:r>
            <w:r>
              <w:rPr>
                <w:rFonts w:hint="cs"/>
                <w:rtl/>
              </w:rPr>
              <w:t>, אחרי תקנה 3 יבוא:</w:t>
            </w:r>
          </w:p>
        </w:tc>
      </w:tr>
      <w:tr w:rsidR="00353000">
        <w:trPr>
          <w:cantSplit/>
          <w:trHeight w:val="60"/>
        </w:trPr>
        <w:tc>
          <w:tcPr>
            <w:tcW w:w="1871" w:type="dxa"/>
          </w:tcPr>
          <w:p w:rsidR="00353000" w:rsidRDefault="00353000">
            <w:pPr>
              <w:pStyle w:val="TableSideHeading"/>
              <w:keepLines w:val="0"/>
            </w:pPr>
          </w:p>
        </w:tc>
        <w:tc>
          <w:tcPr>
            <w:tcW w:w="624" w:type="dxa"/>
          </w:tcPr>
          <w:p w:rsidR="00353000" w:rsidRDefault="00353000">
            <w:pPr>
              <w:pStyle w:val="TableText"/>
              <w:keepLines w:val="0"/>
            </w:pPr>
          </w:p>
        </w:tc>
        <w:tc>
          <w:tcPr>
            <w:tcW w:w="1872" w:type="dxa"/>
            <w:gridSpan w:val="3"/>
          </w:tcPr>
          <w:p w:rsidR="00353000" w:rsidRDefault="00353000" w:rsidP="007126DB">
            <w:pPr>
              <w:pStyle w:val="TableInnerSideHeading"/>
            </w:pPr>
            <w:r>
              <w:rPr>
                <w:rFonts w:hint="cs"/>
                <w:rtl/>
              </w:rPr>
              <w:t>"</w:t>
            </w:r>
            <w:r w:rsidR="007126DB">
              <w:rPr>
                <w:rFonts w:hint="cs"/>
                <w:rtl/>
              </w:rPr>
              <w:t xml:space="preserve"> תחולת ה</w:t>
            </w:r>
            <w:r>
              <w:rPr>
                <w:rFonts w:hint="cs"/>
                <w:rtl/>
              </w:rPr>
              <w:t>תקנות</w:t>
            </w:r>
            <w:r w:rsidR="007126DB">
              <w:rPr>
                <w:rFonts w:hint="cs"/>
                <w:rtl/>
              </w:rPr>
              <w:t xml:space="preserve"> </w:t>
            </w:r>
            <w:r>
              <w:rPr>
                <w:rFonts w:hint="cs"/>
                <w:rtl/>
              </w:rPr>
              <w:t>על הפרת הוראות שעניינן בטיחות בעבודה</w:t>
            </w:r>
          </w:p>
        </w:tc>
        <w:tc>
          <w:tcPr>
            <w:tcW w:w="624" w:type="dxa"/>
          </w:tcPr>
          <w:p w:rsidR="00353000" w:rsidRPr="00353000" w:rsidRDefault="00353000">
            <w:pPr>
              <w:pStyle w:val="TableText"/>
            </w:pPr>
            <w:r>
              <w:rPr>
                <w:rFonts w:hint="cs"/>
                <w:rtl/>
              </w:rPr>
              <w:t>4.</w:t>
            </w:r>
          </w:p>
        </w:tc>
        <w:tc>
          <w:tcPr>
            <w:tcW w:w="4650" w:type="dxa"/>
            <w:gridSpan w:val="4"/>
          </w:tcPr>
          <w:p w:rsidR="00353000" w:rsidRDefault="00543EB9" w:rsidP="00E91CBD">
            <w:pPr>
              <w:pStyle w:val="TableBlock"/>
              <w:numPr>
                <w:ilvl w:val="0"/>
                <w:numId w:val="8"/>
              </w:numPr>
              <w:tabs>
                <w:tab w:val="left" w:pos="624"/>
              </w:tabs>
            </w:pPr>
            <w:r>
              <w:rPr>
                <w:rFonts w:hint="cs"/>
                <w:rtl/>
              </w:rPr>
              <w:t>הוראות תקנות 1, 1א ו-3 יחולו על עיצומים כספיים המוטלים ב</w:t>
            </w:r>
            <w:r w:rsidR="002A6AF3">
              <w:rPr>
                <w:rFonts w:hint="cs"/>
                <w:rtl/>
              </w:rPr>
              <w:t>של</w:t>
            </w:r>
            <w:r>
              <w:rPr>
                <w:rFonts w:hint="cs"/>
                <w:rtl/>
              </w:rPr>
              <w:t xml:space="preserve"> </w:t>
            </w:r>
            <w:r w:rsidR="002A6AF3">
              <w:rPr>
                <w:rFonts w:hint="cs"/>
                <w:rtl/>
              </w:rPr>
              <w:t xml:space="preserve">הפרת </w:t>
            </w:r>
            <w:r>
              <w:rPr>
                <w:rFonts w:hint="cs"/>
                <w:rtl/>
              </w:rPr>
              <w:t xml:space="preserve">הוראות סימן ב' בחלק ב' וסימן ב' בחלק ג' לתוספת השנייה לחוק, </w:t>
            </w:r>
            <w:r w:rsidR="00353000">
              <w:rPr>
                <w:rFonts w:hint="cs"/>
                <w:rtl/>
              </w:rPr>
              <w:t>בשינויים המחויבים ובשינוי</w:t>
            </w:r>
            <w:r w:rsidR="0000182B">
              <w:rPr>
                <w:rFonts w:hint="cs"/>
                <w:rtl/>
              </w:rPr>
              <w:t>י</w:t>
            </w:r>
            <w:r w:rsidR="00353000">
              <w:rPr>
                <w:rFonts w:hint="cs"/>
                <w:rtl/>
              </w:rPr>
              <w:t>ם אלה:</w:t>
            </w:r>
          </w:p>
        </w:tc>
      </w:tr>
      <w:tr w:rsidR="00543EB9">
        <w:trPr>
          <w:cantSplit/>
          <w:trHeight w:val="60"/>
        </w:trPr>
        <w:tc>
          <w:tcPr>
            <w:tcW w:w="1871" w:type="dxa"/>
          </w:tcPr>
          <w:p w:rsidR="00543EB9" w:rsidRDefault="00543EB9">
            <w:pPr>
              <w:pStyle w:val="TableSideHeading"/>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4026" w:type="dxa"/>
            <w:gridSpan w:val="3"/>
          </w:tcPr>
          <w:p w:rsidR="00543EB9" w:rsidRDefault="00543EB9" w:rsidP="00F40A97">
            <w:pPr>
              <w:pStyle w:val="TableBlock"/>
              <w:numPr>
                <w:ilvl w:val="0"/>
                <w:numId w:val="10"/>
              </w:numPr>
              <w:tabs>
                <w:tab w:val="left" w:pos="624"/>
              </w:tabs>
            </w:pPr>
            <w:r>
              <w:rPr>
                <w:rFonts w:hint="cs"/>
                <w:rtl/>
              </w:rPr>
              <w:t>בתקנה 1 -</w:t>
            </w:r>
          </w:p>
        </w:tc>
      </w:tr>
      <w:tr w:rsidR="00543EB9">
        <w:trPr>
          <w:cantSplit/>
          <w:trHeight w:val="60"/>
        </w:trPr>
        <w:tc>
          <w:tcPr>
            <w:tcW w:w="1871" w:type="dxa"/>
          </w:tcPr>
          <w:p w:rsidR="00543EB9" w:rsidRDefault="00543EB9">
            <w:pPr>
              <w:pStyle w:val="TableSideHeading"/>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3402" w:type="dxa"/>
            <w:gridSpan w:val="2"/>
          </w:tcPr>
          <w:p w:rsidR="00543EB9" w:rsidRDefault="00543EB9" w:rsidP="00F40A97">
            <w:pPr>
              <w:pStyle w:val="TableBlock"/>
              <w:numPr>
                <w:ilvl w:val="0"/>
                <w:numId w:val="11"/>
              </w:numPr>
              <w:tabs>
                <w:tab w:val="left" w:pos="624"/>
              </w:tabs>
            </w:pPr>
            <w:r>
              <w:rPr>
                <w:rFonts w:hint="cs"/>
                <w:rtl/>
              </w:rPr>
              <w:t xml:space="preserve">תקנת משנה (א)(4) </w:t>
            </w:r>
            <w:r>
              <w:rPr>
                <w:rtl/>
              </w:rPr>
              <w:t>–</w:t>
            </w:r>
            <w:r>
              <w:rPr>
                <w:rFonts w:hint="cs"/>
                <w:rtl/>
              </w:rPr>
              <w:t xml:space="preserve"> לא תיקרא</w:t>
            </w:r>
            <w:r w:rsidR="00F367F5">
              <w:rPr>
                <w:rFonts w:hint="cs"/>
                <w:rtl/>
              </w:rPr>
              <w:t>.</w:t>
            </w:r>
          </w:p>
        </w:tc>
      </w:tr>
      <w:tr w:rsidR="00543EB9">
        <w:trPr>
          <w:cantSplit/>
          <w:trHeight w:val="60"/>
        </w:trPr>
        <w:tc>
          <w:tcPr>
            <w:tcW w:w="1871" w:type="dxa"/>
          </w:tcPr>
          <w:p w:rsidR="00543EB9" w:rsidRDefault="00543EB9">
            <w:pPr>
              <w:pStyle w:val="TableSideHeading"/>
            </w:pPr>
          </w:p>
        </w:tc>
        <w:tc>
          <w:tcPr>
            <w:tcW w:w="624" w:type="dxa"/>
          </w:tcPr>
          <w:p w:rsidR="00543EB9" w:rsidRDefault="00543EB9" w:rsidP="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3402" w:type="dxa"/>
            <w:gridSpan w:val="2"/>
          </w:tcPr>
          <w:p w:rsidR="00543EB9" w:rsidRDefault="00543EB9" w:rsidP="00F40A97">
            <w:pPr>
              <w:pStyle w:val="TableBlock"/>
              <w:numPr>
                <w:ilvl w:val="0"/>
                <w:numId w:val="11"/>
              </w:numPr>
            </w:pPr>
            <w:r>
              <w:rPr>
                <w:rFonts w:hint="cs"/>
                <w:rtl/>
              </w:rPr>
              <w:t>במקום תקנת משנה (ג) יבוא:</w:t>
            </w:r>
          </w:p>
        </w:tc>
      </w:tr>
      <w:tr w:rsidR="00543EB9">
        <w:trPr>
          <w:cantSplit/>
          <w:trHeight w:val="60"/>
        </w:trPr>
        <w:tc>
          <w:tcPr>
            <w:tcW w:w="1871" w:type="dxa"/>
          </w:tcPr>
          <w:p w:rsidR="00543EB9" w:rsidRDefault="00543EB9">
            <w:pPr>
              <w:pStyle w:val="TableSideHeading"/>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2778" w:type="dxa"/>
          </w:tcPr>
          <w:p w:rsidR="00543EB9" w:rsidRDefault="00543EB9">
            <w:pPr>
              <w:pStyle w:val="TableBlock"/>
            </w:pPr>
            <w:r w:rsidRPr="00941DBF">
              <w:rPr>
                <w:rFonts w:hint="cs"/>
                <w:rtl/>
              </w:rPr>
              <w:t xml:space="preserve">"לא יפחית הממונה את סכום העיצום הכספי לפי תקנת משנה (א), אלא אם כן </w:t>
            </w:r>
            <w:r>
              <w:rPr>
                <w:rFonts w:hint="cs"/>
                <w:rtl/>
              </w:rPr>
              <w:t xml:space="preserve">שוכנע הממונה כי המעסיק </w:t>
            </w:r>
            <w:r w:rsidRPr="00941DBF">
              <w:rPr>
                <w:rFonts w:hint="cs"/>
                <w:rtl/>
              </w:rPr>
              <w:t>הפסיק את ההפרה שבשלה מוטל העיצום הכספי ותיקן אותה, ככל שהיא ניתנת לתיקון.</w:t>
            </w:r>
            <w:r>
              <w:rPr>
                <w:rFonts w:hint="cs"/>
                <w:rtl/>
              </w:rPr>
              <w:t>"</w:t>
            </w:r>
          </w:p>
        </w:tc>
      </w:tr>
      <w:tr w:rsidR="00543EB9">
        <w:trPr>
          <w:cantSplit/>
          <w:trHeight w:val="60"/>
        </w:trPr>
        <w:tc>
          <w:tcPr>
            <w:tcW w:w="1871" w:type="dxa"/>
          </w:tcPr>
          <w:p w:rsidR="00543EB9" w:rsidRDefault="00543EB9">
            <w:pPr>
              <w:pStyle w:val="TableSideHeading"/>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4026" w:type="dxa"/>
            <w:gridSpan w:val="3"/>
          </w:tcPr>
          <w:p w:rsidR="00543EB9" w:rsidRDefault="00543EB9" w:rsidP="00F40A97">
            <w:pPr>
              <w:pStyle w:val="TableBlock"/>
              <w:numPr>
                <w:ilvl w:val="0"/>
                <w:numId w:val="10"/>
              </w:numPr>
              <w:tabs>
                <w:tab w:val="left" w:pos="624"/>
              </w:tabs>
            </w:pPr>
            <w:r>
              <w:rPr>
                <w:rFonts w:hint="cs"/>
                <w:rtl/>
              </w:rPr>
              <w:t>בתקנה1א(ד), במקום האמור בה יבוא:</w:t>
            </w:r>
          </w:p>
        </w:tc>
      </w:tr>
      <w:tr w:rsidR="00543EB9">
        <w:trPr>
          <w:cantSplit/>
          <w:trHeight w:val="60"/>
        </w:trPr>
        <w:tc>
          <w:tcPr>
            <w:tcW w:w="1871" w:type="dxa"/>
          </w:tcPr>
          <w:p w:rsidR="00543EB9" w:rsidRDefault="00543EB9">
            <w:pPr>
              <w:pStyle w:val="TableSideHeading"/>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3402" w:type="dxa"/>
            <w:gridSpan w:val="2"/>
          </w:tcPr>
          <w:p w:rsidR="00543EB9" w:rsidRDefault="00543EB9">
            <w:pPr>
              <w:pStyle w:val="TableBlock"/>
            </w:pPr>
            <w:r>
              <w:rPr>
                <w:rFonts w:hint="cs"/>
                <w:rtl/>
              </w:rPr>
              <w:t>"</w:t>
            </w:r>
            <w:r w:rsidRPr="00057714">
              <w:rPr>
                <w:rFonts w:hint="cs"/>
                <w:rtl/>
              </w:rPr>
              <w:t xml:space="preserve">לא יפחית הממונה את סכום העיצום הכספי לפי תקנת משנה (א), אלא אם כן </w:t>
            </w:r>
            <w:r>
              <w:rPr>
                <w:rFonts w:hint="cs"/>
                <w:rtl/>
              </w:rPr>
              <w:t>שוכנע הממונה כי המעסיק</w:t>
            </w:r>
            <w:r w:rsidRPr="00057714">
              <w:rPr>
                <w:rFonts w:hint="cs"/>
                <w:rtl/>
              </w:rPr>
              <w:t xml:space="preserve"> הפסיק את ההפרה שבשלה מוטל העיצום הכספי ותיקן אותה, ככל שהיא ניתנת לתיקון.</w:t>
            </w:r>
            <w:r w:rsidR="00330F22">
              <w:rPr>
                <w:rFonts w:hint="cs"/>
                <w:rtl/>
              </w:rPr>
              <w:t>"</w:t>
            </w:r>
          </w:p>
        </w:tc>
      </w:tr>
      <w:tr w:rsidR="00543EB9">
        <w:trPr>
          <w:cantSplit/>
          <w:trHeight w:val="60"/>
        </w:trPr>
        <w:tc>
          <w:tcPr>
            <w:tcW w:w="1871" w:type="dxa"/>
          </w:tcPr>
          <w:p w:rsidR="00543EB9" w:rsidRDefault="00543EB9">
            <w:pPr>
              <w:pStyle w:val="TableSideHeading"/>
            </w:pPr>
          </w:p>
        </w:tc>
        <w:tc>
          <w:tcPr>
            <w:tcW w:w="624" w:type="dxa"/>
          </w:tcPr>
          <w:p w:rsidR="00543EB9" w:rsidRDefault="00543EB9" w:rsidP="0035701A">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4650" w:type="dxa"/>
            <w:gridSpan w:val="4"/>
          </w:tcPr>
          <w:p w:rsidR="00543EB9" w:rsidRPr="0035701A" w:rsidRDefault="00543EB9" w:rsidP="00330F22">
            <w:pPr>
              <w:pStyle w:val="TableBlock"/>
              <w:numPr>
                <w:ilvl w:val="0"/>
                <w:numId w:val="8"/>
              </w:numPr>
              <w:tabs>
                <w:tab w:val="left" w:pos="624"/>
              </w:tabs>
              <w:rPr>
                <w:rtl/>
              </w:rPr>
            </w:pPr>
            <w:r>
              <w:rPr>
                <w:rFonts w:hint="cs"/>
                <w:rtl/>
              </w:rPr>
              <w:t xml:space="preserve">על אף האמור בתקנת משנה (א), הוראות </w:t>
            </w:r>
            <w:r w:rsidR="00330F22">
              <w:rPr>
                <w:rFonts w:hint="cs"/>
                <w:rtl/>
              </w:rPr>
              <w:t xml:space="preserve">תקנה </w:t>
            </w:r>
            <w:r>
              <w:rPr>
                <w:rFonts w:hint="cs"/>
                <w:rtl/>
              </w:rPr>
              <w:t>1(א)(1) עד (3) לא יחולו על הפרת הוראות בעניינים אלה:</w:t>
            </w:r>
          </w:p>
        </w:tc>
      </w:tr>
      <w:tr w:rsidR="00543EB9">
        <w:trPr>
          <w:cantSplit/>
          <w:trHeight w:val="60"/>
        </w:trPr>
        <w:tc>
          <w:tcPr>
            <w:tcW w:w="1871" w:type="dxa"/>
          </w:tcPr>
          <w:p w:rsidR="00543EB9" w:rsidRDefault="00543EB9">
            <w:pPr>
              <w:pStyle w:val="TableSideHeading"/>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4026" w:type="dxa"/>
            <w:gridSpan w:val="3"/>
          </w:tcPr>
          <w:p w:rsidR="00543EB9" w:rsidRDefault="00543EB9" w:rsidP="00610B44">
            <w:pPr>
              <w:pStyle w:val="TableBlock"/>
              <w:numPr>
                <w:ilvl w:val="0"/>
                <w:numId w:val="9"/>
              </w:numPr>
              <w:tabs>
                <w:tab w:val="left" w:pos="624"/>
              </w:tabs>
            </w:pPr>
            <w:r>
              <w:rPr>
                <w:rFonts w:hint="cs"/>
                <w:rtl/>
              </w:rPr>
              <w:t>קיום הוראות צו בטיחות, צו הפסקת עבודה וצו שיפור לפי חוק ארגון הפיקוח על העבודה</w:t>
            </w:r>
            <w:r w:rsidR="00330F22">
              <w:rPr>
                <w:rFonts w:hint="cs"/>
                <w:rtl/>
              </w:rPr>
              <w:t>, התשי"ד-1954</w:t>
            </w:r>
            <w:r w:rsidR="00330F22">
              <w:rPr>
                <w:rStyle w:val="ad"/>
                <w:rtl/>
              </w:rPr>
              <w:footnoteReference w:id="4"/>
            </w:r>
            <w:r>
              <w:rPr>
                <w:rFonts w:hint="cs"/>
                <w:rtl/>
              </w:rPr>
              <w:t>;</w:t>
            </w:r>
          </w:p>
        </w:tc>
      </w:tr>
      <w:tr w:rsidR="00543EB9">
        <w:trPr>
          <w:cantSplit/>
          <w:trHeight w:val="60"/>
        </w:trPr>
        <w:tc>
          <w:tcPr>
            <w:tcW w:w="1871" w:type="dxa"/>
          </w:tcPr>
          <w:p w:rsidR="00543EB9" w:rsidRDefault="00543EB9">
            <w:pPr>
              <w:pStyle w:val="TableSideHeading"/>
            </w:pPr>
          </w:p>
        </w:tc>
        <w:tc>
          <w:tcPr>
            <w:tcW w:w="624" w:type="dxa"/>
          </w:tcPr>
          <w:p w:rsidR="00543EB9" w:rsidRDefault="00543EB9" w:rsidP="0035701A">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624" w:type="dxa"/>
          </w:tcPr>
          <w:p w:rsidR="00543EB9" w:rsidRDefault="00543EB9">
            <w:pPr>
              <w:pStyle w:val="TableText"/>
            </w:pPr>
          </w:p>
        </w:tc>
        <w:tc>
          <w:tcPr>
            <w:tcW w:w="4026" w:type="dxa"/>
            <w:gridSpan w:val="3"/>
          </w:tcPr>
          <w:p w:rsidR="00543EB9" w:rsidRDefault="00543EB9" w:rsidP="009F20F3">
            <w:pPr>
              <w:pStyle w:val="TableBlock"/>
              <w:numPr>
                <w:ilvl w:val="0"/>
                <w:numId w:val="9"/>
              </w:numPr>
              <w:tabs>
                <w:tab w:val="left" w:pos="624"/>
              </w:tabs>
              <w:rPr>
                <w:rtl/>
              </w:rPr>
            </w:pPr>
            <w:r>
              <w:rPr>
                <w:rFonts w:hint="cs"/>
                <w:rtl/>
              </w:rPr>
              <w:t>שימוש בכלים טעוני בדיקה לאחר תסקיר בדיקה של בודק מוסמך לפי פקודת הבטיחות בעבודה</w:t>
            </w:r>
            <w:r w:rsidR="009F20F3">
              <w:rPr>
                <w:rFonts w:hint="cs"/>
                <w:rtl/>
              </w:rPr>
              <w:t xml:space="preserve"> [נוסח חדש], התש"ל-1970</w:t>
            </w:r>
            <w:r w:rsidR="009F20F3">
              <w:rPr>
                <w:rStyle w:val="ad"/>
                <w:rtl/>
              </w:rPr>
              <w:footnoteReference w:id="5"/>
            </w:r>
            <w:r w:rsidR="009F20F3">
              <w:rPr>
                <w:rFonts w:hint="cs"/>
                <w:rtl/>
              </w:rPr>
              <w:t>."</w:t>
            </w:r>
          </w:p>
        </w:tc>
      </w:tr>
      <w:tr w:rsidR="00CC07B1" w:rsidTr="009344F5">
        <w:trPr>
          <w:cantSplit/>
          <w:trHeight w:val="60"/>
        </w:trPr>
        <w:tc>
          <w:tcPr>
            <w:tcW w:w="1871" w:type="dxa"/>
          </w:tcPr>
          <w:p w:rsidR="00CC07B1" w:rsidRDefault="00CC07B1">
            <w:pPr>
              <w:pStyle w:val="TableSideHeading"/>
              <w:keepLines w:val="0"/>
            </w:pPr>
            <w:r>
              <w:rPr>
                <w:rFonts w:hint="cs"/>
                <w:rtl/>
              </w:rPr>
              <w:t xml:space="preserve">שינוי שם </w:t>
            </w:r>
            <w:r w:rsidR="00E95350">
              <w:rPr>
                <w:rFonts w:hint="cs"/>
                <w:rtl/>
              </w:rPr>
              <w:t>ה</w:t>
            </w:r>
            <w:r>
              <w:rPr>
                <w:rFonts w:hint="cs"/>
                <w:rtl/>
              </w:rPr>
              <w:t>משרד</w:t>
            </w:r>
          </w:p>
        </w:tc>
        <w:tc>
          <w:tcPr>
            <w:tcW w:w="624" w:type="dxa"/>
          </w:tcPr>
          <w:p w:rsidR="00CC07B1" w:rsidRDefault="00CC07B1" w:rsidP="00F40A97">
            <w:pPr>
              <w:pStyle w:val="TableText"/>
              <w:keepLines w:val="0"/>
              <w:numPr>
                <w:ilvl w:val="0"/>
                <w:numId w:val="1"/>
              </w:numPr>
            </w:pPr>
          </w:p>
        </w:tc>
        <w:tc>
          <w:tcPr>
            <w:tcW w:w="7146" w:type="dxa"/>
            <w:gridSpan w:val="8"/>
          </w:tcPr>
          <w:p w:rsidR="00CC07B1" w:rsidRDefault="00CC07B1" w:rsidP="00F40A97">
            <w:pPr>
              <w:pStyle w:val="TableBlock"/>
              <w:tabs>
                <w:tab w:val="clear" w:pos="1247"/>
              </w:tabs>
            </w:pPr>
            <w:r>
              <w:rPr>
                <w:rFonts w:hint="cs"/>
                <w:rtl/>
              </w:rPr>
              <w:t>בכל מקום בתקנות</w:t>
            </w:r>
            <w:r w:rsidR="00E95350">
              <w:rPr>
                <w:rFonts w:hint="cs"/>
                <w:rtl/>
              </w:rPr>
              <w:t xml:space="preserve"> העיקריות</w:t>
            </w:r>
            <w:r>
              <w:rPr>
                <w:rFonts w:hint="cs"/>
                <w:rtl/>
              </w:rPr>
              <w:t>,</w:t>
            </w:r>
            <w:r w:rsidR="001E070C">
              <w:rPr>
                <w:rFonts w:hint="cs"/>
                <w:rtl/>
              </w:rPr>
              <w:t xml:space="preserve"> במקום "</w:t>
            </w:r>
            <w:r w:rsidR="001E070C" w:rsidRPr="001E070C">
              <w:rPr>
                <w:rtl/>
              </w:rPr>
              <w:t>משרד התעשייה המסחר והתעסוקה</w:t>
            </w:r>
            <w:r w:rsidR="001E070C">
              <w:rPr>
                <w:rFonts w:hint="cs"/>
                <w:rtl/>
              </w:rPr>
              <w:t>" יבוא "משרד העבודה,</w:t>
            </w:r>
            <w:r w:rsidR="001E070C" w:rsidRPr="001E070C">
              <w:rPr>
                <w:rFonts w:hint="cs"/>
                <w:snapToGrid/>
                <w:rtl/>
              </w:rPr>
              <w:t xml:space="preserve"> </w:t>
            </w:r>
            <w:r w:rsidR="00E95350">
              <w:rPr>
                <w:rFonts w:hint="cs"/>
                <w:rtl/>
              </w:rPr>
              <w:t>ה</w:t>
            </w:r>
            <w:r w:rsidR="001E070C" w:rsidRPr="001E070C">
              <w:rPr>
                <w:rFonts w:hint="cs"/>
                <w:rtl/>
              </w:rPr>
              <w:t>רווחה והשירותים החברתיים</w:t>
            </w:r>
            <w:r w:rsidR="001E070C">
              <w:rPr>
                <w:rFonts w:hint="cs"/>
                <w:rtl/>
              </w:rPr>
              <w:t>".</w:t>
            </w:r>
            <w:r>
              <w:rPr>
                <w:rFonts w:hint="cs"/>
                <w:rtl/>
              </w:rPr>
              <w:t xml:space="preserve">  </w:t>
            </w:r>
          </w:p>
        </w:tc>
      </w:tr>
      <w:tr w:rsidR="00543EB9" w:rsidTr="007125E4">
        <w:trPr>
          <w:cantSplit/>
          <w:trHeight w:val="60"/>
        </w:trPr>
        <w:tc>
          <w:tcPr>
            <w:tcW w:w="1871" w:type="dxa"/>
          </w:tcPr>
          <w:p w:rsidR="00543EB9" w:rsidRDefault="00543EB9">
            <w:pPr>
              <w:pStyle w:val="TableSideHeading"/>
            </w:pPr>
            <w:r>
              <w:rPr>
                <w:rFonts w:hint="cs"/>
                <w:rtl/>
              </w:rPr>
              <w:t>תחילה</w:t>
            </w:r>
          </w:p>
        </w:tc>
        <w:tc>
          <w:tcPr>
            <w:tcW w:w="624" w:type="dxa"/>
          </w:tcPr>
          <w:p w:rsidR="00543EB9" w:rsidRDefault="00543EB9" w:rsidP="00E14632">
            <w:pPr>
              <w:pStyle w:val="TableText"/>
              <w:keepLines w:val="0"/>
              <w:numPr>
                <w:ilvl w:val="0"/>
                <w:numId w:val="1"/>
              </w:numPr>
            </w:pPr>
          </w:p>
        </w:tc>
        <w:tc>
          <w:tcPr>
            <w:tcW w:w="7146" w:type="dxa"/>
            <w:gridSpan w:val="8"/>
          </w:tcPr>
          <w:p w:rsidR="00543EB9" w:rsidRDefault="00543EB9">
            <w:pPr>
              <w:pStyle w:val="TableBlock"/>
            </w:pPr>
            <w:r>
              <w:rPr>
                <w:rFonts w:hint="cs"/>
                <w:rtl/>
              </w:rPr>
              <w:t xml:space="preserve">תחילתן של תקנות אלה ביום י"ד בטבת </w:t>
            </w:r>
            <w:proofErr w:type="spellStart"/>
            <w:r>
              <w:rPr>
                <w:rFonts w:hint="cs"/>
                <w:rtl/>
              </w:rPr>
              <w:t>התשע"ח</w:t>
            </w:r>
            <w:proofErr w:type="spellEnd"/>
            <w:r>
              <w:rPr>
                <w:rFonts w:hint="cs"/>
                <w:rtl/>
              </w:rPr>
              <w:t xml:space="preserve"> (1 בינואר 2018).</w:t>
            </w:r>
          </w:p>
        </w:tc>
      </w:tr>
    </w:tbl>
    <w:p w:rsidR="00057714" w:rsidRDefault="00057714" w:rsidP="00F40A97">
      <w:pPr>
        <w:pStyle w:val="HeadDivreiHesber"/>
        <w:jc w:val="left"/>
        <w:rPr>
          <w:rtl/>
        </w:rPr>
      </w:pPr>
      <w:r>
        <w:rPr>
          <w:rFonts w:hint="cs"/>
          <w:rtl/>
        </w:rPr>
        <w:t xml:space="preserve">_______ </w:t>
      </w:r>
      <w:proofErr w:type="spellStart"/>
      <w:r>
        <w:rPr>
          <w:rFonts w:hint="cs"/>
          <w:rtl/>
        </w:rPr>
        <w:t>התשע"ח</w:t>
      </w:r>
      <w:proofErr w:type="spellEnd"/>
    </w:p>
    <w:p w:rsidR="00057714" w:rsidRDefault="00057714" w:rsidP="00F40A97">
      <w:pPr>
        <w:pStyle w:val="HeadDivreiHesber"/>
        <w:jc w:val="left"/>
        <w:rPr>
          <w:rtl/>
        </w:rPr>
      </w:pPr>
      <w:r>
        <w:rPr>
          <w:rFonts w:hint="cs"/>
          <w:rtl/>
        </w:rPr>
        <w:t>________ 2017</w:t>
      </w:r>
    </w:p>
    <w:p w:rsidR="00057714" w:rsidRDefault="00330F22" w:rsidP="00F40A97">
      <w:pPr>
        <w:pStyle w:val="HeadDivreiHesber"/>
        <w:jc w:val="left"/>
        <w:rPr>
          <w:rtl/>
        </w:rPr>
      </w:pPr>
      <w:r>
        <w:rPr>
          <w:rFonts w:hint="cs"/>
          <w:rtl/>
        </w:rPr>
        <w:t>(</w:t>
      </w:r>
      <w:proofErr w:type="spellStart"/>
      <w:r>
        <w:rPr>
          <w:rFonts w:hint="cs"/>
          <w:rtl/>
        </w:rPr>
        <w:t>חמ</w:t>
      </w:r>
      <w:proofErr w:type="spellEnd"/>
      <w:r>
        <w:rPr>
          <w:rFonts w:hint="cs"/>
          <w:rtl/>
        </w:rPr>
        <w:t xml:space="preserve"> 3-4502)</w:t>
      </w:r>
    </w:p>
    <w:p w:rsidR="00057714" w:rsidRDefault="00057714" w:rsidP="00F40A97">
      <w:pPr>
        <w:pStyle w:val="HeadDivreiHesber"/>
        <w:ind w:left="5040"/>
        <w:jc w:val="both"/>
        <w:rPr>
          <w:rtl/>
        </w:rPr>
      </w:pPr>
      <w:r>
        <w:rPr>
          <w:rFonts w:hint="cs"/>
          <w:rtl/>
        </w:rPr>
        <w:t>_______</w:t>
      </w:r>
    </w:p>
    <w:p w:rsidR="00057714" w:rsidRDefault="00330F22" w:rsidP="00330F22">
      <w:pPr>
        <w:pStyle w:val="HeadDivreiHesber"/>
        <w:rPr>
          <w:rtl/>
        </w:rPr>
      </w:pPr>
      <w:r>
        <w:rPr>
          <w:rFonts w:hint="cs"/>
          <w:rtl/>
        </w:rPr>
        <w:t xml:space="preserve">                               </w:t>
      </w:r>
      <w:r w:rsidR="00057714">
        <w:rPr>
          <w:rFonts w:hint="cs"/>
          <w:rtl/>
        </w:rPr>
        <w:t>חיים כץ</w:t>
      </w:r>
    </w:p>
    <w:p w:rsidR="00CF0702" w:rsidRDefault="00F367F5" w:rsidP="00330F22">
      <w:pPr>
        <w:pStyle w:val="HeadDivreiHesber"/>
        <w:rPr>
          <w:rtl/>
        </w:rPr>
      </w:pPr>
      <w:r>
        <w:rPr>
          <w:rFonts w:hint="cs"/>
          <w:rtl/>
        </w:rPr>
        <w:t xml:space="preserve">                        </w:t>
      </w:r>
      <w:r w:rsidR="00057714">
        <w:rPr>
          <w:rFonts w:hint="cs"/>
          <w:rtl/>
        </w:rPr>
        <w:t>שר העבודה רווחה והשירותים החברתיים</w:t>
      </w:r>
      <w:r w:rsidR="00CF0702">
        <w:rPr>
          <w:rtl/>
        </w:rPr>
        <w:br w:type="page"/>
      </w:r>
      <w:r w:rsidR="00057714">
        <w:rPr>
          <w:rFonts w:hint="cs"/>
          <w:rtl/>
        </w:rPr>
        <w:lastRenderedPageBreak/>
        <w:t>דברי הס</w:t>
      </w:r>
      <w:r w:rsidR="00610B44">
        <w:rPr>
          <w:rFonts w:hint="cs"/>
          <w:rtl/>
        </w:rPr>
        <w:t>בר</w:t>
      </w:r>
    </w:p>
    <w:p w:rsidR="00A9230E" w:rsidRDefault="00A9230E" w:rsidP="00EC0D8D">
      <w:pPr>
        <w:pStyle w:val="Hesber1st"/>
        <w:tabs>
          <w:tab w:val="clear" w:pos="680"/>
        </w:tabs>
        <w:rPr>
          <w:rtl/>
        </w:rPr>
      </w:pPr>
      <w:r>
        <w:rPr>
          <w:rFonts w:hint="cs"/>
          <w:rtl/>
        </w:rPr>
        <w:t xml:space="preserve">סעיף 8 לחוק להגברת האכיפה של דיני העבודה, התשע"ב-2011 (להלן </w:t>
      </w:r>
      <w:r>
        <w:rPr>
          <w:rtl/>
        </w:rPr>
        <w:t>–</w:t>
      </w:r>
      <w:r>
        <w:rPr>
          <w:rFonts w:hint="cs"/>
          <w:rtl/>
        </w:rPr>
        <w:t xml:space="preserve"> החוק) קובע כי הממונה לפי החוק האמור אינו רשאי להפחית מסכומי העיצום הכספי הקבועים בסעיף 3 לחוק אלא אם עשה כן על פי תקנות שהתקין שר העבודה, הרווחה והשירותים החברתיים, בהסכמת שרת המשפטים, בהתייעצות עם הארגונים, </w:t>
      </w:r>
      <w:r w:rsidRPr="00B3492A">
        <w:rPr>
          <w:rtl/>
        </w:rPr>
        <w:t>ובאישור ועדת העבודה הרווחה והבריאות של הכנסת</w:t>
      </w:r>
      <w:r>
        <w:rPr>
          <w:rFonts w:hint="cs"/>
          <w:rtl/>
        </w:rPr>
        <w:t>. תקנות להגברת האכיפה של דיני העבודה (הפחתה של סכום העיצום הכספי), התשע"ב-2012, קובעות את העילות בגינן ניתן להפחית את סכומי העיצום הכספי, אולם אלה נוסחו כאשר בעיני מחוקק המשנה הוראות הקובעות תנאי עבודה ולא הוראות בעניין בטיחות בעבודה. ביום 26</w:t>
      </w:r>
      <w:r w:rsidR="00EC0D8D">
        <w:rPr>
          <w:rFonts w:hint="cs"/>
          <w:rtl/>
        </w:rPr>
        <w:t>.</w:t>
      </w:r>
      <w:r>
        <w:rPr>
          <w:rFonts w:hint="cs"/>
          <w:rtl/>
        </w:rPr>
        <w:t>6</w:t>
      </w:r>
      <w:r w:rsidR="00EC0D8D">
        <w:rPr>
          <w:rFonts w:hint="cs"/>
          <w:rtl/>
        </w:rPr>
        <w:t>.</w:t>
      </w:r>
      <w:r>
        <w:rPr>
          <w:rFonts w:hint="cs"/>
          <w:rtl/>
        </w:rPr>
        <w:t>2017 פורסם הצו להגברת האכיפה של דיני העבודה (שינוי התוספת השנייה לחוק), התשע"ז-2017, אשר מחיל את החוק להגברת האכיפה של דיני העבודה על הוראות הדין העוסקות בבטיחות בעבודה. טיוטת תקנות זו מבקשת להחיל בשינויים המחויבים, את הוראות התקנות הקיימות להפחתה של סכום העיצום הכספי על הוראות הבטיחות בעבודה.</w:t>
      </w:r>
    </w:p>
    <w:p w:rsidR="00A9230E" w:rsidRDefault="00A9230E" w:rsidP="00A9230E">
      <w:pPr>
        <w:pStyle w:val="Hesber1st"/>
        <w:tabs>
          <w:tab w:val="clear" w:pos="680"/>
        </w:tabs>
        <w:rPr>
          <w:rtl/>
        </w:rPr>
      </w:pPr>
      <w:r>
        <w:rPr>
          <w:rFonts w:hint="cs"/>
          <w:rtl/>
        </w:rPr>
        <w:t xml:space="preserve">בנוסף, עודכנו התקנות, כך שבכל מקום בו מופיע </w:t>
      </w:r>
      <w:r w:rsidRPr="00F45B87">
        <w:rPr>
          <w:rtl/>
        </w:rPr>
        <w:t>משרד התעשייה המסחר והתעסוקה</w:t>
      </w:r>
      <w:r>
        <w:rPr>
          <w:rFonts w:hint="cs"/>
          <w:rtl/>
        </w:rPr>
        <w:t>, יבוא משרד העבודה, הרווחה והשירותים החברתיים, וזאת בהתאם להחלטת ממשלה</w:t>
      </w:r>
      <w:r w:rsidRPr="00F45B87">
        <w:rPr>
          <w:rtl/>
        </w:rPr>
        <w:t xml:space="preserve"> מס. 1754 מ</w:t>
      </w:r>
      <w:r>
        <w:rPr>
          <w:rFonts w:hint="cs"/>
          <w:rtl/>
        </w:rPr>
        <w:t>י</w:t>
      </w:r>
      <w:r w:rsidRPr="00F45B87">
        <w:rPr>
          <w:rtl/>
        </w:rPr>
        <w:t>ום 31.7.2016</w:t>
      </w:r>
      <w:r>
        <w:rPr>
          <w:rFonts w:hint="cs"/>
          <w:rtl/>
        </w:rPr>
        <w:t xml:space="preserve">, שעניינה </w:t>
      </w:r>
      <w:r w:rsidRPr="00F45B87">
        <w:rPr>
          <w:rtl/>
        </w:rPr>
        <w:t>העברת תחום התעסוקה ממשרד הכלכלה והתעשייה למשרד הרווחה והשירותים החברתיים ושינוי שם משרד</w:t>
      </w:r>
      <w:r>
        <w:rPr>
          <w:rFonts w:hint="cs"/>
          <w:rtl/>
        </w:rPr>
        <w:t xml:space="preserve">. </w:t>
      </w:r>
    </w:p>
    <w:p w:rsidR="00CF0702" w:rsidRPr="004900A8" w:rsidRDefault="00CF0702" w:rsidP="00A9230E">
      <w:pPr>
        <w:pStyle w:val="HesberWriters"/>
        <w:spacing w:after="120"/>
        <w:jc w:val="left"/>
        <w:rPr>
          <w:rtl/>
        </w:rPr>
      </w:pPr>
    </w:p>
    <w:p w:rsidR="00CF0702" w:rsidRDefault="00CF0702"/>
    <w:p w:rsidR="00544F41" w:rsidRDefault="00544F41"/>
    <w:sectPr w:rsidR="00544F41" w:rsidSect="00415B40">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0" w:footer="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53B" w:rsidRDefault="00D0353B">
      <w:pPr>
        <w:spacing w:line="240" w:lineRule="auto"/>
      </w:pPr>
      <w:r>
        <w:separator/>
      </w:r>
    </w:p>
  </w:endnote>
  <w:endnote w:type="continuationSeparator" w:id="0">
    <w:p w:rsidR="00D0353B" w:rsidRDefault="00D035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B94" w:rsidRDefault="00B60B9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378CF" w:rsidRPr="001378CF" w:rsidRDefault="001378CF" w:rsidP="001378CF">
    <w:pPr>
      <w:pStyle w:val="a5"/>
      <w:rPr>
        <w:rtl/>
        <w:cs/>
      </w:rPr>
    </w:pPr>
  </w:p>
  <w:p w:rsidR="00415B40" w:rsidRDefault="00D0353B" w:rsidP="00415B40">
    <w:pPr>
      <w:pStyle w:val="a5"/>
      <w:ind w:hanging="1759"/>
      <w:rPr>
        <w:rtl/>
      </w:rPr>
    </w:pPr>
  </w:p>
  <w:p w:rsidR="00096F63" w:rsidRDefault="00096F63" w:rsidP="00415B40">
    <w:pPr>
      <w:pStyle w:val="a5"/>
      <w:ind w:hanging="175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B94" w:rsidRDefault="00B60B9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53B" w:rsidRDefault="00D0353B">
      <w:pPr>
        <w:spacing w:line="240" w:lineRule="auto"/>
      </w:pPr>
      <w:r>
        <w:separator/>
      </w:r>
    </w:p>
  </w:footnote>
  <w:footnote w:type="continuationSeparator" w:id="0">
    <w:p w:rsidR="00D0353B" w:rsidRDefault="00D0353B">
      <w:pPr>
        <w:spacing w:line="240" w:lineRule="auto"/>
      </w:pPr>
      <w:r>
        <w:continuationSeparator/>
      </w:r>
    </w:p>
  </w:footnote>
  <w:footnote w:id="1">
    <w:p w:rsidR="00543EB9" w:rsidRDefault="00543EB9">
      <w:pPr>
        <w:pStyle w:val="ab"/>
        <w:rPr>
          <w:rtl/>
        </w:rPr>
      </w:pPr>
      <w:r>
        <w:rPr>
          <w:rStyle w:val="ad"/>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התשע"ז</w:t>
      </w:r>
      <w:proofErr w:type="spellEnd"/>
      <w:r>
        <w:rPr>
          <w:rFonts w:hint="cs"/>
          <w:rtl/>
        </w:rPr>
        <w:t>, עמ' 1312.</w:t>
      </w:r>
    </w:p>
  </w:footnote>
  <w:footnote w:id="2">
    <w:p w:rsidR="00734630" w:rsidRDefault="00734630">
      <w:pPr>
        <w:pStyle w:val="ab"/>
        <w:rPr>
          <w:rtl/>
        </w:rPr>
      </w:pPr>
      <w:r>
        <w:rPr>
          <w:rStyle w:val="ad"/>
        </w:rPr>
        <w:footnoteRef/>
      </w:r>
      <w:r>
        <w:rPr>
          <w:rtl/>
        </w:rPr>
        <w:t xml:space="preserve"> </w:t>
      </w:r>
      <w:r>
        <w:rPr>
          <w:rFonts w:hint="cs"/>
          <w:rtl/>
        </w:rPr>
        <w:t xml:space="preserve">ס"ח </w:t>
      </w:r>
      <w:proofErr w:type="spellStart"/>
      <w:r>
        <w:rPr>
          <w:rFonts w:hint="cs"/>
          <w:rtl/>
        </w:rPr>
        <w:t>התשע"ב</w:t>
      </w:r>
      <w:proofErr w:type="spellEnd"/>
      <w:r>
        <w:rPr>
          <w:rFonts w:hint="cs"/>
          <w:rtl/>
        </w:rPr>
        <w:t>, עמ' 62</w:t>
      </w:r>
      <w:r w:rsidR="00F35078">
        <w:rPr>
          <w:rFonts w:hint="cs"/>
          <w:rtl/>
        </w:rPr>
        <w:t>;</w:t>
      </w:r>
    </w:p>
  </w:footnote>
  <w:footnote w:id="3">
    <w:p w:rsidR="00734630" w:rsidRDefault="00734630">
      <w:pPr>
        <w:pStyle w:val="ab"/>
        <w:rPr>
          <w:rtl/>
        </w:rPr>
      </w:pPr>
      <w:r>
        <w:rPr>
          <w:rStyle w:val="ad"/>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התשע"ב</w:t>
      </w:r>
      <w:proofErr w:type="spellEnd"/>
      <w:r>
        <w:rPr>
          <w:rFonts w:hint="cs"/>
          <w:rtl/>
        </w:rPr>
        <w:t xml:space="preserve">, עמד1669, </w:t>
      </w:r>
      <w:proofErr w:type="spellStart"/>
      <w:r>
        <w:rPr>
          <w:rFonts w:hint="cs"/>
          <w:rtl/>
        </w:rPr>
        <w:t>התשע"ו</w:t>
      </w:r>
      <w:proofErr w:type="spellEnd"/>
      <w:r>
        <w:rPr>
          <w:rFonts w:hint="cs"/>
          <w:rtl/>
        </w:rPr>
        <w:t>, עמ' 1707</w:t>
      </w:r>
      <w:r w:rsidR="00F35078">
        <w:rPr>
          <w:rFonts w:hint="cs"/>
          <w:rtl/>
        </w:rPr>
        <w:t>.</w:t>
      </w:r>
    </w:p>
  </w:footnote>
  <w:footnote w:id="4">
    <w:p w:rsidR="00330F22" w:rsidRDefault="00330F22">
      <w:pPr>
        <w:pStyle w:val="ab"/>
      </w:pPr>
      <w:r>
        <w:rPr>
          <w:rStyle w:val="ad"/>
        </w:rPr>
        <w:footnoteRef/>
      </w:r>
      <w:r>
        <w:rPr>
          <w:rtl/>
        </w:rPr>
        <w:t xml:space="preserve"> </w:t>
      </w:r>
      <w:r>
        <w:rPr>
          <w:rFonts w:hint="cs"/>
          <w:rtl/>
        </w:rPr>
        <w:t xml:space="preserve">ס"ח </w:t>
      </w:r>
      <w:proofErr w:type="spellStart"/>
      <w:r>
        <w:rPr>
          <w:rFonts w:hint="cs"/>
          <w:rtl/>
        </w:rPr>
        <w:t>התשי"ד</w:t>
      </w:r>
      <w:proofErr w:type="spellEnd"/>
      <w:r>
        <w:rPr>
          <w:rFonts w:hint="cs"/>
          <w:rtl/>
        </w:rPr>
        <w:t>, עמ' 202.</w:t>
      </w:r>
    </w:p>
  </w:footnote>
  <w:footnote w:id="5">
    <w:p w:rsidR="009F20F3" w:rsidRDefault="009F20F3">
      <w:pPr>
        <w:pStyle w:val="ab"/>
      </w:pPr>
      <w:r>
        <w:rPr>
          <w:rStyle w:val="ad"/>
        </w:rPr>
        <w:footnoteRef/>
      </w:r>
      <w:r>
        <w:rPr>
          <w:rtl/>
        </w:rPr>
        <w:t xml:space="preserve"> </w:t>
      </w:r>
      <w:r>
        <w:rPr>
          <w:rFonts w:hint="cs"/>
          <w:rtl/>
        </w:rPr>
        <w:t>דיני מדינת ישראל, נוסח חדש 16, עמ' 337.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B94" w:rsidRDefault="00B60B9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B40" w:rsidRDefault="00D0353B" w:rsidP="009F340A">
    <w:pPr>
      <w:pStyle w:val="a3"/>
      <w:tabs>
        <w:tab w:val="clear" w:pos="8306"/>
      </w:tabs>
      <w:ind w:left="-58" w:right="-1800" w:hanging="170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0B94" w:rsidRDefault="00B60B9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AAB708A"/>
    <w:multiLevelType w:val="hybridMultilevel"/>
    <w:tmpl w:val="5A3ADF7E"/>
    <w:lvl w:ilvl="0" w:tplc="6482310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1043D73"/>
    <w:multiLevelType w:val="hybridMultilevel"/>
    <w:tmpl w:val="26804756"/>
    <w:lvl w:ilvl="0" w:tplc="1758C8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B6674E"/>
    <w:multiLevelType w:val="hybridMultilevel"/>
    <w:tmpl w:val="EA8A6F94"/>
    <w:lvl w:ilvl="0" w:tplc="AFA4A3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94786E"/>
    <w:multiLevelType w:val="hybridMultilevel"/>
    <w:tmpl w:val="CDDABE84"/>
    <w:lvl w:ilvl="0" w:tplc="E26E28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E35D98"/>
    <w:multiLevelType w:val="hybridMultilevel"/>
    <w:tmpl w:val="AE0CA5AA"/>
    <w:lvl w:ilvl="0" w:tplc="18689B2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3D788A"/>
    <w:multiLevelType w:val="hybridMultilevel"/>
    <w:tmpl w:val="120E1FBE"/>
    <w:lvl w:ilvl="0" w:tplc="AD32D7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EF3A19"/>
    <w:multiLevelType w:val="hybridMultilevel"/>
    <w:tmpl w:val="3EB038A6"/>
    <w:lvl w:ilvl="0" w:tplc="0CFC7EA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0"/>
  </w:num>
  <w:num w:numId="3">
    <w:abstractNumId w:val="2"/>
  </w:num>
  <w:num w:numId="4">
    <w:abstractNumId w:val="10"/>
  </w:num>
  <w:num w:numId="5">
    <w:abstractNumId w:val="1"/>
  </w:num>
  <w:num w:numId="6">
    <w:abstractNumId w:val="3"/>
  </w:num>
  <w:num w:numId="7">
    <w:abstractNumId w:val="5"/>
  </w:num>
  <w:num w:numId="8">
    <w:abstractNumId w:val="7"/>
  </w:num>
  <w:num w:numId="9">
    <w:abstractNumId w:val="6"/>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702"/>
    <w:rsid w:val="0000182B"/>
    <w:rsid w:val="00013018"/>
    <w:rsid w:val="00033FCB"/>
    <w:rsid w:val="000361AB"/>
    <w:rsid w:val="00057714"/>
    <w:rsid w:val="00094E92"/>
    <w:rsid w:val="00096F63"/>
    <w:rsid w:val="000B7878"/>
    <w:rsid w:val="00100C55"/>
    <w:rsid w:val="0010558F"/>
    <w:rsid w:val="001378CF"/>
    <w:rsid w:val="001D76C8"/>
    <w:rsid w:val="001E070C"/>
    <w:rsid w:val="002136B7"/>
    <w:rsid w:val="00286CEB"/>
    <w:rsid w:val="002A6AF3"/>
    <w:rsid w:val="00330F22"/>
    <w:rsid w:val="00353000"/>
    <w:rsid w:val="0035701A"/>
    <w:rsid w:val="0038626C"/>
    <w:rsid w:val="00392FB4"/>
    <w:rsid w:val="003A49E2"/>
    <w:rsid w:val="0041304E"/>
    <w:rsid w:val="00421F4D"/>
    <w:rsid w:val="004244E4"/>
    <w:rsid w:val="004C01A1"/>
    <w:rsid w:val="005253C3"/>
    <w:rsid w:val="00543EB9"/>
    <w:rsid w:val="00544F41"/>
    <w:rsid w:val="00610B44"/>
    <w:rsid w:val="0062146F"/>
    <w:rsid w:val="00637125"/>
    <w:rsid w:val="006755BA"/>
    <w:rsid w:val="006E67E4"/>
    <w:rsid w:val="007126DB"/>
    <w:rsid w:val="00734630"/>
    <w:rsid w:val="008C56FC"/>
    <w:rsid w:val="00923FD7"/>
    <w:rsid w:val="00941DBF"/>
    <w:rsid w:val="0096239A"/>
    <w:rsid w:val="009F20F3"/>
    <w:rsid w:val="009F340A"/>
    <w:rsid w:val="00A224D8"/>
    <w:rsid w:val="00A47BC0"/>
    <w:rsid w:val="00A74C70"/>
    <w:rsid w:val="00A9230E"/>
    <w:rsid w:val="00B60B94"/>
    <w:rsid w:val="00BD2501"/>
    <w:rsid w:val="00BE795F"/>
    <w:rsid w:val="00C04335"/>
    <w:rsid w:val="00C075EC"/>
    <w:rsid w:val="00C32870"/>
    <w:rsid w:val="00C559DC"/>
    <w:rsid w:val="00CC07B1"/>
    <w:rsid w:val="00CD4994"/>
    <w:rsid w:val="00CF0702"/>
    <w:rsid w:val="00CF4ACD"/>
    <w:rsid w:val="00D0353B"/>
    <w:rsid w:val="00E14632"/>
    <w:rsid w:val="00E33A97"/>
    <w:rsid w:val="00E91CBD"/>
    <w:rsid w:val="00E93841"/>
    <w:rsid w:val="00E95350"/>
    <w:rsid w:val="00EC0D8D"/>
    <w:rsid w:val="00ED58D7"/>
    <w:rsid w:val="00F35078"/>
    <w:rsid w:val="00F367F5"/>
    <w:rsid w:val="00F40A97"/>
    <w:rsid w:val="00FD0BC6"/>
    <w:rsid w:val="00FF74F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91A1924-21BD-448C-B47F-2348EDA70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0702"/>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F0702"/>
    <w:pPr>
      <w:tabs>
        <w:tab w:val="center" w:pos="4153"/>
        <w:tab w:val="right" w:pos="8306"/>
      </w:tabs>
    </w:pPr>
  </w:style>
  <w:style w:type="character" w:customStyle="1" w:styleId="a4">
    <w:name w:val="כותרת עליונה תו"/>
    <w:basedOn w:val="a0"/>
    <w:link w:val="a3"/>
    <w:rsid w:val="00A224D8"/>
    <w:rPr>
      <w:rFonts w:ascii="Hadasa Roso SL" w:eastAsia="MS Mincho" w:hAnsi="Hadasa Roso SL" w:cs="Hadasa Roso SL"/>
      <w:color w:val="000000"/>
      <w:spacing w:val="1"/>
      <w:sz w:val="17"/>
      <w:szCs w:val="17"/>
      <w:lang w:eastAsia="ja-JP"/>
    </w:rPr>
  </w:style>
  <w:style w:type="paragraph" w:styleId="a5">
    <w:name w:val="footer"/>
    <w:basedOn w:val="a"/>
    <w:link w:val="a6"/>
    <w:rsid w:val="00CF0702"/>
    <w:pPr>
      <w:tabs>
        <w:tab w:val="center" w:pos="4153"/>
        <w:tab w:val="right" w:pos="8306"/>
      </w:tabs>
    </w:pPr>
  </w:style>
  <w:style w:type="character" w:customStyle="1" w:styleId="a6">
    <w:name w:val="כותרת תחתונה תו"/>
    <w:basedOn w:val="a0"/>
    <w:link w:val="a5"/>
    <w:rsid w:val="00A224D8"/>
    <w:rPr>
      <w:rFonts w:ascii="Hadasa Roso SL" w:eastAsia="MS Mincho" w:hAnsi="Hadasa Roso SL" w:cs="Hadasa Roso SL"/>
      <w:color w:val="000000"/>
      <w:spacing w:val="1"/>
      <w:sz w:val="17"/>
      <w:szCs w:val="17"/>
      <w:lang w:eastAsia="ja-JP"/>
    </w:rPr>
  </w:style>
  <w:style w:type="paragraph" w:styleId="a7">
    <w:name w:val="Balloon Text"/>
    <w:basedOn w:val="a"/>
    <w:link w:val="a8"/>
    <w:uiPriority w:val="99"/>
    <w:semiHidden/>
    <w:unhideWhenUsed/>
    <w:rsid w:val="00A224D8"/>
    <w:pPr>
      <w:spacing w:line="240" w:lineRule="auto"/>
    </w:pPr>
    <w:rPr>
      <w:rFonts w:ascii="Tahoma" w:hAnsi="Tahoma" w:cs="Tahoma"/>
      <w:sz w:val="16"/>
      <w:szCs w:val="16"/>
    </w:rPr>
  </w:style>
  <w:style w:type="character" w:customStyle="1" w:styleId="a8">
    <w:name w:val="טקסט בלונים תו"/>
    <w:basedOn w:val="a0"/>
    <w:link w:val="a7"/>
    <w:uiPriority w:val="99"/>
    <w:semiHidden/>
    <w:rsid w:val="00A224D8"/>
    <w:rPr>
      <w:rFonts w:ascii="Tahoma" w:eastAsia="Times New Roman" w:hAnsi="Tahoma" w:cs="Tahoma"/>
      <w:sz w:val="16"/>
      <w:szCs w:val="16"/>
    </w:rPr>
  </w:style>
  <w:style w:type="character" w:styleId="Hyperlink">
    <w:name w:val="Hyperlink"/>
    <w:basedOn w:val="a0"/>
    <w:uiPriority w:val="99"/>
    <w:unhideWhenUsed/>
    <w:rsid w:val="001378CF"/>
    <w:rPr>
      <w:color w:val="0000FF" w:themeColor="hyperlink"/>
      <w:u w:val="single"/>
    </w:rPr>
  </w:style>
  <w:style w:type="paragraph" w:customStyle="1" w:styleId="TableText">
    <w:name w:val="Table Text"/>
    <w:basedOn w:val="a"/>
    <w:rsid w:val="00CF070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CF0702"/>
  </w:style>
  <w:style w:type="paragraph" w:customStyle="1" w:styleId="TableBlock">
    <w:name w:val="Table Block"/>
    <w:basedOn w:val="TableText"/>
    <w:rsid w:val="00CF0702"/>
    <w:pPr>
      <w:ind w:right="0"/>
      <w:jc w:val="both"/>
    </w:pPr>
  </w:style>
  <w:style w:type="paragraph" w:customStyle="1" w:styleId="TableHead">
    <w:name w:val="Table Head"/>
    <w:basedOn w:val="TableText"/>
    <w:rsid w:val="00CF0702"/>
    <w:pPr>
      <w:ind w:right="0"/>
      <w:jc w:val="center"/>
    </w:pPr>
    <w:rPr>
      <w:b/>
      <w:bCs/>
    </w:rPr>
  </w:style>
  <w:style w:type="paragraph" w:customStyle="1" w:styleId="HeadMitparsemetBaze">
    <w:name w:val="Head MitparsemetBaze"/>
    <w:basedOn w:val="a"/>
    <w:rsid w:val="00CF070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CF070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CF0702"/>
    <w:pPr>
      <w:spacing w:before="120" w:after="6000"/>
      <w:ind w:left="1418" w:firstLine="0"/>
      <w:jc w:val="right"/>
    </w:pPr>
    <w:rPr>
      <w:b/>
      <w:bCs/>
    </w:rPr>
  </w:style>
  <w:style w:type="paragraph" w:customStyle="1" w:styleId="Hesber1st">
    <w:name w:val="Hesber 1st"/>
    <w:basedOn w:val="Hesber"/>
    <w:rsid w:val="00CF0702"/>
    <w:pPr>
      <w:tabs>
        <w:tab w:val="left" w:pos="680"/>
        <w:tab w:val="left" w:pos="1020"/>
      </w:tabs>
      <w:ind w:firstLine="0"/>
    </w:pPr>
  </w:style>
  <w:style w:type="paragraph" w:customStyle="1" w:styleId="HeadDivreiHesber">
    <w:name w:val="Head DivreiHesber"/>
    <w:basedOn w:val="a"/>
    <w:rsid w:val="00CF070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CF0702"/>
    <w:pPr>
      <w:spacing w:before="120" w:after="120"/>
    </w:pPr>
    <w:rPr>
      <w:color w:val="FF0000"/>
      <w:w w:val="80"/>
    </w:rPr>
  </w:style>
  <w:style w:type="paragraph" w:styleId="a9">
    <w:name w:val="endnote text"/>
    <w:basedOn w:val="a"/>
    <w:link w:val="aa"/>
    <w:semiHidden/>
    <w:rsid w:val="00CF0702"/>
    <w:pPr>
      <w:ind w:left="227" w:hanging="227"/>
    </w:pPr>
    <w:rPr>
      <w:sz w:val="14"/>
      <w:szCs w:val="22"/>
    </w:rPr>
  </w:style>
  <w:style w:type="character" w:customStyle="1" w:styleId="aa">
    <w:name w:val="טקסט הערת סיום תו"/>
    <w:basedOn w:val="a0"/>
    <w:link w:val="a9"/>
    <w:semiHidden/>
    <w:rsid w:val="00CF0702"/>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CF0702"/>
  </w:style>
  <w:style w:type="paragraph" w:customStyle="1" w:styleId="Hesber">
    <w:name w:val="Hesber"/>
    <w:basedOn w:val="a"/>
    <w:rsid w:val="00CF0702"/>
    <w:pPr>
      <w:snapToGrid w:val="0"/>
      <w:spacing w:before="0" w:line="360" w:lineRule="auto"/>
    </w:pPr>
    <w:rPr>
      <w:rFonts w:ascii="Arial" w:eastAsia="Arial Unicode MS" w:hAnsi="Arial" w:cs="David"/>
      <w:snapToGrid w:val="0"/>
      <w:spacing w:val="0"/>
      <w:sz w:val="20"/>
      <w:szCs w:val="26"/>
    </w:rPr>
  </w:style>
  <w:style w:type="paragraph" w:styleId="ab">
    <w:name w:val="footnote text"/>
    <w:basedOn w:val="a"/>
    <w:link w:val="ac"/>
    <w:autoRedefine/>
    <w:semiHidden/>
    <w:rsid w:val="00CF070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c">
    <w:name w:val="טקסט הערת שוליים תו"/>
    <w:basedOn w:val="a0"/>
    <w:link w:val="ab"/>
    <w:semiHidden/>
    <w:rsid w:val="00CF0702"/>
    <w:rPr>
      <w:rFonts w:ascii="Arial" w:eastAsia="Arial Unicode MS" w:hAnsi="Arial" w:cs="David"/>
      <w:snapToGrid w:val="0"/>
      <w:color w:val="000000"/>
      <w:sz w:val="14"/>
      <w:szCs w:val="20"/>
      <w:lang w:eastAsia="ja-JP"/>
    </w:rPr>
  </w:style>
  <w:style w:type="character" w:styleId="ad">
    <w:name w:val="footnote reference"/>
    <w:aliases w:val="Footnote Reference"/>
    <w:basedOn w:val="a0"/>
    <w:semiHidden/>
    <w:rsid w:val="00CF0702"/>
    <w:rPr>
      <w:vertAlign w:val="superscript"/>
    </w:rPr>
  </w:style>
  <w:style w:type="paragraph" w:customStyle="1" w:styleId="HesberHeading">
    <w:name w:val="Hesber Heading"/>
    <w:basedOn w:val="Hesber"/>
    <w:rsid w:val="00CF0702"/>
    <w:pPr>
      <w:tabs>
        <w:tab w:val="left" w:pos="624"/>
        <w:tab w:val="left" w:pos="1247"/>
      </w:tabs>
      <w:ind w:firstLine="0"/>
    </w:pPr>
    <w:rPr>
      <w:b/>
      <w:bCs/>
    </w:rPr>
  </w:style>
  <w:style w:type="character" w:styleId="ae">
    <w:name w:val="endnote reference"/>
    <w:basedOn w:val="a0"/>
    <w:semiHidden/>
    <w:rsid w:val="00CF0702"/>
    <w:rPr>
      <w:vertAlign w:val="superscript"/>
    </w:rPr>
  </w:style>
  <w:style w:type="paragraph" w:customStyle="1" w:styleId="TableBlockOutdent">
    <w:name w:val="Table BlockOutdent"/>
    <w:basedOn w:val="TableBlock"/>
    <w:rsid w:val="00CF0702"/>
    <w:pPr>
      <w:ind w:left="624" w:hanging="624"/>
    </w:pPr>
  </w:style>
  <w:style w:type="character" w:styleId="af">
    <w:name w:val="page number"/>
    <w:basedOn w:val="a0"/>
    <w:rsid w:val="00CF0702"/>
  </w:style>
  <w:style w:type="paragraph" w:customStyle="1" w:styleId="Cover1-Reshumot">
    <w:name w:val="Cover 1-Reshumot"/>
    <w:basedOn w:val="a"/>
    <w:rsid w:val="00CF070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CF0702"/>
    <w:rPr>
      <w:sz w:val="36"/>
      <w:szCs w:val="52"/>
    </w:rPr>
  </w:style>
  <w:style w:type="paragraph" w:customStyle="1" w:styleId="Cover3-Haknesset">
    <w:name w:val="Cover 3-Haknesset"/>
    <w:basedOn w:val="Cover1-Reshumot"/>
    <w:rsid w:val="00CF0702"/>
    <w:rPr>
      <w:b/>
      <w:bCs/>
      <w:spacing w:val="60"/>
    </w:rPr>
  </w:style>
  <w:style w:type="paragraph" w:customStyle="1" w:styleId="Cover4-Date">
    <w:name w:val="Cover 4-Date"/>
    <w:basedOn w:val="a"/>
    <w:rsid w:val="00CF070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CF0702"/>
    <w:pPr>
      <w:snapToGrid w:val="0"/>
      <w:spacing w:before="0" w:line="360" w:lineRule="auto"/>
      <w:jc w:val="left"/>
    </w:pPr>
    <w:rPr>
      <w:rFonts w:ascii="Arial" w:eastAsia="Arial Unicode MS" w:hAnsi="Arial" w:cs="David"/>
      <w:snapToGrid w:val="0"/>
      <w:spacing w:val="0"/>
      <w:sz w:val="20"/>
      <w:szCs w:val="26"/>
    </w:rPr>
  </w:style>
  <w:style w:type="character" w:customStyle="1" w:styleId="default">
    <w:name w:val="default"/>
    <w:basedOn w:val="a0"/>
    <w:rsid w:val="00CF0702"/>
  </w:style>
  <w:style w:type="character" w:styleId="af0">
    <w:name w:val="annotation reference"/>
    <w:basedOn w:val="a0"/>
    <w:uiPriority w:val="99"/>
    <w:semiHidden/>
    <w:unhideWhenUsed/>
    <w:rsid w:val="00A74C70"/>
    <w:rPr>
      <w:sz w:val="16"/>
      <w:szCs w:val="16"/>
    </w:rPr>
  </w:style>
  <w:style w:type="paragraph" w:styleId="af1">
    <w:name w:val="annotation text"/>
    <w:basedOn w:val="a"/>
    <w:link w:val="af2"/>
    <w:uiPriority w:val="99"/>
    <w:semiHidden/>
    <w:unhideWhenUsed/>
    <w:rsid w:val="00A74C70"/>
    <w:pPr>
      <w:spacing w:line="240" w:lineRule="auto"/>
    </w:pPr>
    <w:rPr>
      <w:sz w:val="20"/>
      <w:szCs w:val="20"/>
    </w:rPr>
  </w:style>
  <w:style w:type="character" w:customStyle="1" w:styleId="af2">
    <w:name w:val="טקסט הערה תו"/>
    <w:basedOn w:val="a0"/>
    <w:link w:val="af1"/>
    <w:uiPriority w:val="99"/>
    <w:semiHidden/>
    <w:rsid w:val="00A74C70"/>
    <w:rPr>
      <w:rFonts w:ascii="Hadasa Roso SL" w:eastAsia="MS Mincho" w:hAnsi="Hadasa Roso SL" w:cs="Hadasa Roso SL"/>
      <w:color w:val="000000"/>
      <w:spacing w:val="1"/>
      <w:sz w:val="20"/>
      <w:szCs w:val="20"/>
      <w:lang w:eastAsia="ja-JP"/>
    </w:rPr>
  </w:style>
  <w:style w:type="paragraph" w:styleId="af3">
    <w:name w:val="annotation subject"/>
    <w:basedOn w:val="af1"/>
    <w:next w:val="af1"/>
    <w:link w:val="af4"/>
    <w:uiPriority w:val="99"/>
    <w:semiHidden/>
    <w:unhideWhenUsed/>
    <w:rsid w:val="00A74C70"/>
    <w:rPr>
      <w:b/>
      <w:bCs/>
    </w:rPr>
  </w:style>
  <w:style w:type="character" w:customStyle="1" w:styleId="af4">
    <w:name w:val="נושא הערה תו"/>
    <w:basedOn w:val="af2"/>
    <w:link w:val="af3"/>
    <w:uiPriority w:val="99"/>
    <w:semiHidden/>
    <w:rsid w:val="00A74C70"/>
    <w:rPr>
      <w:rFonts w:ascii="Hadasa Roso SL" w:eastAsia="MS Mincho" w:hAnsi="Hadasa Roso SL" w:cs="Hadasa Roso SL"/>
      <w:b/>
      <w:bCs/>
      <w:color w:val="000000"/>
      <w:spacing w:val="1"/>
      <w:sz w:val="20"/>
      <w:szCs w:val="20"/>
      <w:lang w:eastAsia="ja-JP"/>
    </w:rPr>
  </w:style>
  <w:style w:type="paragraph" w:styleId="af5">
    <w:name w:val="Revision"/>
    <w:hidden/>
    <w:uiPriority w:val="99"/>
    <w:semiHidden/>
    <w:rsid w:val="00543EB9"/>
    <w:pPr>
      <w:spacing w:after="0" w:line="240" w:lineRule="auto"/>
    </w:pPr>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228930">
      <w:bodyDiv w:val="1"/>
      <w:marLeft w:val="0"/>
      <w:marRight w:val="0"/>
      <w:marTop w:val="0"/>
      <w:marBottom w:val="0"/>
      <w:divBdr>
        <w:top w:val="none" w:sz="0" w:space="0" w:color="auto"/>
        <w:left w:val="none" w:sz="0" w:space="0" w:color="auto"/>
        <w:bottom w:val="none" w:sz="0" w:space="0" w:color="auto"/>
        <w:right w:val="none" w:sz="0" w:space="0" w:color="auto"/>
      </w:divBdr>
    </w:div>
    <w:div w:id="165514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5D5124-FDE1-48A3-95A3-6C585904B42B}">
  <ds:schemaRefs>
    <ds:schemaRef ds:uri="http://schemas.openxmlformats.org/officeDocument/2006/bibliography"/>
  </ds:schemaRefs>
</ds:datastoreItem>
</file>

<file path=customXml/itemProps2.xml><?xml version="1.0" encoding="utf-8"?>
<ds:datastoreItem xmlns:ds="http://schemas.openxmlformats.org/officeDocument/2006/customXml" ds:itemID="{28415B1B-AE5E-4D17-B99A-4126B93E9C7F}"/>
</file>

<file path=customXml/itemProps3.xml><?xml version="1.0" encoding="utf-8"?>
<ds:datastoreItem xmlns:ds="http://schemas.openxmlformats.org/officeDocument/2006/customXml" ds:itemID="{1EA681A6-2FFA-41B2-86A1-ABD7EBEA475E}"/>
</file>

<file path=customXml/itemProps4.xml><?xml version="1.0" encoding="utf-8"?>
<ds:datastoreItem xmlns:ds="http://schemas.openxmlformats.org/officeDocument/2006/customXml" ds:itemID="{52111D01-8AEF-4470-A892-8C2532133C54}"/>
</file>

<file path=docProps/app.xml><?xml version="1.0" encoding="utf-8"?>
<Properties xmlns="http://schemas.openxmlformats.org/officeDocument/2006/extended-properties" xmlns:vt="http://schemas.openxmlformats.org/officeDocument/2006/docPropsVTypes">
  <Template>Normal</Template>
  <TotalTime>0</TotalTime>
  <Pages>3</Pages>
  <Words>484</Words>
  <Characters>2423</Characters>
  <Application>Microsoft Office Word</Application>
  <DocSecurity>0</DocSecurity>
  <Lines>20</Lines>
  <Paragraphs>5</Paragraphs>
  <ScaleCrop>false</ScaleCrop>
  <HeadingPairs>
    <vt:vector size="2" baseType="variant">
      <vt:variant>
        <vt:lpstr>שם</vt:lpstr>
      </vt:variant>
      <vt:variant>
        <vt:i4>1</vt:i4>
      </vt:variant>
    </vt:vector>
  </HeadingPairs>
  <TitlesOfParts>
    <vt:vector size="1" baseType="lpstr">
      <vt:lpstr/>
    </vt:vector>
  </TitlesOfParts>
  <Company>Ministry Of Economy</Company>
  <LinksUpToDate>false</LinksUpToDate>
  <CharactersWithSpaces>2902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Ministry Of Economy</dc:creator>
  <cp:lastModifiedBy>נועה אומזגין</cp:lastModifiedBy>
  <cp:revision>2</cp:revision>
  <cp:lastPrinted>2013-05-02T05:22:00Z</cp:lastPrinted>
  <dcterms:created xsi:type="dcterms:W3CDTF">2017-12-27T13:04:00Z</dcterms:created>
  <dcterms:modified xsi:type="dcterms:W3CDTF">2017-12-27T13:04:00Z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2025644</vt:r8>
  </property>
</Properties>
</file>