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F57CC3" w14:textId="77777777" w:rsidR="00F053B3" w:rsidRPr="0000131B" w:rsidRDefault="00F053B3" w:rsidP="00F053B3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2014584</w:t>
      </w:r>
      <w:bookmarkEnd w:id="1"/>
    </w:p>
    <w:p w14:paraId="7DC0487D" w14:textId="77777777" w:rsidR="00F053B3" w:rsidRPr="00DB7060" w:rsidRDefault="00F053B3" w:rsidP="00F053B3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54A9CE55" w14:textId="77777777" w:rsidR="00F053B3" w:rsidRPr="00F67051" w:rsidRDefault="00F053B3" w:rsidP="00F053B3">
      <w:pPr>
        <w:rPr>
          <w:rFonts w:cs="David"/>
          <w:b/>
          <w:bCs/>
          <w:sz w:val="26"/>
          <w:szCs w:val="26"/>
          <w:rtl/>
        </w:rPr>
      </w:pPr>
    </w:p>
    <w:p w14:paraId="115D7483" w14:textId="77777777" w:rsidR="00F053B3" w:rsidRDefault="00F053B3" w:rsidP="00F053B3">
      <w:pPr>
        <w:pStyle w:val="David"/>
        <w:spacing w:line="360" w:lineRule="auto"/>
        <w:ind w:left="3544"/>
        <w:rPr>
          <w:b/>
          <w:bCs/>
          <w:rtl/>
        </w:rPr>
      </w:pPr>
      <w:bookmarkStart w:id="3" w:name="LGS_Initiators_List"/>
      <w:r>
        <w:rPr>
          <w:b/>
          <w:bCs/>
          <w:rtl/>
        </w:rPr>
        <w:t>יוזמת:</w:t>
      </w:r>
      <w:r>
        <w:tab/>
      </w:r>
      <w:r>
        <w:rPr>
          <w:b/>
          <w:bCs/>
          <w:rtl/>
        </w:rPr>
        <w:t xml:space="preserve">      חברת הכנסת</w:t>
      </w:r>
      <w:bookmarkEnd w:id="3"/>
      <w:r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שרן השכל</w:t>
      </w:r>
      <w:bookmarkEnd w:id="4"/>
    </w:p>
    <w:p w14:paraId="494B9311" w14:textId="77777777" w:rsidR="00F053B3" w:rsidRPr="00CF1AA2" w:rsidRDefault="00F053B3" w:rsidP="00F053B3">
      <w:pPr>
        <w:pStyle w:val="David"/>
        <w:spacing w:before="0" w:line="360" w:lineRule="auto"/>
        <w:ind w:left="3544"/>
        <w:rPr>
          <w:b/>
          <w:bCs/>
          <w:sz w:val="16"/>
          <w:szCs w:val="16"/>
          <w:rtl/>
        </w:rPr>
      </w:pPr>
      <w:bookmarkStart w:id="5" w:name="LGS_Join_List"/>
      <w:r>
        <w:rPr>
          <w:rtl/>
        </w:rPr>
        <w:t xml:space="preserve"> </w:t>
      </w:r>
      <w:bookmarkEnd w:id="5"/>
      <w:r w:rsidRPr="00CF1AA2">
        <w:rPr>
          <w:rFonts w:hint="cs"/>
          <w:rtl/>
        </w:rPr>
        <w:tab/>
      </w:r>
      <w:bookmarkStart w:id="6" w:name="LGS_PM_NamesJoin"/>
      <w:r>
        <w:rPr>
          <w:rFonts w:hint="cs"/>
          <w:rtl/>
        </w:rPr>
        <w:t xml:space="preserve"> </w:t>
      </w:r>
      <w:bookmarkEnd w:id="6"/>
    </w:p>
    <w:p w14:paraId="7355C5F8" w14:textId="77777777" w:rsidR="00F053B3" w:rsidRPr="00904591" w:rsidRDefault="00F053B3" w:rsidP="00F053B3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______________________________________________</w:t>
      </w:r>
      <w:r w:rsidRPr="00E06736">
        <w:tab/>
      </w:r>
      <w:r w:rsidRPr="00E06736">
        <w:rPr>
          <w:rFonts w:hint="cs"/>
          <w:rtl/>
        </w:rPr>
        <w:tab/>
      </w:r>
      <w:r w:rsidRPr="00E06736">
        <w:rPr>
          <w:rFonts w:hint="cs"/>
          <w:rtl/>
        </w:rPr>
        <w:tab/>
      </w:r>
      <w:r w:rsidRPr="00E06736">
        <w:rPr>
          <w:rFonts w:hint="cs"/>
          <w:rtl/>
        </w:rPr>
        <w:tab/>
      </w:r>
      <w:r>
        <w:t xml:space="preserve">           </w:t>
      </w:r>
    </w:p>
    <w:p w14:paraId="3C98B048" w14:textId="77777777" w:rsidR="00F053B3" w:rsidRPr="00E06736" w:rsidRDefault="00F053B3" w:rsidP="00F053B3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 </w:t>
      </w:r>
      <w:bookmarkStart w:id="7" w:name="Private_Number"/>
      <w:r>
        <w:rPr>
          <w:rFonts w:hint="cs"/>
          <w:rtl/>
        </w:rPr>
        <w:t>פ/4143/20</w:t>
      </w:r>
      <w:bookmarkEnd w:id="7"/>
    </w:p>
    <w:p w14:paraId="48AF974B" w14:textId="77777777" w:rsidR="00F053B3" w:rsidRDefault="00F053B3" w:rsidP="00F053B3">
      <w:pPr>
        <w:spacing w:before="0" w:line="360" w:lineRule="auto"/>
        <w:ind w:left="2880" w:firstLine="720"/>
        <w:rPr>
          <w:rFonts w:cs="David"/>
          <w:sz w:val="26"/>
          <w:szCs w:val="26"/>
          <w:rtl/>
        </w:rPr>
      </w:pPr>
    </w:p>
    <w:p w14:paraId="134BE99F" w14:textId="256D97A3" w:rsidR="00F053B3" w:rsidRPr="00F67051" w:rsidRDefault="00F053B3" w:rsidP="0099668B">
      <w:pPr>
        <w:pStyle w:val="HeadHatzaotHok"/>
        <w:rPr>
          <w:rtl/>
        </w:rPr>
      </w:pPr>
      <w:bookmarkStart w:id="8" w:name="LGS_Subject"/>
      <w:r>
        <w:rPr>
          <w:rFonts w:hint="cs"/>
          <w:rtl/>
        </w:rPr>
        <w:t xml:space="preserve">הצעת חוק התקשורת (בזק ושידורים) (תיקון </w:t>
      </w:r>
      <w:r w:rsidR="0099668B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אסדרת</w:t>
      </w:r>
      <w:proofErr w:type="spellEnd"/>
      <w:r>
        <w:rPr>
          <w:rFonts w:hint="cs"/>
          <w:rtl/>
        </w:rPr>
        <w:t xml:space="preserve"> ערוצים ייעודים), </w:t>
      </w:r>
      <w:proofErr w:type="spellStart"/>
      <w:r>
        <w:rPr>
          <w:rFonts w:hint="cs"/>
          <w:rtl/>
        </w:rPr>
        <w:t>התשע"ז</w:t>
      </w:r>
      <w:proofErr w:type="spellEnd"/>
      <w:r w:rsidR="0099668B">
        <w:rPr>
          <w:rFonts w:hint="eastAsia"/>
          <w:rtl/>
        </w:rPr>
        <w:t>–</w:t>
      </w:r>
      <w:r>
        <w:rPr>
          <w:rFonts w:hint="cs"/>
          <w:rtl/>
        </w:rPr>
        <w:t>2017</w:t>
      </w:r>
      <w:bookmarkEnd w:id="8"/>
    </w:p>
    <w:p w14:paraId="624E3647" w14:textId="77777777" w:rsidR="00F053B3" w:rsidRDefault="00F053B3" w:rsidP="00F053B3">
      <w:pPr>
        <w:pStyle w:val="HeadDivreiHesber"/>
        <w:spacing w:before="0" w:after="0"/>
        <w:rPr>
          <w:rtl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519"/>
      </w:tblGrid>
      <w:tr w:rsidR="00B1444A" w14:paraId="7B6959DB" w14:textId="77777777" w:rsidTr="00B72CEA">
        <w:trPr>
          <w:cantSplit/>
        </w:trPr>
        <w:tc>
          <w:tcPr>
            <w:tcW w:w="1871" w:type="dxa"/>
          </w:tcPr>
          <w:p w14:paraId="19CF12C6" w14:textId="0CAD79F8" w:rsidR="00B1444A" w:rsidRPr="00B1444A" w:rsidRDefault="00B1444A" w:rsidP="00B1444A">
            <w:pPr>
              <w:pStyle w:val="TableSideHeading"/>
              <w:ind w:right="0"/>
            </w:pPr>
            <w:r w:rsidRPr="00B1444A">
              <w:rPr>
                <w:rFonts w:hint="cs"/>
                <w:rtl/>
              </w:rPr>
              <w:t>תיקון סעיף 6לד</w:t>
            </w:r>
          </w:p>
        </w:tc>
        <w:tc>
          <w:tcPr>
            <w:tcW w:w="624" w:type="dxa"/>
          </w:tcPr>
          <w:p w14:paraId="380FE92E" w14:textId="7B56E120" w:rsidR="00B1444A" w:rsidRPr="00B72CEA" w:rsidRDefault="00B1444A" w:rsidP="00B72CEA">
            <w:pPr>
              <w:pStyle w:val="TableText"/>
              <w:ind w:right="0"/>
              <w:jc w:val="both"/>
            </w:pPr>
            <w:r w:rsidRPr="00B72CEA">
              <w:rPr>
                <w:rFonts w:hint="cs"/>
                <w:rtl/>
              </w:rPr>
              <w:t>1.</w:t>
            </w:r>
          </w:p>
        </w:tc>
        <w:tc>
          <w:tcPr>
            <w:tcW w:w="7143" w:type="dxa"/>
            <w:gridSpan w:val="2"/>
          </w:tcPr>
          <w:p w14:paraId="55716CD7" w14:textId="62C6CD38" w:rsidR="00B1444A" w:rsidRPr="00B1444A" w:rsidRDefault="00B1444A" w:rsidP="00B72CEA">
            <w:pPr>
              <w:pStyle w:val="TableBlock"/>
            </w:pPr>
            <w:r w:rsidRPr="00B1444A">
              <w:rPr>
                <w:rFonts w:hint="cs"/>
                <w:rtl/>
              </w:rPr>
              <w:t xml:space="preserve">בחוק התקשורת (בזק ושידורים), </w:t>
            </w:r>
            <w:proofErr w:type="spellStart"/>
            <w:r w:rsidRPr="00B1444A">
              <w:rPr>
                <w:rFonts w:hint="cs"/>
                <w:rtl/>
              </w:rPr>
              <w:t>התשמ"ב</w:t>
            </w:r>
            <w:proofErr w:type="spellEnd"/>
            <w:r w:rsidRPr="00B1444A">
              <w:rPr>
                <w:rFonts w:hint="eastAsia"/>
                <w:rtl/>
              </w:rPr>
              <w:t>–</w:t>
            </w:r>
            <w:r w:rsidRPr="00B1444A">
              <w:rPr>
                <w:rFonts w:hint="cs"/>
                <w:rtl/>
              </w:rPr>
              <w:t>1982</w:t>
            </w:r>
            <w:r w:rsidRPr="00D64255">
              <w:rPr>
                <w:sz w:val="18"/>
                <w:szCs w:val="18"/>
                <w:rtl/>
              </w:rPr>
              <w:footnoteReference w:id="2"/>
            </w:r>
            <w:r w:rsidRPr="00B1444A">
              <w:rPr>
                <w:rFonts w:hint="cs"/>
                <w:rtl/>
              </w:rPr>
              <w:t xml:space="preserve"> (להלן </w:t>
            </w:r>
            <w:r w:rsidRPr="00B1444A">
              <w:rPr>
                <w:rFonts w:hint="eastAsia"/>
                <w:rtl/>
              </w:rPr>
              <w:t xml:space="preserve">– </w:t>
            </w:r>
            <w:r w:rsidRPr="00B1444A">
              <w:rPr>
                <w:rFonts w:hint="cs"/>
                <w:rtl/>
              </w:rPr>
              <w:t>החוק העיקרי)</w:t>
            </w:r>
            <w:r w:rsidR="00DF5494">
              <w:rPr>
                <w:rFonts w:hint="cs"/>
                <w:rtl/>
              </w:rPr>
              <w:t>,</w:t>
            </w:r>
            <w:r w:rsidRPr="00B1444A">
              <w:rPr>
                <w:rFonts w:hint="cs"/>
                <w:rtl/>
              </w:rPr>
              <w:t xml:space="preserve"> בסעיף 6לד </w:t>
            </w:r>
            <w:r w:rsidRPr="00B1444A">
              <w:rPr>
                <w:rFonts w:hint="eastAsia"/>
                <w:rtl/>
              </w:rPr>
              <w:t>–</w:t>
            </w:r>
          </w:p>
        </w:tc>
      </w:tr>
      <w:tr w:rsidR="00B72CEA" w14:paraId="7CCCD94B" w14:textId="77777777" w:rsidTr="00B72CEA">
        <w:trPr>
          <w:cantSplit/>
        </w:trPr>
        <w:tc>
          <w:tcPr>
            <w:tcW w:w="1871" w:type="dxa"/>
          </w:tcPr>
          <w:p w14:paraId="073B7BE6" w14:textId="77777777" w:rsidR="00B72CEA" w:rsidRDefault="00B72CEA">
            <w:pPr>
              <w:pStyle w:val="TableSideHeading"/>
            </w:pPr>
          </w:p>
        </w:tc>
        <w:tc>
          <w:tcPr>
            <w:tcW w:w="624" w:type="dxa"/>
          </w:tcPr>
          <w:p w14:paraId="100CD863" w14:textId="77777777" w:rsidR="00B72CEA" w:rsidRDefault="00B72CEA">
            <w:pPr>
              <w:pStyle w:val="TableText"/>
            </w:pPr>
          </w:p>
        </w:tc>
        <w:tc>
          <w:tcPr>
            <w:tcW w:w="7143" w:type="dxa"/>
            <w:gridSpan w:val="2"/>
          </w:tcPr>
          <w:p w14:paraId="46CE8B8F" w14:textId="748AEE19" w:rsidR="00B72CEA" w:rsidRPr="00B72CEA" w:rsidRDefault="00B72CEA" w:rsidP="00B72CEA">
            <w:pPr>
              <w:pStyle w:val="TableBlock"/>
              <w:rPr>
                <w:rtl/>
              </w:rPr>
            </w:pPr>
            <w:r w:rsidRPr="00B72CEA">
              <w:rPr>
                <w:rFonts w:hint="cs"/>
                <w:rtl/>
              </w:rPr>
              <w:t>(1)</w:t>
            </w:r>
            <w:r w:rsidRPr="00B72CEA">
              <w:rPr>
                <w:rtl/>
              </w:rPr>
              <w:tab/>
            </w:r>
            <w:r w:rsidRPr="00B72CEA">
              <w:rPr>
                <w:rFonts w:hint="eastAsia"/>
                <w:rtl/>
              </w:rPr>
              <w:t>סעיף</w:t>
            </w:r>
            <w:r w:rsidRPr="00B72CEA">
              <w:rPr>
                <w:rtl/>
              </w:rPr>
              <w:t xml:space="preserve"> קטן </w:t>
            </w:r>
            <w:r w:rsidRPr="00B72CEA">
              <w:rPr>
                <w:rFonts w:hint="cs"/>
                <w:rtl/>
              </w:rPr>
              <w:t xml:space="preserve">(א3) </w:t>
            </w:r>
            <w:r w:rsidRPr="00B72CEA">
              <w:rPr>
                <w:rFonts w:hint="eastAsia"/>
                <w:rtl/>
              </w:rPr>
              <w:t>–</w:t>
            </w:r>
            <w:r w:rsidRPr="00B72CEA">
              <w:rPr>
                <w:rtl/>
              </w:rPr>
              <w:t xml:space="preserve"> </w:t>
            </w:r>
            <w:r w:rsidRPr="00B72CEA">
              <w:rPr>
                <w:rFonts w:hint="eastAsia"/>
                <w:rtl/>
              </w:rPr>
              <w:t>בטל</w:t>
            </w:r>
            <w:r w:rsidRPr="00B72CEA">
              <w:rPr>
                <w:rFonts w:hint="cs"/>
                <w:rtl/>
              </w:rPr>
              <w:t>;</w:t>
            </w:r>
          </w:p>
        </w:tc>
      </w:tr>
      <w:tr w:rsidR="00B72CEA" w14:paraId="495BCC7E" w14:textId="77777777" w:rsidTr="00B72CEA">
        <w:trPr>
          <w:cantSplit/>
        </w:trPr>
        <w:tc>
          <w:tcPr>
            <w:tcW w:w="1871" w:type="dxa"/>
          </w:tcPr>
          <w:p w14:paraId="3C0CBBBE" w14:textId="77777777" w:rsidR="00B72CEA" w:rsidRDefault="00B72CEA">
            <w:pPr>
              <w:pStyle w:val="TableSideHeading"/>
            </w:pPr>
          </w:p>
        </w:tc>
        <w:tc>
          <w:tcPr>
            <w:tcW w:w="624" w:type="dxa"/>
          </w:tcPr>
          <w:p w14:paraId="4F8B3BCB" w14:textId="77777777" w:rsidR="00B72CEA" w:rsidRDefault="00B72CEA" w:rsidP="00B1444A">
            <w:pPr>
              <w:pStyle w:val="TableText"/>
            </w:pPr>
          </w:p>
        </w:tc>
        <w:tc>
          <w:tcPr>
            <w:tcW w:w="7143" w:type="dxa"/>
            <w:gridSpan w:val="2"/>
          </w:tcPr>
          <w:p w14:paraId="2A66EB40" w14:textId="4C283E47" w:rsidR="00B72CEA" w:rsidRPr="00B72CEA" w:rsidRDefault="00B72CEA" w:rsidP="00B72CEA">
            <w:pPr>
              <w:pStyle w:val="TableBlock"/>
            </w:pPr>
            <w:r w:rsidRPr="00B72CEA">
              <w:rPr>
                <w:rFonts w:hint="cs"/>
                <w:rtl/>
              </w:rPr>
              <w:t>(2)</w:t>
            </w:r>
            <w:r w:rsidRPr="00B72CEA">
              <w:rPr>
                <w:rtl/>
              </w:rPr>
              <w:tab/>
            </w:r>
            <w:r w:rsidRPr="00B72CEA">
              <w:rPr>
                <w:rFonts w:hint="cs"/>
                <w:rtl/>
              </w:rPr>
              <w:t>אחרי סעיף קטן (א3) יבוא:</w:t>
            </w:r>
          </w:p>
        </w:tc>
      </w:tr>
      <w:tr w:rsidR="00B1444A" w14:paraId="04E7B016" w14:textId="77777777" w:rsidTr="00B72CEA">
        <w:trPr>
          <w:cantSplit/>
        </w:trPr>
        <w:tc>
          <w:tcPr>
            <w:tcW w:w="1871" w:type="dxa"/>
          </w:tcPr>
          <w:p w14:paraId="41415996" w14:textId="77777777" w:rsidR="00B1444A" w:rsidRDefault="00B1444A">
            <w:pPr>
              <w:pStyle w:val="TableSideHeading"/>
            </w:pPr>
          </w:p>
        </w:tc>
        <w:tc>
          <w:tcPr>
            <w:tcW w:w="624" w:type="dxa"/>
          </w:tcPr>
          <w:p w14:paraId="03169435" w14:textId="77777777" w:rsidR="00B1444A" w:rsidRDefault="00B1444A" w:rsidP="00B1444A">
            <w:pPr>
              <w:pStyle w:val="TableText"/>
            </w:pPr>
          </w:p>
        </w:tc>
        <w:tc>
          <w:tcPr>
            <w:tcW w:w="624" w:type="dxa"/>
          </w:tcPr>
          <w:p w14:paraId="14405806" w14:textId="77777777" w:rsidR="00B1444A" w:rsidRDefault="00B1444A">
            <w:pPr>
              <w:pStyle w:val="TableText"/>
            </w:pPr>
          </w:p>
        </w:tc>
        <w:tc>
          <w:tcPr>
            <w:tcW w:w="6519" w:type="dxa"/>
          </w:tcPr>
          <w:p w14:paraId="037D9C74" w14:textId="6B7EF479" w:rsidR="00B1444A" w:rsidRDefault="00B1444A" w:rsidP="00B72CEA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"(א4)</w:t>
            </w:r>
            <w:r w:rsidR="00B72CEA">
              <w:rPr>
                <w:rtl/>
              </w:rPr>
              <w:tab/>
            </w:r>
            <w:r>
              <w:rPr>
                <w:rFonts w:hint="cs"/>
                <w:rtl/>
              </w:rPr>
              <w:t>ערוץ ייעודי יהיה רשאי לממן את שידוריו באמצעות שידורי פרסומת בהתאם לאמור בסעיף 6לד1."</w:t>
            </w:r>
          </w:p>
        </w:tc>
      </w:tr>
      <w:tr w:rsidR="00B1444A" w14:paraId="33157CD5" w14:textId="77777777" w:rsidTr="00B72CEA">
        <w:trPr>
          <w:cantSplit/>
        </w:trPr>
        <w:tc>
          <w:tcPr>
            <w:tcW w:w="1871" w:type="dxa"/>
          </w:tcPr>
          <w:p w14:paraId="13A91A07" w14:textId="0C4DEEBC" w:rsidR="00B1444A" w:rsidRDefault="00B1444A" w:rsidP="006A0B75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תיקון סעיף 6לד1</w:t>
            </w:r>
          </w:p>
        </w:tc>
        <w:tc>
          <w:tcPr>
            <w:tcW w:w="624" w:type="dxa"/>
          </w:tcPr>
          <w:p w14:paraId="59582E92" w14:textId="7035330B" w:rsidR="00B1444A" w:rsidRPr="00904939" w:rsidRDefault="00B1444A" w:rsidP="00FE7613">
            <w:pPr>
              <w:pStyle w:val="TableText"/>
            </w:pPr>
            <w:r>
              <w:rPr>
                <w:rFonts w:hint="cs"/>
                <w:rtl/>
              </w:rPr>
              <w:t>2.</w:t>
            </w:r>
          </w:p>
        </w:tc>
        <w:tc>
          <w:tcPr>
            <w:tcW w:w="7143" w:type="dxa"/>
            <w:gridSpan w:val="2"/>
          </w:tcPr>
          <w:p w14:paraId="26FF8170" w14:textId="50CEEBFE" w:rsidR="00B1444A" w:rsidRPr="00C40A58" w:rsidRDefault="006A0B75" w:rsidP="00B72CEA">
            <w:pPr>
              <w:pStyle w:val="TableBlock"/>
            </w:pPr>
            <w:r>
              <w:rPr>
                <w:rFonts w:hint="cs"/>
                <w:rtl/>
              </w:rPr>
              <w:t>ב</w:t>
            </w:r>
            <w:r w:rsidR="00B1444A">
              <w:rPr>
                <w:rFonts w:hint="cs"/>
                <w:rtl/>
              </w:rPr>
              <w:t>סעיף 6לד1</w:t>
            </w:r>
            <w:r>
              <w:rPr>
                <w:rFonts w:hint="cs"/>
              </w:rPr>
              <w:t xml:space="preserve"> </w:t>
            </w:r>
            <w:r w:rsidR="00B72CEA">
              <w:rPr>
                <w:rFonts w:hint="cs"/>
                <w:rtl/>
              </w:rPr>
              <w:t xml:space="preserve">לחוק העיקרי </w:t>
            </w:r>
            <w:r>
              <w:rPr>
                <w:rFonts w:hint="eastAsia"/>
                <w:rtl/>
              </w:rPr>
              <w:t>–</w:t>
            </w:r>
          </w:p>
        </w:tc>
      </w:tr>
      <w:tr w:rsidR="00B72CEA" w14:paraId="18FEAE2E" w14:textId="77777777" w:rsidTr="00B72CEA">
        <w:trPr>
          <w:cantSplit/>
        </w:trPr>
        <w:tc>
          <w:tcPr>
            <w:tcW w:w="1871" w:type="dxa"/>
          </w:tcPr>
          <w:p w14:paraId="30494572" w14:textId="77777777" w:rsidR="00B72CEA" w:rsidRDefault="00B72CEA">
            <w:pPr>
              <w:pStyle w:val="TableSideHeading"/>
            </w:pPr>
          </w:p>
        </w:tc>
        <w:tc>
          <w:tcPr>
            <w:tcW w:w="624" w:type="dxa"/>
          </w:tcPr>
          <w:p w14:paraId="05F9FDC9" w14:textId="77777777" w:rsidR="00B72CEA" w:rsidRDefault="00B72CEA">
            <w:pPr>
              <w:pStyle w:val="TableText"/>
            </w:pPr>
          </w:p>
        </w:tc>
        <w:tc>
          <w:tcPr>
            <w:tcW w:w="7143" w:type="dxa"/>
            <w:gridSpan w:val="2"/>
          </w:tcPr>
          <w:p w14:paraId="57BA1684" w14:textId="0E1D7686" w:rsidR="00B72CEA" w:rsidRPr="00B72CEA" w:rsidRDefault="00B72CEA" w:rsidP="00B72CEA">
            <w:pPr>
              <w:pStyle w:val="TableBlock"/>
            </w:pPr>
            <w:r w:rsidRPr="00B72CEA">
              <w:rPr>
                <w:rFonts w:hint="cs"/>
                <w:rtl/>
              </w:rPr>
              <w:t>(1)</w:t>
            </w:r>
            <w:r w:rsidRPr="00B72CEA">
              <w:rPr>
                <w:rtl/>
              </w:rPr>
              <w:tab/>
            </w:r>
            <w:r w:rsidRPr="00B72CEA">
              <w:rPr>
                <w:rFonts w:hint="cs"/>
                <w:rtl/>
              </w:rPr>
              <w:t xml:space="preserve">סעיף קטן (ג) </w:t>
            </w:r>
            <w:r w:rsidRPr="00B72CEA">
              <w:rPr>
                <w:rFonts w:hint="eastAsia"/>
                <w:rtl/>
              </w:rPr>
              <w:t xml:space="preserve">– </w:t>
            </w:r>
            <w:r w:rsidRPr="00B72CEA">
              <w:rPr>
                <w:rFonts w:hint="cs"/>
                <w:rtl/>
              </w:rPr>
              <w:t>בטל;</w:t>
            </w:r>
          </w:p>
        </w:tc>
      </w:tr>
      <w:tr w:rsidR="00B72CEA" w14:paraId="50A0FC10" w14:textId="77777777" w:rsidTr="00B72CEA">
        <w:trPr>
          <w:cantSplit/>
        </w:trPr>
        <w:tc>
          <w:tcPr>
            <w:tcW w:w="1871" w:type="dxa"/>
          </w:tcPr>
          <w:p w14:paraId="5EA3D001" w14:textId="77777777" w:rsidR="00B72CEA" w:rsidRDefault="00B72CEA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4D6FA1BC" w14:textId="77777777" w:rsidR="00B72CEA" w:rsidRDefault="00B72CEA" w:rsidP="006A0B75">
            <w:pPr>
              <w:pStyle w:val="TableText"/>
            </w:pPr>
          </w:p>
        </w:tc>
        <w:tc>
          <w:tcPr>
            <w:tcW w:w="7143" w:type="dxa"/>
            <w:gridSpan w:val="2"/>
          </w:tcPr>
          <w:p w14:paraId="670BF41D" w14:textId="04AB5C6B" w:rsidR="00B72CEA" w:rsidRPr="00B72CEA" w:rsidRDefault="00B72CEA" w:rsidP="00B72CEA">
            <w:pPr>
              <w:pStyle w:val="TableBlock"/>
              <w:rPr>
                <w:rtl/>
              </w:rPr>
            </w:pPr>
            <w:r w:rsidRPr="00B72CEA">
              <w:rPr>
                <w:rFonts w:hint="cs"/>
                <w:rtl/>
              </w:rPr>
              <w:t>(2)</w:t>
            </w:r>
            <w:r w:rsidRPr="00B72CEA">
              <w:rPr>
                <w:rtl/>
              </w:rPr>
              <w:tab/>
            </w:r>
            <w:r w:rsidRPr="00B72CEA">
              <w:rPr>
                <w:rFonts w:hint="cs"/>
                <w:rtl/>
              </w:rPr>
              <w:t xml:space="preserve">בסעיף קטן (ד), </w:t>
            </w:r>
            <w:proofErr w:type="spellStart"/>
            <w:r w:rsidRPr="00B72CEA">
              <w:rPr>
                <w:rFonts w:hint="cs"/>
                <w:rtl/>
              </w:rPr>
              <w:t>הסיפה</w:t>
            </w:r>
            <w:proofErr w:type="spellEnd"/>
            <w:r w:rsidRPr="00B72CEA">
              <w:rPr>
                <w:rFonts w:hint="cs"/>
                <w:rtl/>
              </w:rPr>
              <w:t xml:space="preserve"> החל במילים "ובכלל זה כי השידורים בחלקים" </w:t>
            </w:r>
            <w:r w:rsidRPr="00B72CEA">
              <w:rPr>
                <w:rFonts w:hint="eastAsia"/>
                <w:rtl/>
              </w:rPr>
              <w:t xml:space="preserve">– </w:t>
            </w:r>
            <w:r w:rsidRPr="00B72CEA">
              <w:rPr>
                <w:rFonts w:hint="cs"/>
                <w:rtl/>
              </w:rPr>
              <w:t>תימחק;</w:t>
            </w:r>
          </w:p>
        </w:tc>
      </w:tr>
      <w:tr w:rsidR="00B72CEA" w14:paraId="67EAD1F4" w14:textId="77777777" w:rsidTr="00B72CEA">
        <w:trPr>
          <w:cantSplit/>
        </w:trPr>
        <w:tc>
          <w:tcPr>
            <w:tcW w:w="1871" w:type="dxa"/>
          </w:tcPr>
          <w:p w14:paraId="32124286" w14:textId="77777777" w:rsidR="00B72CEA" w:rsidRDefault="00B72CEA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018EE5AD" w14:textId="77777777" w:rsidR="00B72CEA" w:rsidRDefault="00B72CEA" w:rsidP="00AE67CC">
            <w:pPr>
              <w:pStyle w:val="TableText"/>
            </w:pPr>
          </w:p>
        </w:tc>
        <w:tc>
          <w:tcPr>
            <w:tcW w:w="7143" w:type="dxa"/>
            <w:gridSpan w:val="2"/>
          </w:tcPr>
          <w:p w14:paraId="467A9675" w14:textId="50530018" w:rsidR="00B72CEA" w:rsidRPr="00B72CEA" w:rsidRDefault="00B72CEA" w:rsidP="00B72CEA">
            <w:pPr>
              <w:pStyle w:val="TableBlock"/>
              <w:rPr>
                <w:rtl/>
              </w:rPr>
            </w:pPr>
            <w:r w:rsidRPr="00B72CEA">
              <w:rPr>
                <w:rFonts w:hint="cs"/>
                <w:rtl/>
              </w:rPr>
              <w:t>(3)</w:t>
            </w:r>
            <w:r w:rsidRPr="00B72CEA">
              <w:rPr>
                <w:rtl/>
              </w:rPr>
              <w:tab/>
            </w:r>
            <w:r w:rsidRPr="00B72CEA">
              <w:rPr>
                <w:rFonts w:hint="cs"/>
                <w:rtl/>
              </w:rPr>
              <w:t xml:space="preserve">בסעיף קטן (ו), </w:t>
            </w:r>
            <w:proofErr w:type="spellStart"/>
            <w:r w:rsidRPr="00B72CEA">
              <w:rPr>
                <w:rFonts w:hint="cs"/>
                <w:rtl/>
              </w:rPr>
              <w:t>הסיפה</w:t>
            </w:r>
            <w:proofErr w:type="spellEnd"/>
            <w:r w:rsidRPr="00B72CEA">
              <w:rPr>
                <w:rFonts w:hint="cs"/>
                <w:rtl/>
              </w:rPr>
              <w:t xml:space="preserve"> החל במילים "ורשאית היא לקבוע כללים" </w:t>
            </w:r>
            <w:r w:rsidRPr="00B72CEA">
              <w:rPr>
                <w:rFonts w:hint="eastAsia"/>
                <w:rtl/>
              </w:rPr>
              <w:t xml:space="preserve">– </w:t>
            </w:r>
            <w:r w:rsidRPr="00B72CEA">
              <w:rPr>
                <w:rFonts w:hint="cs"/>
                <w:rtl/>
              </w:rPr>
              <w:t>תימחק;</w:t>
            </w:r>
          </w:p>
        </w:tc>
      </w:tr>
      <w:tr w:rsidR="00B72CEA" w14:paraId="167FBB30" w14:textId="77777777" w:rsidTr="00B72CEA">
        <w:trPr>
          <w:cantSplit/>
        </w:trPr>
        <w:tc>
          <w:tcPr>
            <w:tcW w:w="1871" w:type="dxa"/>
          </w:tcPr>
          <w:p w14:paraId="1B791DE1" w14:textId="77777777" w:rsidR="00B72CEA" w:rsidRDefault="00B72CEA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107C0CCB" w14:textId="77777777" w:rsidR="00B72CEA" w:rsidRDefault="00B72CEA" w:rsidP="00AE67CC">
            <w:pPr>
              <w:pStyle w:val="TableText"/>
            </w:pPr>
          </w:p>
        </w:tc>
        <w:tc>
          <w:tcPr>
            <w:tcW w:w="7143" w:type="dxa"/>
            <w:gridSpan w:val="2"/>
          </w:tcPr>
          <w:p w14:paraId="5CB49332" w14:textId="0C64BE8F" w:rsidR="00B72CEA" w:rsidRPr="00B72CEA" w:rsidRDefault="00B72CEA" w:rsidP="00B72CEA">
            <w:pPr>
              <w:pStyle w:val="TableBlock"/>
              <w:rPr>
                <w:rtl/>
              </w:rPr>
            </w:pPr>
            <w:r w:rsidRPr="00B72CEA">
              <w:rPr>
                <w:rFonts w:hint="cs"/>
                <w:rtl/>
              </w:rPr>
              <w:t>(4)</w:t>
            </w:r>
            <w:r w:rsidRPr="00B72CEA">
              <w:rPr>
                <w:rtl/>
              </w:rPr>
              <w:tab/>
            </w:r>
            <w:r w:rsidRPr="00B72CEA">
              <w:rPr>
                <w:rFonts w:hint="cs"/>
                <w:rtl/>
              </w:rPr>
              <w:t xml:space="preserve">בסעיף קטן (ז), המילים "נוספים או אחרים, לרבות" </w:t>
            </w:r>
            <w:r w:rsidRPr="00B72CEA">
              <w:rPr>
                <w:rtl/>
              </w:rPr>
              <w:t>–</w:t>
            </w:r>
            <w:r w:rsidRPr="00B72CEA">
              <w:rPr>
                <w:rFonts w:hint="cs"/>
                <w:rtl/>
              </w:rPr>
              <w:t xml:space="preserve"> יימחקו.</w:t>
            </w:r>
          </w:p>
        </w:tc>
      </w:tr>
      <w:tr w:rsidR="00B1444A" w14:paraId="53575868" w14:textId="77777777" w:rsidTr="00B72CEA">
        <w:trPr>
          <w:cantSplit/>
        </w:trPr>
        <w:tc>
          <w:tcPr>
            <w:tcW w:w="1871" w:type="dxa"/>
          </w:tcPr>
          <w:p w14:paraId="4C9D018F" w14:textId="37E88E92" w:rsidR="00B1444A" w:rsidRDefault="00B1444A" w:rsidP="00AE67CC">
            <w:pPr>
              <w:pStyle w:val="TableSideHeading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ביטול סעיף 6לד2</w:t>
            </w:r>
          </w:p>
        </w:tc>
        <w:tc>
          <w:tcPr>
            <w:tcW w:w="624" w:type="dxa"/>
          </w:tcPr>
          <w:p w14:paraId="3E51B499" w14:textId="5C81FC75" w:rsidR="00B1444A" w:rsidRDefault="00AE67CC" w:rsidP="00B1444A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3.</w:t>
            </w:r>
          </w:p>
        </w:tc>
        <w:tc>
          <w:tcPr>
            <w:tcW w:w="7143" w:type="dxa"/>
            <w:gridSpan w:val="2"/>
          </w:tcPr>
          <w:p w14:paraId="5F8A2FC4" w14:textId="1C4DAFEF" w:rsidR="00B1444A" w:rsidRDefault="00B1444A" w:rsidP="00B72CEA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 xml:space="preserve">סעיף 6לד2 </w:t>
            </w:r>
            <w:r w:rsidR="00AE67CC">
              <w:rPr>
                <w:rFonts w:hint="cs"/>
                <w:rtl/>
              </w:rPr>
              <w:t xml:space="preserve">לחוק העיקרי </w:t>
            </w:r>
            <w:r w:rsidR="00AE67CC">
              <w:rPr>
                <w:rFonts w:hint="eastAsia"/>
                <w:rtl/>
              </w:rPr>
              <w:t xml:space="preserve">– </w:t>
            </w:r>
            <w:r w:rsidR="00AE67CC">
              <w:rPr>
                <w:rFonts w:hint="cs"/>
                <w:rtl/>
              </w:rPr>
              <w:t>בטל.</w:t>
            </w:r>
            <w:r>
              <w:rPr>
                <w:rFonts w:hint="cs"/>
                <w:rtl/>
              </w:rPr>
              <w:t xml:space="preserve">  </w:t>
            </w:r>
          </w:p>
        </w:tc>
      </w:tr>
    </w:tbl>
    <w:p w14:paraId="19FD3884" w14:textId="77777777" w:rsidR="00F053B3" w:rsidRDefault="00F053B3" w:rsidP="00DF5494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74BCB84A" w14:textId="71C168BD" w:rsidR="00314BDF" w:rsidRDefault="00F053B3" w:rsidP="00DF5494">
      <w:pPr>
        <w:pStyle w:val="Hesber"/>
        <w:rPr>
          <w:rtl/>
        </w:rPr>
      </w:pPr>
      <w:r w:rsidRPr="00314BDF">
        <w:rPr>
          <w:rFonts w:hint="eastAsia"/>
          <w:rtl/>
        </w:rPr>
        <w:t>חוק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התקשורת</w:t>
      </w:r>
      <w:r w:rsidRPr="00314BDF">
        <w:rPr>
          <w:rtl/>
        </w:rPr>
        <w:t xml:space="preserve"> (בזק </w:t>
      </w:r>
      <w:r w:rsidRPr="00314BDF">
        <w:rPr>
          <w:rFonts w:hint="eastAsia"/>
          <w:rtl/>
        </w:rPr>
        <w:t>ושידורים</w:t>
      </w:r>
      <w:r w:rsidRPr="00314BDF">
        <w:rPr>
          <w:rtl/>
        </w:rPr>
        <w:t>)</w:t>
      </w:r>
      <w:r w:rsidR="00314BDF" w:rsidRPr="00314BDF">
        <w:rPr>
          <w:rtl/>
        </w:rPr>
        <w:t>,</w:t>
      </w:r>
      <w:r w:rsidRPr="00314BDF">
        <w:rPr>
          <w:rtl/>
        </w:rPr>
        <w:t xml:space="preserve"> </w:t>
      </w:r>
      <w:proofErr w:type="spellStart"/>
      <w:r w:rsidRPr="00314BDF">
        <w:rPr>
          <w:rtl/>
        </w:rPr>
        <w:t>התשמ"ב</w:t>
      </w:r>
      <w:proofErr w:type="spellEnd"/>
      <w:r w:rsidR="00314BDF" w:rsidRPr="00314BDF">
        <w:rPr>
          <w:rFonts w:hint="eastAsia"/>
          <w:rtl/>
        </w:rPr>
        <w:t>–</w:t>
      </w:r>
      <w:r w:rsidRPr="00314BDF">
        <w:rPr>
          <w:rtl/>
        </w:rPr>
        <w:t xml:space="preserve">1982 </w:t>
      </w:r>
      <w:r w:rsidR="00314BDF" w:rsidRPr="00314BDF">
        <w:rPr>
          <w:rFonts w:hint="eastAsia"/>
          <w:rtl/>
        </w:rPr>
        <w:t>להלן</w:t>
      </w:r>
      <w:r w:rsidR="00314BDF" w:rsidRPr="00314BDF">
        <w:rPr>
          <w:rtl/>
        </w:rPr>
        <w:t xml:space="preserve"> </w:t>
      </w:r>
      <w:r w:rsidR="00314BDF" w:rsidRPr="00314BDF">
        <w:rPr>
          <w:rFonts w:hint="eastAsia"/>
          <w:rtl/>
        </w:rPr>
        <w:t>–</w:t>
      </w:r>
      <w:r w:rsidR="00221D27">
        <w:rPr>
          <w:rFonts w:hint="cs"/>
          <w:rtl/>
        </w:rPr>
        <w:t xml:space="preserve"> </w:t>
      </w:r>
      <w:r w:rsidRPr="00314BDF">
        <w:rPr>
          <w:rFonts w:hint="eastAsia"/>
          <w:rtl/>
        </w:rPr>
        <w:t>חוק</w:t>
      </w:r>
      <w:r w:rsidR="00221D27">
        <w:rPr>
          <w:rFonts w:hint="cs"/>
          <w:rtl/>
        </w:rPr>
        <w:t xml:space="preserve"> </w:t>
      </w:r>
      <w:r w:rsidRPr="00314BDF">
        <w:rPr>
          <w:rtl/>
        </w:rPr>
        <w:t>התקשורת)</w:t>
      </w:r>
      <w:r w:rsidR="00F60679">
        <w:rPr>
          <w:rFonts w:hint="cs"/>
          <w:rtl/>
        </w:rPr>
        <w:t>,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מסדיר</w:t>
      </w:r>
      <w:r w:rsidRPr="00314BDF">
        <w:rPr>
          <w:rtl/>
        </w:rPr>
        <w:t xml:space="preserve">, </w:t>
      </w:r>
      <w:r w:rsidRPr="00314BDF">
        <w:rPr>
          <w:rFonts w:hint="eastAsia"/>
          <w:rtl/>
        </w:rPr>
        <w:t>בין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היתר</w:t>
      </w:r>
      <w:r w:rsidRPr="00314BDF">
        <w:rPr>
          <w:rtl/>
        </w:rPr>
        <w:t xml:space="preserve">, </w:t>
      </w:r>
      <w:r w:rsidRPr="00314BDF">
        <w:rPr>
          <w:rFonts w:hint="eastAsia"/>
          <w:rtl/>
        </w:rPr>
        <w:t>את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סמכות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מועצת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הכבלים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והלוויין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ל</w:t>
      </w:r>
      <w:r w:rsidR="00314BDF" w:rsidRPr="00314BDF">
        <w:rPr>
          <w:rFonts w:hint="eastAsia"/>
          <w:rtl/>
        </w:rPr>
        <w:t>תת</w:t>
      </w:r>
      <w:r w:rsidRPr="00314BDF">
        <w:rPr>
          <w:rtl/>
        </w:rPr>
        <w:t xml:space="preserve"> רישיון מיוחד לשידורי כבלים למשדר </w:t>
      </w:r>
      <w:r w:rsidRPr="00314BDF">
        <w:rPr>
          <w:rFonts w:hint="eastAsia"/>
          <w:rtl/>
        </w:rPr>
        <w:t>ערו</w:t>
      </w:r>
      <w:r w:rsidR="00314BDF" w:rsidRPr="00314BDF">
        <w:rPr>
          <w:rFonts w:hint="eastAsia"/>
          <w:rtl/>
        </w:rPr>
        <w:t>צים</w:t>
      </w:r>
      <w:r w:rsidRPr="00314BDF">
        <w:rPr>
          <w:rtl/>
        </w:rPr>
        <w:t xml:space="preserve"> ייעודי</w:t>
      </w:r>
      <w:r w:rsidR="00314BDF" w:rsidRPr="00314BDF">
        <w:rPr>
          <w:rFonts w:hint="eastAsia"/>
          <w:rtl/>
        </w:rPr>
        <w:t>ם</w:t>
      </w:r>
      <w:r w:rsidRPr="00314BDF">
        <w:rPr>
          <w:rtl/>
        </w:rPr>
        <w:t xml:space="preserve">. </w:t>
      </w:r>
      <w:r w:rsidRPr="00314BDF">
        <w:rPr>
          <w:rFonts w:hint="eastAsia"/>
          <w:rtl/>
        </w:rPr>
        <w:t>הערוצים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הייעודיים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נועדו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לתת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מענה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למגזרים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ולנושאים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אשר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אינם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זוכים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דרך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כלל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לייצוג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הולם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באמצעי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התקשורת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המרכזיים</w:t>
      </w:r>
      <w:r w:rsidRPr="00314BDF">
        <w:rPr>
          <w:rtl/>
        </w:rPr>
        <w:t xml:space="preserve">. </w:t>
      </w:r>
      <w:r w:rsidRPr="00314BDF">
        <w:rPr>
          <w:rFonts w:hint="eastAsia"/>
          <w:rtl/>
        </w:rPr>
        <w:t>נוכח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החשיבות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המרכזית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שיוחסה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לערוצים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הייעודיים</w:t>
      </w:r>
      <w:r w:rsidR="00314BDF">
        <w:rPr>
          <w:rFonts w:hint="cs"/>
          <w:rtl/>
        </w:rPr>
        <w:t xml:space="preserve"> ו</w:t>
      </w:r>
      <w:r w:rsidRPr="00314BDF">
        <w:rPr>
          <w:rFonts w:hint="eastAsia"/>
          <w:rtl/>
        </w:rPr>
        <w:t>בהתאם</w:t>
      </w:r>
      <w:r w:rsidRPr="00314BDF">
        <w:rPr>
          <w:rtl/>
        </w:rPr>
        <w:t xml:space="preserve"> לחוק, </w:t>
      </w:r>
      <w:r w:rsidRPr="00314BDF">
        <w:rPr>
          <w:rFonts w:hint="eastAsia"/>
          <w:rtl/>
        </w:rPr>
        <w:t>ערוץ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ייעודי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רשאי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לממן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את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שידוריו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lastRenderedPageBreak/>
        <w:t>באמצעות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שידורי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פרסומת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כחריג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לאותם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ערוצים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המופצים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על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גבי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תשתיות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הכבלים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או</w:t>
      </w:r>
      <w:r w:rsidRPr="00314BDF">
        <w:rPr>
          <w:rtl/>
        </w:rPr>
        <w:t xml:space="preserve"> </w:t>
      </w:r>
      <w:proofErr w:type="spellStart"/>
      <w:r w:rsidRPr="00314BDF">
        <w:rPr>
          <w:rFonts w:hint="eastAsia"/>
          <w:rtl/>
        </w:rPr>
        <w:t>הלווין</w:t>
      </w:r>
      <w:proofErr w:type="spellEnd"/>
      <w:r w:rsidR="00314BDF">
        <w:rPr>
          <w:rFonts w:hint="cs"/>
          <w:rtl/>
        </w:rPr>
        <w:t>.</w:t>
      </w:r>
      <w:r w:rsidRPr="00314BDF">
        <w:rPr>
          <w:rtl/>
        </w:rPr>
        <w:t xml:space="preserve">  </w:t>
      </w:r>
    </w:p>
    <w:p w14:paraId="45E861A5" w14:textId="29539F82" w:rsidR="00314BDF" w:rsidRDefault="00F053B3" w:rsidP="00DB41BA">
      <w:pPr>
        <w:pStyle w:val="TableBlock"/>
        <w:keepLines w:val="0"/>
        <w:rPr>
          <w:rtl/>
        </w:rPr>
      </w:pPr>
      <w:r w:rsidRPr="00314BDF">
        <w:rPr>
          <w:rFonts w:hint="eastAsia"/>
          <w:rtl/>
        </w:rPr>
        <w:t>בהתאם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לחוק</w:t>
      </w:r>
      <w:r w:rsidR="00221D27">
        <w:rPr>
          <w:rFonts w:hint="cs"/>
          <w:rtl/>
        </w:rPr>
        <w:t xml:space="preserve"> התקשורת</w:t>
      </w:r>
      <w:r w:rsidR="00314BDF">
        <w:rPr>
          <w:rFonts w:hint="cs"/>
          <w:rtl/>
        </w:rPr>
        <w:t>,</w:t>
      </w:r>
      <w:r w:rsidRPr="00314BDF">
        <w:rPr>
          <w:rtl/>
        </w:rPr>
        <w:t xml:space="preserve"> חויבו הספקים </w:t>
      </w:r>
      <w:r w:rsidRPr="00314BDF">
        <w:rPr>
          <w:rFonts w:hint="eastAsia"/>
          <w:rtl/>
        </w:rPr>
        <w:t>להעביר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למנויים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את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שידורי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הערוצים</w:t>
      </w:r>
      <w:r w:rsidRPr="00314BDF">
        <w:rPr>
          <w:rtl/>
        </w:rPr>
        <w:t xml:space="preserve"> המסחריים </w:t>
      </w:r>
      <w:r w:rsidR="00221D27">
        <w:rPr>
          <w:rFonts w:hint="cs"/>
          <w:rtl/>
        </w:rPr>
        <w:t>וכן את</w:t>
      </w:r>
      <w:r w:rsidR="00314BDF">
        <w:rPr>
          <w:rFonts w:hint="cs"/>
          <w:rtl/>
        </w:rPr>
        <w:t xml:space="preserve"> </w:t>
      </w:r>
      <w:r w:rsidRPr="00314BDF">
        <w:rPr>
          <w:rFonts w:hint="eastAsia"/>
          <w:rtl/>
        </w:rPr>
        <w:t>שידורי</w:t>
      </w:r>
      <w:r w:rsidRPr="00314BDF">
        <w:rPr>
          <w:rtl/>
        </w:rPr>
        <w:t xml:space="preserve"> </w:t>
      </w:r>
      <w:r w:rsidR="00F60679">
        <w:rPr>
          <w:rFonts w:hint="cs"/>
          <w:rtl/>
        </w:rPr>
        <w:t>ה</w:t>
      </w:r>
      <w:r w:rsidRPr="00314BDF">
        <w:rPr>
          <w:rFonts w:hint="eastAsia"/>
          <w:rtl/>
        </w:rPr>
        <w:t>ערו</w:t>
      </w:r>
      <w:r w:rsidR="00314BDF">
        <w:rPr>
          <w:rFonts w:hint="cs"/>
          <w:rtl/>
        </w:rPr>
        <w:t>צים</w:t>
      </w:r>
      <w:r w:rsidRPr="00314BDF">
        <w:rPr>
          <w:rtl/>
        </w:rPr>
        <w:t xml:space="preserve"> </w:t>
      </w:r>
      <w:r w:rsidR="00F60679">
        <w:rPr>
          <w:rFonts w:hint="cs"/>
          <w:rtl/>
        </w:rPr>
        <w:t>ה</w:t>
      </w:r>
      <w:r w:rsidRPr="00314BDF">
        <w:rPr>
          <w:rtl/>
        </w:rPr>
        <w:t>ייעודי</w:t>
      </w:r>
      <w:r w:rsidR="00314BDF">
        <w:rPr>
          <w:rFonts w:hint="cs"/>
          <w:rtl/>
        </w:rPr>
        <w:t>ם.</w:t>
      </w:r>
      <w:r w:rsidR="00221D27">
        <w:rPr>
          <w:rFonts w:hint="cs"/>
          <w:rtl/>
        </w:rPr>
        <w:t xml:space="preserve"> </w:t>
      </w:r>
    </w:p>
    <w:p w14:paraId="226DF05A" w14:textId="05905F90" w:rsidR="00F053B3" w:rsidRPr="00314BDF" w:rsidRDefault="00F053B3" w:rsidP="00DF5494">
      <w:pPr>
        <w:pStyle w:val="Hesber"/>
      </w:pPr>
      <w:r w:rsidRPr="00314BDF">
        <w:rPr>
          <w:rFonts w:hint="eastAsia"/>
          <w:rtl/>
        </w:rPr>
        <w:t>בחלוף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השנים</w:t>
      </w:r>
      <w:r w:rsidR="00314BDF">
        <w:rPr>
          <w:rFonts w:hint="cs"/>
          <w:rtl/>
        </w:rPr>
        <w:t>,</w:t>
      </w:r>
      <w:r w:rsidRPr="00314BDF">
        <w:rPr>
          <w:rtl/>
        </w:rPr>
        <w:t xml:space="preserve"> השתנתה מפת שידורי התקשורת ללא היכר. </w:t>
      </w:r>
      <w:r w:rsidR="00314BDF">
        <w:rPr>
          <w:rFonts w:hint="cs"/>
          <w:rtl/>
        </w:rPr>
        <w:t xml:space="preserve">יחד עם </w:t>
      </w:r>
      <w:r w:rsidRPr="00314BDF">
        <w:rPr>
          <w:rFonts w:hint="eastAsia"/>
          <w:rtl/>
        </w:rPr>
        <w:t>האינפלציה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ההולכת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וגוברת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של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תכנים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גלובאליים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ושגשוגן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של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הרשתות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החברתיות</w:t>
      </w:r>
      <w:r w:rsidRPr="00314BDF">
        <w:rPr>
          <w:rtl/>
        </w:rPr>
        <w:t xml:space="preserve">. </w:t>
      </w:r>
      <w:r w:rsidRPr="00314BDF">
        <w:rPr>
          <w:rFonts w:hint="eastAsia"/>
          <w:rtl/>
        </w:rPr>
        <w:t>תמורות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אלו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מכרסמות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בהיתכנות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הכלכלית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של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הערוצים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הייעודיים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אשר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נלחמים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על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קיומם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בעשור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האחרון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בקושי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רב</w:t>
      </w:r>
      <w:r w:rsidRPr="00314BDF">
        <w:rPr>
          <w:rtl/>
        </w:rPr>
        <w:t xml:space="preserve">. </w:t>
      </w:r>
      <w:r w:rsidRPr="00314BDF">
        <w:rPr>
          <w:rFonts w:hint="eastAsia"/>
          <w:rtl/>
        </w:rPr>
        <w:t>המועצה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לכבלים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ולוויין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הנהיגה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בשנת</w:t>
      </w:r>
      <w:r w:rsidRPr="00314BDF">
        <w:rPr>
          <w:rtl/>
        </w:rPr>
        <w:t xml:space="preserve"> 2015 </w:t>
      </w:r>
      <w:r w:rsidRPr="00314BDF">
        <w:rPr>
          <w:rFonts w:hint="eastAsia"/>
          <w:rtl/>
        </w:rPr>
        <w:t>שורה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של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שינויים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והקלות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כדי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לגוון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את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הערוצים</w:t>
      </w:r>
      <w:r w:rsidR="00314BDF">
        <w:rPr>
          <w:rFonts w:hint="cs"/>
          <w:rtl/>
        </w:rPr>
        <w:t xml:space="preserve"> הייעודיים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ולשפר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את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יכולת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הישרדותם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הכלכלית</w:t>
      </w:r>
      <w:r w:rsidRPr="00314BDF">
        <w:rPr>
          <w:rtl/>
        </w:rPr>
        <w:t xml:space="preserve">. </w:t>
      </w:r>
      <w:r w:rsidRPr="00314BDF">
        <w:rPr>
          <w:rFonts w:hint="eastAsia"/>
          <w:rtl/>
        </w:rPr>
        <w:t>עם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זאת</w:t>
      </w:r>
      <w:r w:rsidR="00314BDF">
        <w:rPr>
          <w:rFonts w:hint="cs"/>
          <w:rtl/>
        </w:rPr>
        <w:t>,</w:t>
      </w:r>
      <w:r w:rsidRPr="00314BDF">
        <w:rPr>
          <w:rtl/>
        </w:rPr>
        <w:t xml:space="preserve"> האסדרה הכבדה המוטלת עליהם בחוק התקשורת מקשה עליהם לעמוד בתחרות ולשרוד בעולם המשתנה בקצב מהיר.</w:t>
      </w:r>
    </w:p>
    <w:p w14:paraId="41AE0384" w14:textId="783A4359" w:rsidR="00314BDF" w:rsidRDefault="00F053B3" w:rsidP="00DF5494">
      <w:pPr>
        <w:pStyle w:val="TableBlock"/>
        <w:keepLines w:val="0"/>
        <w:rPr>
          <w:rtl/>
        </w:rPr>
      </w:pPr>
      <w:r w:rsidRPr="00314BDF">
        <w:rPr>
          <w:rFonts w:hint="eastAsia"/>
          <w:rtl/>
        </w:rPr>
        <w:t> </w:t>
      </w:r>
      <w:r w:rsidR="00314BDF">
        <w:rPr>
          <w:rFonts w:hint="cs"/>
          <w:rtl/>
        </w:rPr>
        <w:t>הצע</w:t>
      </w:r>
      <w:r w:rsidR="00D64255">
        <w:rPr>
          <w:rFonts w:hint="cs"/>
          <w:rtl/>
        </w:rPr>
        <w:t>ה</w:t>
      </w:r>
      <w:r w:rsidR="00314BDF">
        <w:rPr>
          <w:rFonts w:hint="cs"/>
          <w:rtl/>
        </w:rPr>
        <w:t xml:space="preserve"> </w:t>
      </w:r>
      <w:r w:rsidR="0009628A">
        <w:rPr>
          <w:rFonts w:hint="cs"/>
          <w:rtl/>
        </w:rPr>
        <w:t>זו</w:t>
      </w:r>
      <w:r w:rsidR="00314BDF">
        <w:rPr>
          <w:rFonts w:hint="cs"/>
          <w:rtl/>
        </w:rPr>
        <w:t xml:space="preserve"> נשענת על מסקנות הוועדה המייעצת לעניין הסדרת הרגולציה על שוק השידורים שפורסמו ביוני</w:t>
      </w:r>
      <w:r w:rsidR="00D64255">
        <w:rPr>
          <w:rFonts w:hint="cs"/>
          <w:rtl/>
        </w:rPr>
        <w:t xml:space="preserve"> 2016 (ועדת </w:t>
      </w:r>
      <w:proofErr w:type="spellStart"/>
      <w:r w:rsidR="00D64255">
        <w:rPr>
          <w:rFonts w:hint="cs"/>
          <w:rtl/>
        </w:rPr>
        <w:t>פילבר</w:t>
      </w:r>
      <w:proofErr w:type="spellEnd"/>
      <w:r w:rsidR="00D64255">
        <w:rPr>
          <w:rFonts w:hint="cs"/>
          <w:rtl/>
        </w:rPr>
        <w:t>),</w:t>
      </w:r>
      <w:r w:rsidRPr="00314BDF">
        <w:rPr>
          <w:rtl/>
        </w:rPr>
        <w:t xml:space="preserve"> </w:t>
      </w:r>
      <w:r w:rsidR="00221D27">
        <w:rPr>
          <w:rFonts w:hint="cs"/>
          <w:rtl/>
        </w:rPr>
        <w:t xml:space="preserve">ומטרתה </w:t>
      </w:r>
      <w:r w:rsidRPr="00314BDF">
        <w:rPr>
          <w:rFonts w:hint="eastAsia"/>
          <w:rtl/>
        </w:rPr>
        <w:t>להקל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את</w:t>
      </w:r>
      <w:r w:rsidR="00221D27">
        <w:rPr>
          <w:rFonts w:hint="cs"/>
          <w:rtl/>
        </w:rPr>
        <w:t xml:space="preserve"> </w:t>
      </w:r>
      <w:r w:rsidRPr="00314BDF">
        <w:rPr>
          <w:rFonts w:hint="eastAsia"/>
          <w:rtl/>
        </w:rPr>
        <w:t>הרגולציה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הכבדה</w:t>
      </w:r>
      <w:r w:rsidRPr="00314BDF">
        <w:rPr>
          <w:rtl/>
        </w:rPr>
        <w:t xml:space="preserve"> המוטל</w:t>
      </w:r>
      <w:r w:rsidRPr="00314BDF">
        <w:rPr>
          <w:rFonts w:hint="eastAsia"/>
          <w:rtl/>
        </w:rPr>
        <w:t>ת</w:t>
      </w:r>
      <w:r w:rsidRPr="00314BDF">
        <w:rPr>
          <w:rtl/>
        </w:rPr>
        <w:t xml:space="preserve"> על הערוצים הייעודים ו</w:t>
      </w:r>
      <w:r w:rsidRPr="00314BDF">
        <w:rPr>
          <w:rFonts w:hint="eastAsia"/>
          <w:rtl/>
        </w:rPr>
        <w:t>לאפשר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להם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חופש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רב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יותר</w:t>
      </w:r>
      <w:r w:rsidRPr="00314BDF">
        <w:rPr>
          <w:rtl/>
        </w:rPr>
        <w:t xml:space="preserve"> </w:t>
      </w:r>
      <w:r w:rsidR="00DF5494">
        <w:rPr>
          <w:rFonts w:hint="cs"/>
          <w:rtl/>
        </w:rPr>
        <w:t>ל</w:t>
      </w:r>
      <w:r w:rsidRPr="00314BDF">
        <w:rPr>
          <w:rFonts w:hint="eastAsia"/>
          <w:rtl/>
        </w:rPr>
        <w:t>פרס</w:t>
      </w:r>
      <w:r w:rsidR="00DF5494">
        <w:rPr>
          <w:rFonts w:hint="cs"/>
          <w:rtl/>
        </w:rPr>
        <w:t>ו</w:t>
      </w:r>
      <w:r w:rsidRPr="00314BDF">
        <w:rPr>
          <w:rFonts w:hint="eastAsia"/>
          <w:rtl/>
        </w:rPr>
        <w:t>ם</w:t>
      </w:r>
      <w:r w:rsidRPr="00314BDF">
        <w:rPr>
          <w:rtl/>
        </w:rPr>
        <w:t xml:space="preserve"> </w:t>
      </w:r>
      <w:r w:rsidR="00DF5494">
        <w:rPr>
          <w:rFonts w:hint="cs"/>
          <w:rtl/>
        </w:rPr>
        <w:t>וב</w:t>
      </w:r>
      <w:r w:rsidRPr="00314BDF">
        <w:rPr>
          <w:rFonts w:hint="eastAsia"/>
          <w:rtl/>
        </w:rPr>
        <w:t>מגוון</w:t>
      </w:r>
      <w:r w:rsidRPr="00314BDF">
        <w:rPr>
          <w:rtl/>
        </w:rPr>
        <w:t xml:space="preserve"> </w:t>
      </w:r>
      <w:r w:rsidR="00DF5494">
        <w:rPr>
          <w:rFonts w:hint="cs"/>
          <w:rtl/>
        </w:rPr>
        <w:t>ה</w:t>
      </w:r>
      <w:r w:rsidRPr="00314BDF">
        <w:rPr>
          <w:rFonts w:hint="eastAsia"/>
          <w:rtl/>
        </w:rPr>
        <w:t>תכנים</w:t>
      </w:r>
      <w:r w:rsidR="00DF5494">
        <w:rPr>
          <w:rFonts w:hint="cs"/>
          <w:rtl/>
        </w:rPr>
        <w:t xml:space="preserve"> המשודרים בהם</w:t>
      </w:r>
      <w:r w:rsidR="00314BDF">
        <w:rPr>
          <w:rFonts w:hint="cs"/>
          <w:rtl/>
        </w:rPr>
        <w:t>.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יכולתם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של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הערוצים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הייעודיים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למלא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את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תפקידם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ולתת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קול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ייחודי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לקבוצות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אוכלוסי</w:t>
      </w:r>
      <w:r w:rsidR="00314BDF">
        <w:rPr>
          <w:rFonts w:hint="cs"/>
          <w:rtl/>
        </w:rPr>
        <w:t>י</w:t>
      </w:r>
      <w:r w:rsidRPr="00314BDF">
        <w:rPr>
          <w:rFonts w:hint="eastAsia"/>
          <w:rtl/>
        </w:rPr>
        <w:t>ה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מגוונות</w:t>
      </w:r>
      <w:r w:rsidR="00314BDF">
        <w:rPr>
          <w:rFonts w:hint="cs"/>
          <w:rtl/>
        </w:rPr>
        <w:t>,</w:t>
      </w:r>
      <w:r w:rsidRPr="00314BDF">
        <w:rPr>
          <w:rtl/>
        </w:rPr>
        <w:t xml:space="preserve"> תלוי באופן משמעותי ביכולתם לשרוד כלכלית בשוק תחרותי. </w:t>
      </w:r>
    </w:p>
    <w:p w14:paraId="63C0E09E" w14:textId="6D0E862E" w:rsidR="00D64255" w:rsidRPr="00314BDF" w:rsidRDefault="00F053B3" w:rsidP="00221D27">
      <w:pPr>
        <w:pStyle w:val="TableBlock"/>
        <w:keepLines w:val="0"/>
        <w:rPr>
          <w:rtl/>
        </w:rPr>
      </w:pPr>
      <w:r w:rsidRPr="00314BDF">
        <w:rPr>
          <w:rFonts w:hint="eastAsia"/>
          <w:rtl/>
        </w:rPr>
        <w:t>הגבלתם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של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הערוצים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הייעודים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בקשיחות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לתכנים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ספציפיים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שהוגדרו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להם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מראש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אינה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מאפשר</w:t>
      </w:r>
      <w:r w:rsidR="00D307CB">
        <w:rPr>
          <w:rFonts w:hint="cs"/>
          <w:rtl/>
        </w:rPr>
        <w:t>ת</w:t>
      </w:r>
      <w:r w:rsidRPr="00314BDF">
        <w:rPr>
          <w:rtl/>
        </w:rPr>
        <w:t xml:space="preserve"> תחרות</w:t>
      </w:r>
      <w:r w:rsidR="00D307CB">
        <w:rPr>
          <w:rFonts w:hint="cs"/>
          <w:rtl/>
        </w:rPr>
        <w:t xml:space="preserve"> הוגנת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ומקשה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עליהם</w:t>
      </w:r>
      <w:r w:rsidRPr="00314BDF">
        <w:rPr>
          <w:rtl/>
        </w:rPr>
        <w:t xml:space="preserve"> </w:t>
      </w:r>
      <w:r w:rsidRPr="00314BDF">
        <w:rPr>
          <w:rFonts w:hint="eastAsia"/>
          <w:rtl/>
        </w:rPr>
        <w:t>לפעול</w:t>
      </w:r>
      <w:r w:rsidRPr="00314BDF">
        <w:rPr>
          <w:rtl/>
        </w:rPr>
        <w:t>.</w:t>
      </w:r>
      <w:r w:rsidR="00D64255">
        <w:rPr>
          <w:rFonts w:hint="cs"/>
          <w:rtl/>
        </w:rPr>
        <w:t xml:space="preserve"> </w:t>
      </w:r>
    </w:p>
    <w:p w14:paraId="5F56C9CE" w14:textId="16DC31A5" w:rsidR="00F053B3" w:rsidRPr="00D307CB" w:rsidRDefault="00F053B3" w:rsidP="00DF5494">
      <w:pPr>
        <w:pStyle w:val="Hesber"/>
        <w:rPr>
          <w:rtl/>
        </w:rPr>
      </w:pPr>
      <w:r w:rsidRPr="00D307CB">
        <w:rPr>
          <w:rFonts w:hint="cs"/>
          <w:rtl/>
        </w:rPr>
        <w:t xml:space="preserve">על כן, מוצע לאפשר </w:t>
      </w:r>
      <w:r w:rsidR="00D307CB">
        <w:rPr>
          <w:rFonts w:hint="cs"/>
          <w:rtl/>
        </w:rPr>
        <w:t xml:space="preserve">לערוצים ייעודיים להגדיל את היקף הפרסום </w:t>
      </w:r>
      <w:r w:rsidRPr="00D307CB">
        <w:rPr>
          <w:rFonts w:hint="cs"/>
          <w:rtl/>
        </w:rPr>
        <w:t>להחיל עליהם קריטריונים דומים לערוצים מסחריים אחרים</w:t>
      </w:r>
      <w:r w:rsidR="00D307CB">
        <w:rPr>
          <w:rFonts w:hint="cs"/>
          <w:rtl/>
        </w:rPr>
        <w:t>,</w:t>
      </w:r>
      <w:r w:rsidRPr="00D307CB">
        <w:rPr>
          <w:rFonts w:hint="cs"/>
          <w:rtl/>
        </w:rPr>
        <w:t xml:space="preserve"> ולהגביל את יכולתה של מועצת הכבלים </w:t>
      </w:r>
      <w:proofErr w:type="spellStart"/>
      <w:r w:rsidRPr="00D307CB">
        <w:rPr>
          <w:rFonts w:hint="cs"/>
          <w:rtl/>
        </w:rPr>
        <w:t>והלווין</w:t>
      </w:r>
      <w:proofErr w:type="spellEnd"/>
      <w:r w:rsidRPr="00D307CB">
        <w:rPr>
          <w:rFonts w:hint="cs"/>
          <w:rtl/>
        </w:rPr>
        <w:t xml:space="preserve"> להטיל עליהם סנקציות.</w:t>
      </w:r>
    </w:p>
    <w:p w14:paraId="1F88C59F" w14:textId="77777777" w:rsidR="00F053B3" w:rsidRPr="00D307CB" w:rsidRDefault="00F053B3" w:rsidP="00314BDF">
      <w:pPr>
        <w:pStyle w:val="Hesber"/>
        <w:rPr>
          <w:rtl/>
        </w:rPr>
      </w:pPr>
    </w:p>
    <w:p w14:paraId="730EA60F" w14:textId="77777777" w:rsidR="00F60679" w:rsidRPr="00D73212" w:rsidRDefault="00F60679" w:rsidP="00F60679">
      <w:pPr>
        <w:pStyle w:val="Hesber"/>
        <w:rPr>
          <w:color w:val="auto"/>
          <w:rtl/>
          <w:lang w:eastAsia="en-US"/>
        </w:rPr>
      </w:pPr>
      <w:r w:rsidRPr="00D73212">
        <w:rPr>
          <w:color w:val="auto"/>
          <w:rtl/>
          <w:lang w:eastAsia="en-US"/>
        </w:rPr>
        <w:t>---------------------------------</w:t>
      </w:r>
    </w:p>
    <w:p w14:paraId="14058736" w14:textId="77777777" w:rsidR="00F60679" w:rsidRPr="00D73212" w:rsidRDefault="00F60679" w:rsidP="00F60679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הוגשה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ליו</w:t>
      </w:r>
      <w:r w:rsidRPr="00D73212">
        <w:rPr>
          <w:color w:val="auto"/>
          <w:rtl/>
          <w:lang w:eastAsia="en-US"/>
        </w:rPr>
        <w:t>"</w:t>
      </w:r>
      <w:r w:rsidRPr="00D73212">
        <w:rPr>
          <w:rFonts w:hint="cs"/>
          <w:color w:val="auto"/>
          <w:rtl/>
          <w:lang w:eastAsia="en-US"/>
        </w:rPr>
        <w:t>ר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והסגנים</w:t>
      </w:r>
    </w:p>
    <w:p w14:paraId="3320DC8A" w14:textId="77777777" w:rsidR="00F60679" w:rsidRPr="00D73212" w:rsidRDefault="00F60679" w:rsidP="00F60679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והונחה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על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שולחן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ביום</w:t>
      </w:r>
    </w:p>
    <w:p w14:paraId="0EB95D46" w14:textId="77777777" w:rsidR="00F60679" w:rsidRPr="00317312" w:rsidRDefault="00F60679" w:rsidP="00F60679">
      <w:pPr>
        <w:pStyle w:val="Hesber"/>
      </w:pPr>
      <w:r>
        <w:rPr>
          <w:rFonts w:hint="cs"/>
          <w:color w:val="auto"/>
          <w:rtl/>
          <w:lang w:eastAsia="en-US"/>
        </w:rPr>
        <w:t>כ"ד באדר</w:t>
      </w:r>
      <w:r w:rsidRPr="00D73212">
        <w:rPr>
          <w:color w:val="auto"/>
          <w:rtl/>
          <w:lang w:eastAsia="en-US"/>
        </w:rPr>
        <w:t xml:space="preserve"> </w:t>
      </w:r>
      <w:proofErr w:type="spellStart"/>
      <w:r w:rsidRPr="00D73212">
        <w:rPr>
          <w:rFonts w:hint="cs"/>
          <w:color w:val="auto"/>
          <w:rtl/>
          <w:lang w:eastAsia="en-US"/>
        </w:rPr>
        <w:t>התשע</w:t>
      </w:r>
      <w:r w:rsidRPr="00D73212">
        <w:rPr>
          <w:color w:val="auto"/>
          <w:rtl/>
          <w:lang w:eastAsia="en-US"/>
        </w:rPr>
        <w:t>"</w:t>
      </w:r>
      <w:r>
        <w:rPr>
          <w:rFonts w:hint="cs"/>
          <w:color w:val="auto"/>
          <w:rtl/>
          <w:lang w:eastAsia="en-US"/>
        </w:rPr>
        <w:t>ז</w:t>
      </w:r>
      <w:proofErr w:type="spellEnd"/>
      <w:r w:rsidRPr="00D73212">
        <w:rPr>
          <w:color w:val="auto"/>
          <w:rtl/>
          <w:lang w:eastAsia="en-US"/>
        </w:rPr>
        <w:t xml:space="preserve"> – </w:t>
      </w:r>
      <w:r>
        <w:rPr>
          <w:rFonts w:hint="cs"/>
          <w:color w:val="auto"/>
          <w:rtl/>
          <w:lang w:eastAsia="en-US"/>
        </w:rPr>
        <w:t>22.3</w:t>
      </w:r>
      <w:r w:rsidRPr="00D73212">
        <w:rPr>
          <w:color w:val="auto"/>
          <w:rtl/>
          <w:lang w:eastAsia="en-US"/>
        </w:rPr>
        <w:t>.</w:t>
      </w:r>
      <w:r>
        <w:rPr>
          <w:rFonts w:hint="cs"/>
          <w:color w:val="auto"/>
          <w:rtl/>
          <w:lang w:eastAsia="en-US"/>
        </w:rPr>
        <w:t>17</w:t>
      </w:r>
    </w:p>
    <w:p w14:paraId="783BF050" w14:textId="77777777" w:rsidR="00F60679" w:rsidRPr="00B15BBC" w:rsidRDefault="00F60679" w:rsidP="00F60679">
      <w:pPr>
        <w:spacing w:before="0" w:line="36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</w:p>
    <w:p w14:paraId="7F6961CB" w14:textId="77777777" w:rsidR="00E13C27" w:rsidRPr="00F053B3" w:rsidRDefault="00E13C27" w:rsidP="00F053B3">
      <w:pPr>
        <w:rPr>
          <w:rtl/>
        </w:rPr>
      </w:pPr>
    </w:p>
    <w:sectPr w:rsidR="00E13C27" w:rsidRPr="00F053B3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43AFDC" w14:textId="77777777" w:rsidR="0072492B" w:rsidRDefault="0072492B">
      <w:r>
        <w:separator/>
      </w:r>
    </w:p>
  </w:endnote>
  <w:endnote w:type="continuationSeparator" w:id="0">
    <w:p w14:paraId="7BE0714D" w14:textId="77777777" w:rsidR="0072492B" w:rsidRDefault="0072492B">
      <w:r>
        <w:continuationSeparator/>
      </w:r>
    </w:p>
  </w:endnote>
  <w:endnote w:type="continuationNotice" w:id="1">
    <w:p w14:paraId="5C507468" w14:textId="77777777" w:rsidR="0072492B" w:rsidRDefault="0072492B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14:paraId="7F6961D6" w14:textId="77777777" w:rsidR="002C3041" w:rsidRDefault="002C304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634039">
      <w:rPr>
        <w:rStyle w:val="ab"/>
        <w:noProof/>
        <w:rtl/>
      </w:rPr>
      <w:t>2</w:t>
    </w:r>
    <w:r>
      <w:rPr>
        <w:rStyle w:val="ab"/>
        <w:rtl/>
      </w:rPr>
      <w:fldChar w:fldCharType="end"/>
    </w:r>
  </w:p>
  <w:p w14:paraId="7F6961D8" w14:textId="77777777" w:rsidR="002C3041" w:rsidRDefault="002C304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7DE302" w14:textId="77777777" w:rsidR="0072492B" w:rsidRDefault="0072492B">
      <w:r>
        <w:separator/>
      </w:r>
    </w:p>
  </w:footnote>
  <w:footnote w:type="continuationSeparator" w:id="0">
    <w:p w14:paraId="1E96A2DB" w14:textId="77777777" w:rsidR="0072492B" w:rsidRDefault="0072492B">
      <w:r>
        <w:continuationSeparator/>
      </w:r>
    </w:p>
  </w:footnote>
  <w:footnote w:type="continuationNotice" w:id="1">
    <w:p w14:paraId="57CF646D" w14:textId="77777777" w:rsidR="0072492B" w:rsidRDefault="0072492B"/>
  </w:footnote>
  <w:footnote w:id="2">
    <w:p w14:paraId="556BC612" w14:textId="77777777" w:rsidR="00B1444A" w:rsidRDefault="00B1444A" w:rsidP="00B1444A">
      <w:pPr>
        <w:pStyle w:val="a4"/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התשמ"ב</w:t>
      </w:r>
      <w:proofErr w:type="spellEnd"/>
      <w:r>
        <w:rPr>
          <w:rFonts w:hint="cs"/>
          <w:rtl/>
        </w:rPr>
        <w:t>, עמ' 218.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63A3E"/>
    <w:rsid w:val="00072CAC"/>
    <w:rsid w:val="0007681A"/>
    <w:rsid w:val="0009628A"/>
    <w:rsid w:val="000A542E"/>
    <w:rsid w:val="00102B6B"/>
    <w:rsid w:val="001052D4"/>
    <w:rsid w:val="0010644B"/>
    <w:rsid w:val="001207F8"/>
    <w:rsid w:val="00121924"/>
    <w:rsid w:val="001279A8"/>
    <w:rsid w:val="0014195F"/>
    <w:rsid w:val="00152609"/>
    <w:rsid w:val="00153E1B"/>
    <w:rsid w:val="001A0623"/>
    <w:rsid w:val="001C23B0"/>
    <w:rsid w:val="001D7AAF"/>
    <w:rsid w:val="00203A7F"/>
    <w:rsid w:val="0021633A"/>
    <w:rsid w:val="002200A1"/>
    <w:rsid w:val="00221D27"/>
    <w:rsid w:val="00231D2B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A487D"/>
    <w:rsid w:val="002A74D2"/>
    <w:rsid w:val="002C2E29"/>
    <w:rsid w:val="002C3041"/>
    <w:rsid w:val="002D1EE3"/>
    <w:rsid w:val="002F1D80"/>
    <w:rsid w:val="00314BDF"/>
    <w:rsid w:val="003232A2"/>
    <w:rsid w:val="00325C14"/>
    <w:rsid w:val="003455E8"/>
    <w:rsid w:val="0036422C"/>
    <w:rsid w:val="003710F6"/>
    <w:rsid w:val="00386E88"/>
    <w:rsid w:val="00396585"/>
    <w:rsid w:val="003D6E38"/>
    <w:rsid w:val="003D74A0"/>
    <w:rsid w:val="004033D8"/>
    <w:rsid w:val="004073F0"/>
    <w:rsid w:val="00412A7D"/>
    <w:rsid w:val="00416B4D"/>
    <w:rsid w:val="00417CFC"/>
    <w:rsid w:val="004A06DC"/>
    <w:rsid w:val="004B24ED"/>
    <w:rsid w:val="004B6625"/>
    <w:rsid w:val="004D2D82"/>
    <w:rsid w:val="004D3876"/>
    <w:rsid w:val="004E4552"/>
    <w:rsid w:val="004E6CDF"/>
    <w:rsid w:val="00553C9D"/>
    <w:rsid w:val="00561EC6"/>
    <w:rsid w:val="00562A66"/>
    <w:rsid w:val="00597780"/>
    <w:rsid w:val="005B064E"/>
    <w:rsid w:val="005D51AE"/>
    <w:rsid w:val="0062674B"/>
    <w:rsid w:val="00634039"/>
    <w:rsid w:val="006363B2"/>
    <w:rsid w:val="00644940"/>
    <w:rsid w:val="00645CD1"/>
    <w:rsid w:val="006818A9"/>
    <w:rsid w:val="006A0B75"/>
    <w:rsid w:val="006A2D81"/>
    <w:rsid w:val="006C1D0D"/>
    <w:rsid w:val="0070601E"/>
    <w:rsid w:val="00712C72"/>
    <w:rsid w:val="0072492B"/>
    <w:rsid w:val="00735FE9"/>
    <w:rsid w:val="00763CAA"/>
    <w:rsid w:val="00765F66"/>
    <w:rsid w:val="0078664F"/>
    <w:rsid w:val="007979B4"/>
    <w:rsid w:val="007C32BB"/>
    <w:rsid w:val="007C3FA6"/>
    <w:rsid w:val="007D1A71"/>
    <w:rsid w:val="007D585A"/>
    <w:rsid w:val="007D5A12"/>
    <w:rsid w:val="007E59F9"/>
    <w:rsid w:val="00806118"/>
    <w:rsid w:val="00810BCD"/>
    <w:rsid w:val="00812C98"/>
    <w:rsid w:val="00814D92"/>
    <w:rsid w:val="0083181D"/>
    <w:rsid w:val="00843EB2"/>
    <w:rsid w:val="00865572"/>
    <w:rsid w:val="00874BBC"/>
    <w:rsid w:val="00892135"/>
    <w:rsid w:val="00895449"/>
    <w:rsid w:val="00897879"/>
    <w:rsid w:val="008A6870"/>
    <w:rsid w:val="008C152A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6779F"/>
    <w:rsid w:val="00982412"/>
    <w:rsid w:val="00983A8D"/>
    <w:rsid w:val="0099668B"/>
    <w:rsid w:val="009A0DB8"/>
    <w:rsid w:val="009A7257"/>
    <w:rsid w:val="009D6E0A"/>
    <w:rsid w:val="009E1E33"/>
    <w:rsid w:val="00A14672"/>
    <w:rsid w:val="00A26BD6"/>
    <w:rsid w:val="00A443CF"/>
    <w:rsid w:val="00A6611D"/>
    <w:rsid w:val="00A82CB7"/>
    <w:rsid w:val="00A942C1"/>
    <w:rsid w:val="00AA2F03"/>
    <w:rsid w:val="00AC36F7"/>
    <w:rsid w:val="00AC63A4"/>
    <w:rsid w:val="00AD239E"/>
    <w:rsid w:val="00AE67CC"/>
    <w:rsid w:val="00B10265"/>
    <w:rsid w:val="00B1444A"/>
    <w:rsid w:val="00B144A8"/>
    <w:rsid w:val="00B16A99"/>
    <w:rsid w:val="00B21211"/>
    <w:rsid w:val="00B35784"/>
    <w:rsid w:val="00B72CEA"/>
    <w:rsid w:val="00B733A7"/>
    <w:rsid w:val="00B75C91"/>
    <w:rsid w:val="00B975AD"/>
    <w:rsid w:val="00BC45FB"/>
    <w:rsid w:val="00BF148D"/>
    <w:rsid w:val="00C23B1A"/>
    <w:rsid w:val="00C310EB"/>
    <w:rsid w:val="00C9176A"/>
    <w:rsid w:val="00CF1AA2"/>
    <w:rsid w:val="00D17774"/>
    <w:rsid w:val="00D25369"/>
    <w:rsid w:val="00D307CB"/>
    <w:rsid w:val="00D63620"/>
    <w:rsid w:val="00D64255"/>
    <w:rsid w:val="00D8410D"/>
    <w:rsid w:val="00D867D7"/>
    <w:rsid w:val="00DB41BA"/>
    <w:rsid w:val="00DB7060"/>
    <w:rsid w:val="00DE3153"/>
    <w:rsid w:val="00DF5494"/>
    <w:rsid w:val="00DF6E9D"/>
    <w:rsid w:val="00E06736"/>
    <w:rsid w:val="00E13C27"/>
    <w:rsid w:val="00E33BBD"/>
    <w:rsid w:val="00E374F2"/>
    <w:rsid w:val="00E45103"/>
    <w:rsid w:val="00E55A60"/>
    <w:rsid w:val="00E62778"/>
    <w:rsid w:val="00E63D38"/>
    <w:rsid w:val="00E665B9"/>
    <w:rsid w:val="00E90737"/>
    <w:rsid w:val="00E933F6"/>
    <w:rsid w:val="00EA01E6"/>
    <w:rsid w:val="00EA3DE8"/>
    <w:rsid w:val="00EA758F"/>
    <w:rsid w:val="00ED4A6F"/>
    <w:rsid w:val="00EF3A3A"/>
    <w:rsid w:val="00F053B3"/>
    <w:rsid w:val="00F12674"/>
    <w:rsid w:val="00F60679"/>
    <w:rsid w:val="00F628D6"/>
    <w:rsid w:val="00F67051"/>
    <w:rsid w:val="00F86A1E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E7CC2A52-7C30-40EF-A06A-B08F5CE6E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2CEA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72CEA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72CEA"/>
    <w:rPr>
      <w:sz w:val="36"/>
      <w:szCs w:val="52"/>
    </w:rPr>
  </w:style>
  <w:style w:type="paragraph" w:customStyle="1" w:styleId="Cover3-Haknesset">
    <w:name w:val="Cover 3-Haknesset"/>
    <w:basedOn w:val="Cover1-Reshumot"/>
    <w:rsid w:val="00B72CEA"/>
    <w:rPr>
      <w:b/>
      <w:bCs/>
      <w:spacing w:val="60"/>
    </w:rPr>
  </w:style>
  <w:style w:type="paragraph" w:customStyle="1" w:styleId="Cover4-Date">
    <w:name w:val="Cover 4-Date"/>
    <w:basedOn w:val="a"/>
    <w:rsid w:val="00B72CEA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72CEA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72CEA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72CEA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72CEA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72CEA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72CEA"/>
  </w:style>
  <w:style w:type="paragraph" w:customStyle="1" w:styleId="TableBlock">
    <w:name w:val="Table Block"/>
    <w:basedOn w:val="TableText"/>
    <w:rsid w:val="00B72CEA"/>
    <w:pPr>
      <w:ind w:right="0"/>
      <w:jc w:val="both"/>
    </w:pPr>
  </w:style>
  <w:style w:type="paragraph" w:customStyle="1" w:styleId="TableHead">
    <w:name w:val="Table Head"/>
    <w:basedOn w:val="TableText"/>
    <w:rsid w:val="00B72CEA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72CEA"/>
  </w:style>
  <w:style w:type="paragraph" w:customStyle="1" w:styleId="Hesber">
    <w:name w:val="Hesber"/>
    <w:basedOn w:val="a"/>
    <w:rsid w:val="00B72CEA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semiHidden/>
    <w:rsid w:val="00B72CEA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aliases w:val="Footnote Reference"/>
    <w:basedOn w:val="a0"/>
    <w:semiHidden/>
    <w:rsid w:val="00B72CEA"/>
    <w:rPr>
      <w:vertAlign w:val="superscript"/>
    </w:rPr>
  </w:style>
  <w:style w:type="paragraph" w:customStyle="1" w:styleId="HesberHeading">
    <w:name w:val="Hesber Heading"/>
    <w:basedOn w:val="Hesber"/>
    <w:rsid w:val="00B72CEA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72CEA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72CEA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B72CEA"/>
    <w:rPr>
      <w:vertAlign w:val="superscript"/>
    </w:rPr>
  </w:style>
  <w:style w:type="paragraph" w:customStyle="1" w:styleId="TableBlockOutdent">
    <w:name w:val="Table BlockOutdent"/>
    <w:basedOn w:val="TableBlock"/>
    <w:rsid w:val="00B72CEA"/>
    <w:pPr>
      <w:ind w:left="624" w:hanging="624"/>
    </w:pPr>
  </w:style>
  <w:style w:type="paragraph" w:styleId="a8">
    <w:name w:val="header"/>
    <w:basedOn w:val="a"/>
    <w:rsid w:val="00B72CEA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B72CEA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72CEA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72CEA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B72CEA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paragraph" w:customStyle="1" w:styleId="m-6063218046230794503gmail-hesber">
    <w:name w:val="m_-6063218046230794503gmail-hesber"/>
    <w:basedOn w:val="a"/>
    <w:rsid w:val="00D25369"/>
    <w:pPr>
      <w:widowControl/>
      <w:autoSpaceDE/>
      <w:autoSpaceDN/>
      <w:bidi w:val="0"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rFonts w:ascii="Times New Roman" w:eastAsia="Times New Roman" w:hAnsi="Times New Roman" w:cs="Times New Roman"/>
      <w:color w:val="auto"/>
      <w:spacing w:val="0"/>
      <w:sz w:val="24"/>
      <w:szCs w:val="24"/>
      <w:lang w:eastAsia="en-US"/>
    </w:rPr>
  </w:style>
  <w:style w:type="character" w:styleId="ae">
    <w:name w:val="annotation reference"/>
    <w:basedOn w:val="a0"/>
    <w:semiHidden/>
    <w:unhideWhenUsed/>
    <w:rsid w:val="00F053B3"/>
    <w:rPr>
      <w:sz w:val="16"/>
      <w:szCs w:val="16"/>
    </w:rPr>
  </w:style>
  <w:style w:type="paragraph" w:styleId="af">
    <w:name w:val="annotation text"/>
    <w:basedOn w:val="a"/>
    <w:link w:val="af0"/>
    <w:semiHidden/>
    <w:unhideWhenUsed/>
    <w:rsid w:val="00F053B3"/>
    <w:pPr>
      <w:spacing w:line="240" w:lineRule="auto"/>
    </w:pPr>
    <w:rPr>
      <w:sz w:val="20"/>
      <w:szCs w:val="20"/>
    </w:rPr>
  </w:style>
  <w:style w:type="character" w:customStyle="1" w:styleId="af0">
    <w:name w:val="טקסט הערה תו"/>
    <w:basedOn w:val="a0"/>
    <w:link w:val="af"/>
    <w:semiHidden/>
    <w:rsid w:val="00F053B3"/>
    <w:rPr>
      <w:rFonts w:ascii="Hadasa Roso SL" w:hAnsi="Hadasa Roso SL" w:cs="Hadasa Roso SL"/>
      <w:color w:val="000000"/>
      <w:spacing w:val="1"/>
      <w:lang w:eastAsia="ja-JP"/>
    </w:rPr>
  </w:style>
  <w:style w:type="paragraph" w:styleId="af1">
    <w:name w:val="Revision"/>
    <w:hidden/>
    <w:uiPriority w:val="99"/>
    <w:semiHidden/>
    <w:rsid w:val="00E933F6"/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customStyle="1" w:styleId="a5">
    <w:name w:val="טקסט הערת שוליים תו"/>
    <w:basedOn w:val="a0"/>
    <w:link w:val="a4"/>
    <w:semiHidden/>
    <w:rsid w:val="00B1444A"/>
    <w:rPr>
      <w:rFonts w:ascii="Arial" w:eastAsia="Arial Unicode MS" w:hAnsi="Arial" w:cs="David"/>
      <w:snapToGrid w:val="0"/>
      <w:color w:val="000000"/>
      <w:sz w:val="1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666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42AFABE-285B-4624-8A18-D7FD18D3BAE3}"/>
</file>

<file path=customXml/itemProps3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8F82BDE-B435-4871-9B53-4135284B88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440</Words>
  <Characters>2202</Characters>
  <Application>Microsoft Office Word</Application>
  <DocSecurity>0</DocSecurity>
  <Lines>18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2637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כוכי שבתאי</cp:lastModifiedBy>
  <cp:revision>2</cp:revision>
  <cp:lastPrinted>2017-03-20T08:33:00Z</cp:lastPrinted>
  <dcterms:created xsi:type="dcterms:W3CDTF">2017-12-28T07:31:00Z</dcterms:created>
  <dcterms:modified xsi:type="dcterms:W3CDTF">2017-12-28T07:31:00Z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2025707</vt:r8>
  </property>
</Properties>
</file>