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2012705</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משה גפני</w:t>
      </w:r>
      <w:r>
        <w:br/>
      </w:r>
      <w:r>
        <w:rPr>
          <w:rFonts w:hint="cs"/>
          <w:b/>
          <w:bCs/>
          <w:rtl/>
        </w:rPr>
        <w:t xml:space="preserve"> </w:t>
      </w:r>
      <w:r>
        <w:tab/>
      </w:r>
      <w:r>
        <w:tab/>
      </w:r>
      <w:r>
        <w:tab/>
      </w:r>
      <w:r>
        <w:tab/>
      </w:r>
      <w:r>
        <w:rPr>
          <w:rFonts w:hint="cs"/>
          <w:b/>
          <w:bCs/>
          <w:rtl/>
        </w:rPr>
        <w:t>דוד ביטן</w:t>
      </w:r>
      <w:r>
        <w:br/>
      </w:r>
      <w:r>
        <w:rPr>
          <w:rFonts w:hint="cs"/>
          <w:b/>
          <w:bCs/>
          <w:rtl/>
        </w:rPr>
        <w:t xml:space="preserve"> </w:t>
      </w:r>
      <w:r>
        <w:tab/>
      </w:r>
      <w:r>
        <w:tab/>
      </w:r>
      <w:r>
        <w:tab/>
      </w:r>
      <w:r>
        <w:tab/>
      </w:r>
      <w:r>
        <w:rPr>
          <w:rFonts w:hint="cs"/>
          <w:b/>
          <w:bCs/>
          <w:rtl/>
        </w:rPr>
        <w:t>רועי פולקמן</w:t>
      </w:r>
      <w:r>
        <w:br/>
      </w:r>
      <w:r>
        <w:rPr>
          <w:rFonts w:hint="cs"/>
          <w:b/>
          <w:bCs/>
          <w:rtl/>
        </w:rPr>
        <w:t xml:space="preserve"> </w:t>
      </w:r>
      <w:r>
        <w:tab/>
      </w:r>
      <w:r>
        <w:tab/>
      </w:r>
      <w:r>
        <w:tab/>
      </w:r>
      <w:r>
        <w:tab/>
      </w:r>
      <w:r>
        <w:rPr>
          <w:rFonts w:hint="cs"/>
          <w:b/>
          <w:bCs/>
          <w:rtl/>
        </w:rPr>
        <w:t>רוברט אילטוב</w:t>
      </w:r>
      <w:r>
        <w:br/>
      </w:r>
      <w:r>
        <w:rPr>
          <w:rFonts w:hint="cs"/>
          <w:b/>
          <w:bCs/>
          <w:rtl/>
        </w:rPr>
        <w:t xml:space="preserve"> </w:t>
      </w:r>
      <w:r>
        <w:tab/>
      </w:r>
      <w:r>
        <w:tab/>
      </w:r>
      <w:r>
        <w:tab/>
      </w:r>
      <w:r>
        <w:tab/>
      </w:r>
      <w:r>
        <w:rPr>
          <w:rFonts w:hint="cs"/>
          <w:b/>
          <w:bCs/>
          <w:rtl/>
        </w:rPr>
        <w:t>מיקי לוי</w:t>
      </w:r>
      <w:r>
        <w:br/>
      </w:r>
      <w:r>
        <w:rPr>
          <w:rFonts w:hint="cs"/>
          <w:b/>
          <w:bCs/>
          <w:rtl/>
        </w:rPr>
        <w:t xml:space="preserve"> </w:t>
      </w:r>
      <w:r>
        <w:tab/>
      </w:r>
      <w:r>
        <w:tab/>
      </w:r>
      <w:r>
        <w:tab/>
      </w:r>
      <w:r>
        <w:tab/>
      </w:r>
      <w:r>
        <w:rPr>
          <w:rFonts w:hint="cs"/>
          <w:b/>
          <w:bCs/>
          <w:rtl/>
        </w:rPr>
        <w:t>יואב בן צור</w:t>
      </w:r>
      <w:r>
        <w:br/>
      </w:r>
      <w:r>
        <w:rPr>
          <w:rFonts w:hint="cs"/>
          <w:b/>
          <w:bCs/>
          <w:rtl/>
        </w:rPr>
        <w:t xml:space="preserve"> </w:t>
      </w:r>
      <w:r>
        <w:tab/>
      </w:r>
      <w:r>
        <w:tab/>
      </w:r>
      <w:r>
        <w:tab/>
      </w:r>
      <w:r>
        <w:tab/>
      </w:r>
      <w:r>
        <w:rPr>
          <w:rFonts w:hint="cs"/>
          <w:b/>
          <w:bCs/>
          <w:rtl/>
        </w:rPr>
        <w:t>יואל חסון</w:t>
      </w:r>
      <w:r>
        <w:br/>
      </w:r>
      <w:r>
        <w:rPr>
          <w:rFonts w:hint="cs"/>
          <w:b/>
          <w:bCs/>
          <w:rtl/>
        </w:rPr>
        <w:t xml:space="preserve"> </w:t>
      </w:r>
      <w:r>
        <w:tab/>
      </w:r>
      <w:r>
        <w:tab/>
      </w:r>
      <w:r>
        <w:tab/>
      </w:r>
      <w:r>
        <w:tab/>
      </w:r>
      <w:r>
        <w:rPr>
          <w:rFonts w:hint="cs"/>
          <w:b/>
          <w:bCs/>
          <w:rtl/>
        </w:rPr>
        <w:t>שולי מועלם-רפאלי</w:t>
      </w:r>
      <w:r>
        <w:br/>
      </w:r>
      <w:r>
        <w:rPr>
          <w:rFonts w:hint="cs"/>
          <w:b/>
          <w:bCs/>
          <w:rtl/>
        </w:rPr>
        <w:t xml:space="preserve"> </w:t>
      </w:r>
      <w:r>
        <w:tab/>
      </w:r>
      <w:r>
        <w:tab/>
      </w:r>
      <w:r>
        <w:tab/>
      </w:r>
      <w:r>
        <w:tab/>
      </w:r>
      <w:r>
        <w:rPr>
          <w:rFonts w:hint="cs"/>
          <w:b/>
          <w:bCs/>
          <w:rtl/>
        </w:rPr>
        <w:t>עבד אל חכים חאג' יחיא</w:t>
      </w:r>
      <w:bookmarkEnd w:id="3"/>
    </w:p>
    <w:p w14:paraId="7F6961AA" w14:textId="39F9D96B" w:rsidR="00E13C27" w:rsidRPr="00CF1AA2" w:rsidRDefault="007D585A" w:rsidP="0036422C">
      <w:pPr>
        <w:pStyle w:val="David"/>
        <w:spacing w:before="0" w:line="360" w:lineRule="auto"/>
        <w:ind w:left="3544"/>
        <w:rPr>
          <w:b/>
          <w:bCs/>
          <w:sz w:val="16"/>
          <w:szCs w:val="16"/>
          <w:rtl/>
        </w:rPr>
      </w:pPr>
      <w:bookmarkStart w:id="4" w:name="LGS_Join_List"/>
      <w:r>
        <w:rPr>
          <w:rtl/>
        </w:rPr>
        <w:t xml:space="preserve"> </w:t>
      </w:r>
      <w:bookmarkEnd w:id="4"/>
      <w:r w:rsidR="002200A1" w:rsidRPr="00CF1AA2">
        <w:rPr>
          <w:rFonts w:hint="cs"/>
          <w:rtl/>
        </w:rPr>
        <w:tab/>
      </w:r>
      <w:bookmarkStart w:id="5" w:name="LGS_PM_NamesJoin"/>
      <w:r>
        <w:rPr>
          <w:rFonts w:hint="cs"/>
          <w:rtl/>
        </w:rPr>
        <w:t xml:space="preserve"> </w:t>
      </w:r>
      <w:bookmarkEnd w:id="5"/>
    </w:p>
    <w:p w14:paraId="7F6961AC" w14:textId="23F74D1A" w:rsidR="00E13C27" w:rsidRPr="006F57B5" w:rsidRDefault="00266D86" w:rsidP="006F57B5">
      <w:pPr>
        <w:pStyle w:val="David"/>
        <w:spacing w:before="0" w:line="360" w:lineRule="auto"/>
        <w:ind w:left="3544"/>
        <w:rPr>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r w:rsidR="006F57B5">
        <w:rPr>
          <w:rFonts w:hint="cs"/>
          <w:rtl/>
        </w:rPr>
        <w:t>פ/3846/20</w:t>
      </w:r>
    </w:p>
    <w:p w14:paraId="7F6961AD" w14:textId="45625E06" w:rsidR="00E13C27" w:rsidRPr="00F67051" w:rsidRDefault="00A443CF" w:rsidP="00F92294">
      <w:pPr>
        <w:pStyle w:val="HeadHatzaotHok"/>
        <w:rPr>
          <w:rtl/>
        </w:rPr>
      </w:pPr>
      <w:bookmarkStart w:id="6" w:name="LGS_Subject"/>
      <w:r>
        <w:rPr>
          <w:rFonts w:hint="cs"/>
          <w:rtl/>
        </w:rPr>
        <w:t xml:space="preserve">הצעת חוק הבחירות לכנסת (תיקון </w:t>
      </w:r>
      <w:r w:rsidR="00F92294">
        <w:rPr>
          <w:rFonts w:hint="eastAsia"/>
          <w:rtl/>
        </w:rPr>
        <w:t>–</w:t>
      </w:r>
      <w:r>
        <w:rPr>
          <w:rFonts w:hint="cs"/>
          <w:rtl/>
        </w:rPr>
        <w:t xml:space="preserve"> החלפות בוועדות קלפי בין אזורי בחירות), התשע"ז</w:t>
      </w:r>
      <w:r w:rsidR="00F92294">
        <w:rPr>
          <w:rFonts w:hint="eastAsia"/>
          <w:rtl/>
        </w:rPr>
        <w:t>–</w:t>
      </w:r>
      <w:r>
        <w:rPr>
          <w:rFonts w:hint="cs"/>
          <w:rtl/>
        </w:rPr>
        <w:t>2017</w:t>
      </w:r>
      <w:bookmarkEnd w:id="6"/>
    </w:p>
    <w:p w14:paraId="7F6961AE" w14:textId="77777777" w:rsidR="00E13C27" w:rsidRDefault="00E13C27" w:rsidP="0021633A">
      <w:pPr>
        <w:pStyle w:val="HeadDivreiHesber"/>
        <w:spacing w:before="0" w:after="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2F1D80" w14:paraId="035EEF3D" w14:textId="77777777" w:rsidTr="002C3041">
        <w:trPr>
          <w:cantSplit/>
          <w:trHeight w:val="60"/>
        </w:trPr>
        <w:tc>
          <w:tcPr>
            <w:tcW w:w="1871" w:type="dxa"/>
          </w:tcPr>
          <w:p w14:paraId="3863FF98" w14:textId="041F2C48" w:rsidR="002F1D80" w:rsidRDefault="00D7069C" w:rsidP="002C3041">
            <w:pPr>
              <w:pStyle w:val="TableSideHeading"/>
              <w:keepLines w:val="0"/>
            </w:pPr>
            <w:r>
              <w:rPr>
                <w:rFonts w:hint="cs"/>
                <w:rtl/>
              </w:rPr>
              <w:t>תיקון סעיף 21</w:t>
            </w:r>
          </w:p>
        </w:tc>
        <w:tc>
          <w:tcPr>
            <w:tcW w:w="624" w:type="dxa"/>
          </w:tcPr>
          <w:p w14:paraId="6F513EF6" w14:textId="1A6189B4" w:rsidR="002F1D80" w:rsidRDefault="00D7069C" w:rsidP="002C3041">
            <w:pPr>
              <w:pStyle w:val="TableText"/>
              <w:keepLines w:val="0"/>
            </w:pPr>
            <w:r>
              <w:rPr>
                <w:rFonts w:hint="cs"/>
                <w:rtl/>
              </w:rPr>
              <w:t>1.</w:t>
            </w:r>
          </w:p>
        </w:tc>
        <w:tc>
          <w:tcPr>
            <w:tcW w:w="7146" w:type="dxa"/>
            <w:gridSpan w:val="3"/>
          </w:tcPr>
          <w:p w14:paraId="1AE94DEB" w14:textId="1170C426" w:rsidR="002F1D80" w:rsidRPr="002719EC" w:rsidRDefault="00D7069C" w:rsidP="002719EC">
            <w:pPr>
              <w:pStyle w:val="TableBlock"/>
            </w:pPr>
            <w:r w:rsidRPr="002719EC">
              <w:rPr>
                <w:rFonts w:hint="cs"/>
                <w:rtl/>
              </w:rPr>
              <w:t>בחוק הבחירות לכנסת [נוסח משולב], התשכ"ט</w:t>
            </w:r>
            <w:r w:rsidRPr="002719EC">
              <w:rPr>
                <w:rFonts w:hint="eastAsia"/>
                <w:rtl/>
              </w:rPr>
              <w:t>–</w:t>
            </w:r>
            <w:r w:rsidRPr="002719EC">
              <w:rPr>
                <w:rFonts w:hint="cs"/>
                <w:rtl/>
              </w:rPr>
              <w:t>1969</w:t>
            </w:r>
            <w:r w:rsidRPr="009B7D79">
              <w:rPr>
                <w:szCs w:val="20"/>
                <w:rtl/>
              </w:rPr>
              <w:footnoteReference w:id="2"/>
            </w:r>
            <w:r w:rsidRPr="002719EC">
              <w:rPr>
                <w:rFonts w:hint="cs"/>
                <w:rtl/>
              </w:rPr>
              <w:t>, בסעיף 21</w:t>
            </w:r>
            <w:r w:rsidR="0053690C" w:rsidRPr="002719EC">
              <w:rPr>
                <w:rFonts w:hint="cs"/>
                <w:rtl/>
              </w:rPr>
              <w:t xml:space="preserve"> </w:t>
            </w:r>
            <w:r w:rsidR="0053690C" w:rsidRPr="002719EC">
              <w:rPr>
                <w:rtl/>
              </w:rPr>
              <w:t>–</w:t>
            </w:r>
          </w:p>
        </w:tc>
      </w:tr>
      <w:tr w:rsidR="002F1D80" w14:paraId="3D9B61D1" w14:textId="77777777" w:rsidTr="002C3041">
        <w:trPr>
          <w:cantSplit/>
          <w:trHeight w:val="60"/>
        </w:trPr>
        <w:tc>
          <w:tcPr>
            <w:tcW w:w="1871" w:type="dxa"/>
          </w:tcPr>
          <w:p w14:paraId="6C0CB9D8" w14:textId="77777777" w:rsidR="002F1D80" w:rsidRDefault="002F1D80" w:rsidP="002C3041">
            <w:pPr>
              <w:pStyle w:val="TableSideHeading"/>
              <w:keepLines w:val="0"/>
            </w:pPr>
          </w:p>
        </w:tc>
        <w:tc>
          <w:tcPr>
            <w:tcW w:w="624" w:type="dxa"/>
          </w:tcPr>
          <w:p w14:paraId="3F4286A2" w14:textId="77777777" w:rsidR="002F1D80" w:rsidRDefault="002F1D80" w:rsidP="002C3041">
            <w:pPr>
              <w:pStyle w:val="TableText"/>
              <w:keepLines w:val="0"/>
            </w:pPr>
          </w:p>
        </w:tc>
        <w:tc>
          <w:tcPr>
            <w:tcW w:w="7146" w:type="dxa"/>
            <w:gridSpan w:val="3"/>
          </w:tcPr>
          <w:p w14:paraId="7633D5BB" w14:textId="610E3FE2" w:rsidR="002F1D80" w:rsidRPr="002719EC" w:rsidRDefault="0053690C" w:rsidP="002719EC">
            <w:pPr>
              <w:pStyle w:val="TableBlock"/>
            </w:pPr>
            <w:r w:rsidRPr="002719EC">
              <w:rPr>
                <w:rFonts w:hint="cs"/>
                <w:rtl/>
              </w:rPr>
              <w:t>(1)</w:t>
            </w:r>
            <w:r w:rsidRPr="002719EC">
              <w:rPr>
                <w:rtl/>
              </w:rPr>
              <w:tab/>
            </w:r>
            <w:r w:rsidRPr="002719EC">
              <w:rPr>
                <w:rFonts w:hint="cs"/>
                <w:rtl/>
              </w:rPr>
              <w:t>בסעיף קטן (א), האמור בו יסומן כפסקה "(1)", ואחריו יבוא:</w:t>
            </w:r>
          </w:p>
        </w:tc>
      </w:tr>
      <w:tr w:rsidR="002719EC" w14:paraId="7C97145A" w14:textId="77777777" w:rsidTr="002719EC">
        <w:trPr>
          <w:cantSplit/>
          <w:trHeight w:val="60"/>
        </w:trPr>
        <w:tc>
          <w:tcPr>
            <w:tcW w:w="1871" w:type="dxa"/>
          </w:tcPr>
          <w:p w14:paraId="5FAE345D" w14:textId="77777777" w:rsidR="002719EC" w:rsidRDefault="002719EC" w:rsidP="002719EC">
            <w:pPr>
              <w:pStyle w:val="TableSideHeading"/>
              <w:ind w:right="0"/>
            </w:pPr>
          </w:p>
        </w:tc>
        <w:tc>
          <w:tcPr>
            <w:tcW w:w="624" w:type="dxa"/>
          </w:tcPr>
          <w:p w14:paraId="391BC873" w14:textId="77777777" w:rsidR="002719EC" w:rsidRDefault="002719EC" w:rsidP="002719EC">
            <w:pPr>
              <w:pStyle w:val="TableText"/>
              <w:ind w:right="0"/>
              <w:jc w:val="both"/>
            </w:pPr>
          </w:p>
        </w:tc>
        <w:tc>
          <w:tcPr>
            <w:tcW w:w="624" w:type="dxa"/>
          </w:tcPr>
          <w:p w14:paraId="134523D5" w14:textId="77777777" w:rsidR="002719EC" w:rsidRPr="002719EC" w:rsidRDefault="002719EC" w:rsidP="002719EC">
            <w:pPr>
              <w:pStyle w:val="TableBlock"/>
            </w:pPr>
          </w:p>
        </w:tc>
        <w:tc>
          <w:tcPr>
            <w:tcW w:w="6522" w:type="dxa"/>
            <w:gridSpan w:val="2"/>
          </w:tcPr>
          <w:p w14:paraId="79E5B67F" w14:textId="22226897" w:rsidR="002719EC" w:rsidRPr="002719EC" w:rsidRDefault="002719EC" w:rsidP="002719EC">
            <w:pPr>
              <w:pStyle w:val="TableBlock"/>
            </w:pPr>
            <w:r w:rsidRPr="002719EC">
              <w:rPr>
                <w:rFonts w:hint="cs"/>
                <w:rtl/>
              </w:rPr>
              <w:t>"(2)</w:t>
            </w:r>
            <w:r w:rsidRPr="002719EC">
              <w:rPr>
                <w:rtl/>
              </w:rPr>
              <w:tab/>
            </w:r>
            <w:r w:rsidRPr="002719EC">
              <w:rPr>
                <w:rFonts w:hint="cs"/>
                <w:rtl/>
              </w:rPr>
              <w:t xml:space="preserve">יושב ראש הוועדה המרכזית רשאי לשנות את קביעת הוועדה המרכזית לפי פסקה (1) בדבר ההרכב הסיעתי </w:t>
            </w:r>
            <w:bookmarkStart w:id="7" w:name="_GoBack"/>
            <w:bookmarkEnd w:id="7"/>
            <w:r w:rsidRPr="002719EC">
              <w:rPr>
                <w:rFonts w:hint="cs"/>
                <w:rtl/>
              </w:rPr>
              <w:t xml:space="preserve">של ועדות הקלפי והסיעות שמהן יהיו היושב ראש של ועדת הקלפי וסגן היושב ראש, </w:t>
            </w:r>
            <w:r w:rsidRPr="002719EC">
              <w:rPr>
                <w:rtl/>
              </w:rPr>
              <w:t xml:space="preserve">גם אם בשל כך ישתנה מספר הנציגים של כל סיעה בכל אזור בחירות, ובלבד שנתקיימו </w:t>
            </w:r>
            <w:r w:rsidRPr="002719EC">
              <w:rPr>
                <w:rFonts w:hint="cs"/>
                <w:rtl/>
              </w:rPr>
              <w:t>כל אלה:</w:t>
            </w:r>
          </w:p>
        </w:tc>
      </w:tr>
      <w:tr w:rsidR="002719EC" w14:paraId="1B7D0F21" w14:textId="77777777" w:rsidTr="002719EC">
        <w:trPr>
          <w:cantSplit/>
          <w:trHeight w:val="60"/>
        </w:trPr>
        <w:tc>
          <w:tcPr>
            <w:tcW w:w="1871" w:type="dxa"/>
          </w:tcPr>
          <w:p w14:paraId="7AB5AF05" w14:textId="77777777" w:rsidR="002719EC" w:rsidRDefault="002719EC" w:rsidP="002719EC">
            <w:pPr>
              <w:pStyle w:val="TableSideHeading"/>
              <w:ind w:right="0"/>
            </w:pPr>
          </w:p>
        </w:tc>
        <w:tc>
          <w:tcPr>
            <w:tcW w:w="624" w:type="dxa"/>
          </w:tcPr>
          <w:p w14:paraId="27083E91" w14:textId="77777777" w:rsidR="002719EC" w:rsidRDefault="002719EC" w:rsidP="002719EC">
            <w:pPr>
              <w:pStyle w:val="TableText"/>
              <w:ind w:right="0"/>
              <w:jc w:val="both"/>
            </w:pPr>
          </w:p>
        </w:tc>
        <w:tc>
          <w:tcPr>
            <w:tcW w:w="624" w:type="dxa"/>
          </w:tcPr>
          <w:p w14:paraId="0254FBF3" w14:textId="77777777" w:rsidR="002719EC" w:rsidRPr="002719EC" w:rsidRDefault="002719EC" w:rsidP="002719EC">
            <w:pPr>
              <w:pStyle w:val="TableBlock"/>
            </w:pPr>
          </w:p>
        </w:tc>
        <w:tc>
          <w:tcPr>
            <w:tcW w:w="624" w:type="dxa"/>
          </w:tcPr>
          <w:p w14:paraId="3875FF9E" w14:textId="77777777" w:rsidR="002719EC" w:rsidRPr="002719EC" w:rsidRDefault="002719EC" w:rsidP="002719EC">
            <w:pPr>
              <w:pStyle w:val="TableBlock"/>
            </w:pPr>
          </w:p>
        </w:tc>
        <w:tc>
          <w:tcPr>
            <w:tcW w:w="5898" w:type="dxa"/>
          </w:tcPr>
          <w:p w14:paraId="11524065" w14:textId="73ACCDDD" w:rsidR="002719EC" w:rsidRPr="002719EC" w:rsidRDefault="002719EC" w:rsidP="00E00D58">
            <w:pPr>
              <w:pStyle w:val="TableBlock"/>
            </w:pPr>
            <w:r w:rsidRPr="002719EC">
              <w:rPr>
                <w:rFonts w:hint="cs"/>
                <w:rtl/>
              </w:rPr>
              <w:t>(א)</w:t>
            </w:r>
            <w:r w:rsidR="00E00D58">
              <w:rPr>
                <w:rtl/>
              </w:rPr>
              <w:tab/>
            </w:r>
            <w:r w:rsidRPr="002719EC">
              <w:rPr>
                <w:rtl/>
              </w:rPr>
              <w:t>הבקשה לשינוי ההרכב נעשתה בהסכמה בין הסיעות שבהן התבקש שינוי ההרכב;</w:t>
            </w:r>
          </w:p>
        </w:tc>
      </w:tr>
      <w:tr w:rsidR="002719EC" w14:paraId="13272EEB" w14:textId="77777777" w:rsidTr="002719EC">
        <w:trPr>
          <w:cantSplit/>
          <w:trHeight w:val="60"/>
        </w:trPr>
        <w:tc>
          <w:tcPr>
            <w:tcW w:w="1871" w:type="dxa"/>
          </w:tcPr>
          <w:p w14:paraId="0600C3E5" w14:textId="77777777" w:rsidR="002719EC" w:rsidRDefault="002719EC" w:rsidP="002719EC">
            <w:pPr>
              <w:pStyle w:val="TableSideHeading"/>
              <w:ind w:right="0"/>
            </w:pPr>
          </w:p>
        </w:tc>
        <w:tc>
          <w:tcPr>
            <w:tcW w:w="624" w:type="dxa"/>
          </w:tcPr>
          <w:p w14:paraId="6667D033" w14:textId="77777777" w:rsidR="002719EC" w:rsidRDefault="002719EC" w:rsidP="002719EC">
            <w:pPr>
              <w:pStyle w:val="TableText"/>
              <w:ind w:right="0"/>
              <w:jc w:val="both"/>
            </w:pPr>
          </w:p>
        </w:tc>
        <w:tc>
          <w:tcPr>
            <w:tcW w:w="624" w:type="dxa"/>
          </w:tcPr>
          <w:p w14:paraId="37AB3495" w14:textId="77777777" w:rsidR="002719EC" w:rsidRPr="002719EC" w:rsidRDefault="002719EC" w:rsidP="002719EC">
            <w:pPr>
              <w:pStyle w:val="TableBlock"/>
            </w:pPr>
          </w:p>
        </w:tc>
        <w:tc>
          <w:tcPr>
            <w:tcW w:w="624" w:type="dxa"/>
          </w:tcPr>
          <w:p w14:paraId="14964161" w14:textId="77777777" w:rsidR="002719EC" w:rsidRPr="002719EC" w:rsidRDefault="002719EC" w:rsidP="002719EC">
            <w:pPr>
              <w:pStyle w:val="TableBlock"/>
            </w:pPr>
          </w:p>
        </w:tc>
        <w:tc>
          <w:tcPr>
            <w:tcW w:w="5898" w:type="dxa"/>
          </w:tcPr>
          <w:p w14:paraId="3E0CFBDD" w14:textId="7ADBD3F5" w:rsidR="002719EC" w:rsidRPr="002719EC" w:rsidRDefault="002719EC" w:rsidP="00E00D58">
            <w:pPr>
              <w:pStyle w:val="TableBlock"/>
            </w:pPr>
            <w:r w:rsidRPr="002719EC">
              <w:rPr>
                <w:rFonts w:hint="cs"/>
                <w:rtl/>
              </w:rPr>
              <w:t>(ב)</w:t>
            </w:r>
            <w:r w:rsidR="00E00D58">
              <w:rPr>
                <w:rtl/>
              </w:rPr>
              <w:tab/>
            </w:r>
            <w:r w:rsidRPr="002719EC">
              <w:rPr>
                <w:rtl/>
              </w:rPr>
              <w:t>בועדת הקלפי יהיו מיוצגות, לאחר השינוי, לא פחות משלוש סיעות והאיזון בין הסיעות המרכיבות את הקלפי יישמר</w:t>
            </w:r>
            <w:r w:rsidRPr="002719EC">
              <w:rPr>
                <w:rFonts w:hint="cs"/>
                <w:rtl/>
              </w:rPr>
              <w:t>;</w:t>
            </w:r>
          </w:p>
        </w:tc>
      </w:tr>
      <w:tr w:rsidR="002719EC" w14:paraId="6D68EAA2" w14:textId="77777777" w:rsidTr="002719EC">
        <w:trPr>
          <w:cantSplit/>
          <w:trHeight w:val="60"/>
        </w:trPr>
        <w:tc>
          <w:tcPr>
            <w:tcW w:w="1871" w:type="dxa"/>
          </w:tcPr>
          <w:p w14:paraId="7AA1DBE5" w14:textId="77777777" w:rsidR="002719EC" w:rsidRDefault="002719EC" w:rsidP="002719EC">
            <w:pPr>
              <w:pStyle w:val="TableSideHeading"/>
              <w:ind w:right="0"/>
            </w:pPr>
          </w:p>
        </w:tc>
        <w:tc>
          <w:tcPr>
            <w:tcW w:w="624" w:type="dxa"/>
          </w:tcPr>
          <w:p w14:paraId="2E7DEA6F" w14:textId="77777777" w:rsidR="002719EC" w:rsidRDefault="002719EC" w:rsidP="002719EC">
            <w:pPr>
              <w:pStyle w:val="TableText"/>
              <w:ind w:right="0"/>
              <w:jc w:val="both"/>
            </w:pPr>
          </w:p>
        </w:tc>
        <w:tc>
          <w:tcPr>
            <w:tcW w:w="624" w:type="dxa"/>
          </w:tcPr>
          <w:p w14:paraId="2F97831C" w14:textId="77777777" w:rsidR="002719EC" w:rsidRPr="002719EC" w:rsidRDefault="002719EC" w:rsidP="002719EC">
            <w:pPr>
              <w:pStyle w:val="TableBlock"/>
            </w:pPr>
          </w:p>
        </w:tc>
        <w:tc>
          <w:tcPr>
            <w:tcW w:w="624" w:type="dxa"/>
          </w:tcPr>
          <w:p w14:paraId="7FB37F2D" w14:textId="77777777" w:rsidR="002719EC" w:rsidRPr="002719EC" w:rsidRDefault="002719EC" w:rsidP="002719EC">
            <w:pPr>
              <w:pStyle w:val="TableBlock"/>
            </w:pPr>
          </w:p>
        </w:tc>
        <w:tc>
          <w:tcPr>
            <w:tcW w:w="5898" w:type="dxa"/>
          </w:tcPr>
          <w:p w14:paraId="628D9A64" w14:textId="0D5755DD" w:rsidR="002719EC" w:rsidRPr="002719EC" w:rsidRDefault="002719EC" w:rsidP="00E00D58">
            <w:pPr>
              <w:pStyle w:val="TableBlock"/>
            </w:pPr>
            <w:r w:rsidRPr="002719EC">
              <w:rPr>
                <w:rFonts w:hint="cs"/>
                <w:rtl/>
              </w:rPr>
              <w:t>(ג)</w:t>
            </w:r>
            <w:r w:rsidR="00E00D58">
              <w:rPr>
                <w:rtl/>
              </w:rPr>
              <w:tab/>
            </w:r>
            <w:r w:rsidRPr="002719EC">
              <w:rPr>
                <w:rFonts w:hint="cs"/>
                <w:rtl/>
              </w:rPr>
              <w:t>מספר הנציגים של כל סיעה, בכל ועדות הקלפי, לא יפחת מהמספר אותו קבעה הוועדה המרכזית לפי פסקה (1);</w:t>
            </w:r>
          </w:p>
        </w:tc>
      </w:tr>
      <w:tr w:rsidR="002719EC" w14:paraId="66C86144" w14:textId="77777777" w:rsidTr="00DA1E32">
        <w:trPr>
          <w:cantSplit/>
          <w:trHeight w:val="60"/>
        </w:trPr>
        <w:tc>
          <w:tcPr>
            <w:tcW w:w="1871" w:type="dxa"/>
          </w:tcPr>
          <w:p w14:paraId="1F38FBF2" w14:textId="77777777" w:rsidR="002719EC" w:rsidRDefault="002719EC" w:rsidP="002719EC">
            <w:pPr>
              <w:pStyle w:val="TableSideHeading"/>
              <w:ind w:right="0"/>
            </w:pPr>
          </w:p>
        </w:tc>
        <w:tc>
          <w:tcPr>
            <w:tcW w:w="624" w:type="dxa"/>
          </w:tcPr>
          <w:p w14:paraId="68263453" w14:textId="77777777" w:rsidR="002719EC" w:rsidRDefault="002719EC" w:rsidP="002719EC">
            <w:pPr>
              <w:pStyle w:val="TableText"/>
              <w:ind w:right="0"/>
              <w:jc w:val="both"/>
            </w:pPr>
          </w:p>
        </w:tc>
        <w:tc>
          <w:tcPr>
            <w:tcW w:w="624" w:type="dxa"/>
          </w:tcPr>
          <w:p w14:paraId="1CB243F3" w14:textId="77777777" w:rsidR="002719EC" w:rsidRPr="002719EC" w:rsidRDefault="002719EC" w:rsidP="002719EC">
            <w:pPr>
              <w:pStyle w:val="TableBlock"/>
            </w:pPr>
          </w:p>
        </w:tc>
        <w:tc>
          <w:tcPr>
            <w:tcW w:w="624" w:type="dxa"/>
          </w:tcPr>
          <w:p w14:paraId="7B9AA1A9" w14:textId="77777777" w:rsidR="002719EC" w:rsidRPr="002719EC" w:rsidRDefault="002719EC" w:rsidP="002719EC">
            <w:pPr>
              <w:pStyle w:val="TableBlock"/>
            </w:pPr>
          </w:p>
        </w:tc>
        <w:tc>
          <w:tcPr>
            <w:tcW w:w="5898" w:type="dxa"/>
          </w:tcPr>
          <w:p w14:paraId="7DE5750D" w14:textId="27B7428A" w:rsidR="002719EC" w:rsidRPr="002719EC" w:rsidRDefault="002719EC" w:rsidP="00E00D58">
            <w:pPr>
              <w:pStyle w:val="TableBlock"/>
            </w:pPr>
            <w:r w:rsidRPr="002719EC">
              <w:rPr>
                <w:rFonts w:hint="cs"/>
                <w:rtl/>
              </w:rPr>
              <w:t>(ד)</w:t>
            </w:r>
            <w:r w:rsidR="00E00D58">
              <w:rPr>
                <w:rtl/>
              </w:rPr>
              <w:tab/>
            </w:r>
            <w:r w:rsidRPr="002719EC">
              <w:rPr>
                <w:rtl/>
              </w:rPr>
              <w:t xml:space="preserve">מספר הנציגים של כל סיעה בכל אזור בחירות, לא יפחת או יעלה </w:t>
            </w:r>
            <w:r w:rsidRPr="002719EC">
              <w:rPr>
                <w:rFonts w:hint="cs"/>
                <w:rtl/>
              </w:rPr>
              <w:t>ב-</w:t>
            </w:r>
            <w:r w:rsidRPr="002719EC">
              <w:rPr>
                <w:rtl/>
              </w:rPr>
              <w:t xml:space="preserve">10% ממספר הנציגים שנקבע לפי </w:t>
            </w:r>
            <w:r w:rsidRPr="002719EC">
              <w:rPr>
                <w:rFonts w:hint="cs"/>
                <w:rtl/>
              </w:rPr>
              <w:t>פסקה (1)."</w:t>
            </w:r>
          </w:p>
        </w:tc>
      </w:tr>
      <w:tr w:rsidR="0053690C" w14:paraId="36741C8E" w14:textId="77777777" w:rsidTr="002C3041">
        <w:trPr>
          <w:cantSplit/>
          <w:trHeight w:val="60"/>
        </w:trPr>
        <w:tc>
          <w:tcPr>
            <w:tcW w:w="1871" w:type="dxa"/>
          </w:tcPr>
          <w:p w14:paraId="01506E44" w14:textId="77777777" w:rsidR="0053690C" w:rsidRDefault="0053690C" w:rsidP="002C3041">
            <w:pPr>
              <w:pStyle w:val="TableSideHeading"/>
              <w:keepLines w:val="0"/>
            </w:pPr>
          </w:p>
        </w:tc>
        <w:tc>
          <w:tcPr>
            <w:tcW w:w="624" w:type="dxa"/>
          </w:tcPr>
          <w:p w14:paraId="05A2C594" w14:textId="77777777" w:rsidR="0053690C" w:rsidRDefault="0053690C" w:rsidP="0053690C">
            <w:pPr>
              <w:pStyle w:val="TableText"/>
            </w:pPr>
          </w:p>
        </w:tc>
        <w:tc>
          <w:tcPr>
            <w:tcW w:w="7146" w:type="dxa"/>
            <w:gridSpan w:val="3"/>
          </w:tcPr>
          <w:p w14:paraId="50826BF3" w14:textId="4A8ABF4F" w:rsidR="00AC4F42" w:rsidRPr="002719EC" w:rsidRDefault="0053690C" w:rsidP="00AC4F42">
            <w:pPr>
              <w:pStyle w:val="TableBlock"/>
            </w:pPr>
            <w:r w:rsidRPr="002719EC">
              <w:rPr>
                <w:rFonts w:hint="cs"/>
                <w:rtl/>
              </w:rPr>
              <w:t>(2)</w:t>
            </w:r>
            <w:r w:rsidRPr="002719EC">
              <w:rPr>
                <w:rtl/>
              </w:rPr>
              <w:tab/>
            </w:r>
            <w:r w:rsidRPr="002719EC">
              <w:rPr>
                <w:rFonts w:hint="cs"/>
                <w:rtl/>
              </w:rPr>
              <w:t>בסעיף קטן (א1), במקום "קבעה הועדה המרכזית את הסיעות שמהן יהיו היושב ראש של ועדת הקלפי וסגן היושב ראש, כאמור בסעיף קטן (א), רשאית ועדה אזורית, בישיבה שבה נכח היושב ראש, לשנות את הרכב הסיעות כאמור" יבוא "יושב ראש ועדה אזורית, רשאי לשנות את קביעת הוועדה המרכזית לפי סעיף קטן (א)(1) בדבר ההרכב הסיעתי של ועדות הקלפי והסיעות שמהן יהיו היושב ראש של ועדת הקלפי וסגן היושב ראש, ואת החלטת יושב ראש הוועדה המרכזית לפי סעיף קטן (א)(2), והכל ביחס לאזור שבו פועלת אותה וועדה האזורית".</w:t>
            </w:r>
          </w:p>
        </w:tc>
      </w:tr>
      <w:tr w:rsidR="0053690C" w14:paraId="2737377D" w14:textId="77777777" w:rsidTr="002C3041">
        <w:trPr>
          <w:cantSplit/>
          <w:trHeight w:val="60"/>
        </w:trPr>
        <w:tc>
          <w:tcPr>
            <w:tcW w:w="1871" w:type="dxa"/>
          </w:tcPr>
          <w:p w14:paraId="26AA3B02" w14:textId="77777777" w:rsidR="0053690C" w:rsidRDefault="0053690C" w:rsidP="002C3041">
            <w:pPr>
              <w:pStyle w:val="TableSideHeading"/>
              <w:keepLines w:val="0"/>
            </w:pPr>
          </w:p>
        </w:tc>
        <w:tc>
          <w:tcPr>
            <w:tcW w:w="624" w:type="dxa"/>
          </w:tcPr>
          <w:p w14:paraId="6BA68095" w14:textId="77777777" w:rsidR="0053690C" w:rsidRDefault="0053690C" w:rsidP="0053690C">
            <w:pPr>
              <w:pStyle w:val="TableText"/>
            </w:pPr>
          </w:p>
        </w:tc>
        <w:tc>
          <w:tcPr>
            <w:tcW w:w="7146" w:type="dxa"/>
            <w:gridSpan w:val="3"/>
          </w:tcPr>
          <w:p w14:paraId="6D9FD18E" w14:textId="7BE32A70" w:rsidR="0053690C" w:rsidRPr="002719EC" w:rsidRDefault="0053690C" w:rsidP="002719EC">
            <w:pPr>
              <w:pStyle w:val="TableBlock"/>
            </w:pPr>
            <w:r w:rsidRPr="002719EC">
              <w:rPr>
                <w:rFonts w:hint="cs"/>
                <w:rtl/>
              </w:rPr>
              <w:t>(3)</w:t>
            </w:r>
            <w:r w:rsidRPr="002719EC">
              <w:rPr>
                <w:rtl/>
              </w:rPr>
              <w:tab/>
            </w:r>
            <w:r w:rsidRPr="002719EC">
              <w:rPr>
                <w:rFonts w:hint="cs"/>
                <w:rtl/>
              </w:rPr>
              <w:t xml:space="preserve">בסעיף קטן (ג), במקום "בסעיף קטן (א)" יבוא "בסעיף קטן (א)(1), ולשינויים שנעשו בהחלטות אלה לפי סעיפים קטנים (א)(2) ו-(א1) (בסעיף זה </w:t>
            </w:r>
            <w:r w:rsidRPr="002719EC">
              <w:rPr>
                <w:rtl/>
              </w:rPr>
              <w:t>–</w:t>
            </w:r>
            <w:r w:rsidRPr="002719EC">
              <w:rPr>
                <w:rFonts w:hint="cs"/>
                <w:rtl/>
              </w:rPr>
              <w:t xml:space="preserve"> ההרכב הסופי של ועדות הקלפי</w:t>
            </w:r>
            <w:r w:rsidR="00AA24B8" w:rsidRPr="002719EC">
              <w:rPr>
                <w:rFonts w:hint="cs"/>
                <w:rtl/>
              </w:rPr>
              <w:t>)</w:t>
            </w:r>
            <w:r w:rsidR="00DA1E32">
              <w:rPr>
                <w:rFonts w:hint="cs"/>
                <w:rtl/>
              </w:rPr>
              <w:t>"</w:t>
            </w:r>
            <w:r w:rsidR="00AA24B8" w:rsidRPr="002719EC">
              <w:rPr>
                <w:rFonts w:hint="cs"/>
                <w:rtl/>
              </w:rPr>
              <w:t xml:space="preserve">, והמילים "לא יאוחר מהיום ה-20 שלפני יום הבחירות" </w:t>
            </w:r>
            <w:r w:rsidR="00AA24B8" w:rsidRPr="002719EC">
              <w:rPr>
                <w:rtl/>
              </w:rPr>
              <w:t>–</w:t>
            </w:r>
            <w:r w:rsidR="00AA24B8" w:rsidRPr="002719EC">
              <w:rPr>
                <w:rFonts w:hint="cs"/>
                <w:rtl/>
              </w:rPr>
              <w:t xml:space="preserve"> יימחקו.</w:t>
            </w:r>
          </w:p>
        </w:tc>
      </w:tr>
      <w:tr w:rsidR="0053690C" w14:paraId="37A05876" w14:textId="77777777" w:rsidTr="002C3041">
        <w:trPr>
          <w:cantSplit/>
          <w:trHeight w:val="60"/>
        </w:trPr>
        <w:tc>
          <w:tcPr>
            <w:tcW w:w="1871" w:type="dxa"/>
          </w:tcPr>
          <w:p w14:paraId="1522FF1C" w14:textId="77777777" w:rsidR="0053690C" w:rsidRDefault="0053690C" w:rsidP="002C3041">
            <w:pPr>
              <w:pStyle w:val="TableSideHeading"/>
              <w:keepLines w:val="0"/>
            </w:pPr>
          </w:p>
        </w:tc>
        <w:tc>
          <w:tcPr>
            <w:tcW w:w="624" w:type="dxa"/>
          </w:tcPr>
          <w:p w14:paraId="7AA19010" w14:textId="77777777" w:rsidR="0053690C" w:rsidRDefault="0053690C" w:rsidP="0053690C">
            <w:pPr>
              <w:pStyle w:val="TableText"/>
            </w:pPr>
          </w:p>
        </w:tc>
        <w:tc>
          <w:tcPr>
            <w:tcW w:w="7146" w:type="dxa"/>
            <w:gridSpan w:val="3"/>
          </w:tcPr>
          <w:p w14:paraId="2320AD2D" w14:textId="67A65911" w:rsidR="0053690C" w:rsidRPr="002719EC" w:rsidRDefault="00AA24B8" w:rsidP="002719EC">
            <w:pPr>
              <w:pStyle w:val="TableBlock"/>
              <w:rPr>
                <w:rtl/>
              </w:rPr>
            </w:pPr>
            <w:r w:rsidRPr="002719EC">
              <w:rPr>
                <w:rFonts w:hint="cs"/>
                <w:rtl/>
              </w:rPr>
              <w:t>(4)</w:t>
            </w:r>
            <w:r w:rsidRPr="002719EC">
              <w:rPr>
                <w:rtl/>
              </w:rPr>
              <w:tab/>
            </w:r>
            <w:r w:rsidRPr="002719EC">
              <w:rPr>
                <w:rFonts w:hint="cs"/>
                <w:rtl/>
              </w:rPr>
              <w:t xml:space="preserve">בסעיף קטן (ד), </w:t>
            </w:r>
            <w:r w:rsidR="002719EC" w:rsidRPr="002719EC">
              <w:rPr>
                <w:rFonts w:hint="cs"/>
                <w:rtl/>
              </w:rPr>
              <w:t>במקום "נקבע מספר חבריה והרכבה הסיעתי של ועדת קלפי כאמור בסעיף קטן (א)" יבוא "נקבע ההרכב הסופי של ועדת קלפי", ובמקום "שקבעה הועדה האזורית או לפני היום ה-23 שלפני יום הבחירות, הכל לפי המוקדם" יבוא "שנקבעה בכללים שנקבעו לפי סעיף קטן (ח)".</w:t>
            </w:r>
          </w:p>
        </w:tc>
      </w:tr>
      <w:tr w:rsidR="0053690C" w14:paraId="72D25DCB" w14:textId="77777777" w:rsidTr="002C3041">
        <w:trPr>
          <w:cantSplit/>
          <w:trHeight w:val="60"/>
        </w:trPr>
        <w:tc>
          <w:tcPr>
            <w:tcW w:w="1871" w:type="dxa"/>
          </w:tcPr>
          <w:p w14:paraId="4A85671E" w14:textId="77777777" w:rsidR="0053690C" w:rsidRDefault="0053690C" w:rsidP="002C3041">
            <w:pPr>
              <w:pStyle w:val="TableSideHeading"/>
              <w:keepLines w:val="0"/>
            </w:pPr>
          </w:p>
        </w:tc>
        <w:tc>
          <w:tcPr>
            <w:tcW w:w="624" w:type="dxa"/>
          </w:tcPr>
          <w:p w14:paraId="7AD1BF50" w14:textId="77777777" w:rsidR="0053690C" w:rsidRDefault="0053690C" w:rsidP="0053690C">
            <w:pPr>
              <w:pStyle w:val="TableText"/>
            </w:pPr>
          </w:p>
        </w:tc>
        <w:tc>
          <w:tcPr>
            <w:tcW w:w="7146" w:type="dxa"/>
            <w:gridSpan w:val="3"/>
          </w:tcPr>
          <w:p w14:paraId="5BA562F6" w14:textId="0D524617" w:rsidR="0053690C" w:rsidRPr="002719EC" w:rsidRDefault="002719EC" w:rsidP="002719EC">
            <w:pPr>
              <w:pStyle w:val="TableBlock"/>
            </w:pPr>
            <w:r w:rsidRPr="002719EC">
              <w:rPr>
                <w:rFonts w:hint="cs"/>
                <w:rtl/>
              </w:rPr>
              <w:t>(5)</w:t>
            </w:r>
            <w:r w:rsidRPr="002719EC">
              <w:rPr>
                <w:rtl/>
              </w:rPr>
              <w:tab/>
            </w:r>
            <w:r w:rsidRPr="002719EC">
              <w:rPr>
                <w:rFonts w:hint="cs"/>
                <w:rtl/>
              </w:rPr>
              <w:t>בסעיף קטן (ה), במקום "בהתאם להחלטות הועדה המרכזית האמורות בסעיף קטן (א) תמנה כל סיעה את נציגיה" יבוא "כל סיעה תמנה את נציגיה",  אחרי "וכחברי ועדת קלפי" יבוא "בהתאם להרכב הסופי של ועדות הקלפי", ובמקום "שקבעה הועדה המרכזית ביחס לאותה ועדת קלפי כאמור בסעיף קטן (א)" יבוא "שנקבע בהרכב הסופי של ועדות הקלפי".</w:t>
            </w:r>
          </w:p>
        </w:tc>
      </w:tr>
      <w:tr w:rsidR="0053690C" w14:paraId="051F7C6A" w14:textId="77777777" w:rsidTr="002C3041">
        <w:trPr>
          <w:cantSplit/>
          <w:trHeight w:val="60"/>
        </w:trPr>
        <w:tc>
          <w:tcPr>
            <w:tcW w:w="1871" w:type="dxa"/>
          </w:tcPr>
          <w:p w14:paraId="6BEF17BD" w14:textId="77777777" w:rsidR="0053690C" w:rsidRDefault="0053690C" w:rsidP="002C3041">
            <w:pPr>
              <w:pStyle w:val="TableSideHeading"/>
              <w:keepLines w:val="0"/>
            </w:pPr>
          </w:p>
        </w:tc>
        <w:tc>
          <w:tcPr>
            <w:tcW w:w="624" w:type="dxa"/>
          </w:tcPr>
          <w:p w14:paraId="4E6E97D5" w14:textId="77777777" w:rsidR="0053690C" w:rsidRDefault="0053690C" w:rsidP="0053690C">
            <w:pPr>
              <w:pStyle w:val="TableText"/>
            </w:pPr>
          </w:p>
        </w:tc>
        <w:tc>
          <w:tcPr>
            <w:tcW w:w="7146" w:type="dxa"/>
            <w:gridSpan w:val="3"/>
          </w:tcPr>
          <w:p w14:paraId="03C3AF0F" w14:textId="05D2A131" w:rsidR="0053690C" w:rsidRPr="002719EC" w:rsidRDefault="002719EC" w:rsidP="002719EC">
            <w:pPr>
              <w:pStyle w:val="TableBlock"/>
            </w:pPr>
            <w:r w:rsidRPr="002719EC">
              <w:rPr>
                <w:rFonts w:hint="cs"/>
                <w:rtl/>
              </w:rPr>
              <w:t>(6)</w:t>
            </w:r>
            <w:r w:rsidRPr="002719EC">
              <w:rPr>
                <w:rtl/>
              </w:rPr>
              <w:tab/>
            </w:r>
            <w:r w:rsidRPr="002719EC">
              <w:rPr>
                <w:rFonts w:hint="cs"/>
                <w:rtl/>
              </w:rPr>
              <w:t>אחרי סעיף קטן (ז) יבוא:</w:t>
            </w:r>
          </w:p>
        </w:tc>
      </w:tr>
      <w:tr w:rsidR="002719EC" w14:paraId="603BA43A" w14:textId="77777777">
        <w:trPr>
          <w:cantSplit/>
          <w:trHeight w:val="60"/>
        </w:trPr>
        <w:tc>
          <w:tcPr>
            <w:tcW w:w="1871" w:type="dxa"/>
          </w:tcPr>
          <w:p w14:paraId="7C7E8DE5" w14:textId="77777777" w:rsidR="002719EC" w:rsidRDefault="002719EC">
            <w:pPr>
              <w:pStyle w:val="TableSideHeading"/>
            </w:pPr>
          </w:p>
        </w:tc>
        <w:tc>
          <w:tcPr>
            <w:tcW w:w="624" w:type="dxa"/>
          </w:tcPr>
          <w:p w14:paraId="1E1673C5" w14:textId="77777777" w:rsidR="002719EC" w:rsidRDefault="002719EC">
            <w:pPr>
              <w:pStyle w:val="TableText"/>
            </w:pPr>
          </w:p>
        </w:tc>
        <w:tc>
          <w:tcPr>
            <w:tcW w:w="624" w:type="dxa"/>
          </w:tcPr>
          <w:p w14:paraId="5E63FD7E" w14:textId="77777777" w:rsidR="002719EC" w:rsidRPr="002719EC" w:rsidRDefault="002719EC" w:rsidP="002719EC">
            <w:pPr>
              <w:pStyle w:val="TableBlock"/>
            </w:pPr>
          </w:p>
        </w:tc>
        <w:tc>
          <w:tcPr>
            <w:tcW w:w="6522" w:type="dxa"/>
            <w:gridSpan w:val="2"/>
          </w:tcPr>
          <w:p w14:paraId="3D00BC11" w14:textId="3D4143E8" w:rsidR="001C07CF" w:rsidRPr="002719EC" w:rsidRDefault="002719EC" w:rsidP="00AC4F42">
            <w:pPr>
              <w:pStyle w:val="TableBlock"/>
            </w:pPr>
            <w:r w:rsidRPr="002719EC">
              <w:rPr>
                <w:rFonts w:hint="cs"/>
                <w:rtl/>
              </w:rPr>
              <w:t>"(ח)</w:t>
            </w:r>
            <w:r w:rsidRPr="00C322C4">
              <w:rPr>
                <w:rtl/>
              </w:rPr>
              <w:tab/>
            </w:r>
            <w:r w:rsidRPr="00C322C4">
              <w:rPr>
                <w:rFonts w:hint="cs"/>
                <w:rtl/>
              </w:rPr>
              <w:t xml:space="preserve">יושב ראש הוועדה המרכזית </w:t>
            </w:r>
            <w:r w:rsidR="00AC4F42">
              <w:rPr>
                <w:rFonts w:hint="cs"/>
                <w:rtl/>
              </w:rPr>
              <w:t>יקב</w:t>
            </w:r>
            <w:r w:rsidRPr="002719EC">
              <w:rPr>
                <w:rFonts w:hint="cs"/>
                <w:rtl/>
              </w:rPr>
              <w:t>ע</w:t>
            </w:r>
            <w:r w:rsidRPr="00C322C4">
              <w:rPr>
                <w:rFonts w:hint="cs"/>
                <w:rtl/>
              </w:rPr>
              <w:t xml:space="preserve"> כללים </w:t>
            </w:r>
            <w:r w:rsidR="001C07CF">
              <w:rPr>
                <w:rFonts w:hint="cs"/>
                <w:rtl/>
              </w:rPr>
              <w:t xml:space="preserve">לביצוע סעיף זה, ובכלל זה </w:t>
            </w:r>
            <w:r w:rsidRPr="00C322C4">
              <w:rPr>
                <w:rFonts w:hint="cs"/>
                <w:rtl/>
              </w:rPr>
              <w:t xml:space="preserve">את אופן הגשת </w:t>
            </w:r>
            <w:r w:rsidR="001C07CF">
              <w:rPr>
                <w:rFonts w:hint="cs"/>
                <w:rtl/>
              </w:rPr>
              <w:t>ה</w:t>
            </w:r>
            <w:r w:rsidRPr="00C322C4">
              <w:rPr>
                <w:rFonts w:hint="cs"/>
                <w:rtl/>
              </w:rPr>
              <w:t>בקש</w:t>
            </w:r>
            <w:r w:rsidR="001C07CF">
              <w:rPr>
                <w:rFonts w:hint="cs"/>
                <w:rtl/>
              </w:rPr>
              <w:t>ות</w:t>
            </w:r>
            <w:r w:rsidRPr="00C322C4">
              <w:rPr>
                <w:rFonts w:hint="cs"/>
                <w:rtl/>
              </w:rPr>
              <w:t xml:space="preserve"> לשינוי ההרכב הסיעתי של ועדות הקלפי לפי סעיפים קטנים (א)</w:t>
            </w:r>
            <w:r w:rsidRPr="002719EC">
              <w:rPr>
                <w:rFonts w:hint="cs"/>
                <w:rtl/>
              </w:rPr>
              <w:t>(2)</w:t>
            </w:r>
            <w:r w:rsidRPr="00C322C4">
              <w:rPr>
                <w:rFonts w:hint="cs"/>
                <w:rtl/>
              </w:rPr>
              <w:t xml:space="preserve"> ו-(א1), המועדים להגשת</w:t>
            </w:r>
            <w:r w:rsidR="001C07CF">
              <w:rPr>
                <w:rFonts w:hint="cs"/>
                <w:rtl/>
              </w:rPr>
              <w:t>ן ולהכרעה בהן</w:t>
            </w:r>
            <w:r w:rsidRPr="002719EC">
              <w:rPr>
                <w:rFonts w:hint="cs"/>
                <w:rtl/>
              </w:rPr>
              <w:t>,</w:t>
            </w:r>
            <w:r w:rsidRPr="00C322C4">
              <w:rPr>
                <w:rFonts w:hint="cs"/>
                <w:rtl/>
              </w:rPr>
              <w:t xml:space="preserve"> דרכי הטיפול בה</w:t>
            </w:r>
            <w:r w:rsidR="001C07CF">
              <w:rPr>
                <w:rFonts w:hint="cs"/>
                <w:rtl/>
              </w:rPr>
              <w:t>ן</w:t>
            </w:r>
            <w:r w:rsidRPr="002719EC">
              <w:rPr>
                <w:rFonts w:hint="cs"/>
                <w:rtl/>
              </w:rPr>
              <w:t xml:space="preserve">, </w:t>
            </w:r>
            <w:r w:rsidR="001C07CF">
              <w:rPr>
                <w:rFonts w:hint="cs"/>
                <w:rtl/>
              </w:rPr>
              <w:t>ו</w:t>
            </w:r>
            <w:r w:rsidRPr="002719EC">
              <w:rPr>
                <w:rFonts w:hint="cs"/>
                <w:rtl/>
              </w:rPr>
              <w:t xml:space="preserve">את </w:t>
            </w:r>
            <w:r w:rsidR="001C07CF">
              <w:rPr>
                <w:rFonts w:hint="cs"/>
                <w:rtl/>
              </w:rPr>
              <w:t>האופן ו</w:t>
            </w:r>
            <w:r w:rsidRPr="002719EC">
              <w:rPr>
                <w:rFonts w:hint="cs"/>
                <w:rtl/>
              </w:rPr>
              <w:t xml:space="preserve">המועדים למינוי </w:t>
            </w:r>
            <w:r w:rsidR="001C07CF">
              <w:rPr>
                <w:rFonts w:hint="cs"/>
                <w:rtl/>
              </w:rPr>
              <w:t>והעברת הפרטים של יושבי ראש ועדות הקלפי וה</w:t>
            </w:r>
            <w:r w:rsidRPr="002719EC">
              <w:rPr>
                <w:rFonts w:hint="cs"/>
                <w:rtl/>
              </w:rPr>
              <w:t>חברי</w:t>
            </w:r>
            <w:r w:rsidR="001C07CF">
              <w:rPr>
                <w:rFonts w:hint="cs"/>
                <w:rtl/>
              </w:rPr>
              <w:t>ם בו</w:t>
            </w:r>
            <w:r w:rsidRPr="002719EC">
              <w:rPr>
                <w:rFonts w:hint="cs"/>
                <w:rtl/>
              </w:rPr>
              <w:t>ועד</w:t>
            </w:r>
            <w:r w:rsidR="001C07CF">
              <w:rPr>
                <w:rFonts w:hint="cs"/>
                <w:rtl/>
              </w:rPr>
              <w:t>ו</w:t>
            </w:r>
            <w:r w:rsidRPr="002719EC">
              <w:rPr>
                <w:rFonts w:hint="cs"/>
                <w:rtl/>
              </w:rPr>
              <w:t>ת הקלפי</w:t>
            </w:r>
            <w:r w:rsidRPr="00C322C4">
              <w:rPr>
                <w:rFonts w:hint="cs"/>
                <w:rtl/>
              </w:rPr>
              <w:t>.</w:t>
            </w:r>
            <w:r w:rsidRPr="002719EC">
              <w:rPr>
                <w:rFonts w:hint="cs"/>
                <w:rtl/>
              </w:rPr>
              <w:t>"</w:t>
            </w:r>
          </w:p>
        </w:tc>
      </w:tr>
    </w:tbl>
    <w:p w14:paraId="7F6961CB" w14:textId="4D30AB20" w:rsidR="00E13C27" w:rsidRDefault="00E13C27" w:rsidP="006F57B5">
      <w:pPr>
        <w:pStyle w:val="Hesber"/>
        <w:rPr>
          <w:rtl/>
        </w:rPr>
      </w:pP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AC4F42">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09639533" w14:textId="77777777" w:rsidR="00D7069C" w:rsidRDefault="00D7069C" w:rsidP="00D7069C">
      <w:pPr>
        <w:pStyle w:val="a4"/>
      </w:pPr>
      <w:r>
        <w:rPr>
          <w:rStyle w:val="a6"/>
        </w:rPr>
        <w:footnoteRef/>
      </w:r>
      <w:r>
        <w:rPr>
          <w:rtl/>
        </w:rPr>
        <w:t xml:space="preserve"> </w:t>
      </w:r>
      <w:r>
        <w:rPr>
          <w:rFonts w:hint="cs"/>
          <w:rtl/>
        </w:rPr>
        <w:t>ס"ח התשכ"ט, עמ' 103.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3119B"/>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07CF"/>
    <w:rsid w:val="001C23B0"/>
    <w:rsid w:val="001D7AAF"/>
    <w:rsid w:val="00203A7F"/>
    <w:rsid w:val="0021633A"/>
    <w:rsid w:val="002200A1"/>
    <w:rsid w:val="002362BF"/>
    <w:rsid w:val="00241B97"/>
    <w:rsid w:val="002425D1"/>
    <w:rsid w:val="00246756"/>
    <w:rsid w:val="00251E58"/>
    <w:rsid w:val="00254605"/>
    <w:rsid w:val="00266D86"/>
    <w:rsid w:val="002719EC"/>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C17D9"/>
    <w:rsid w:val="004D2D82"/>
    <w:rsid w:val="004D3876"/>
    <w:rsid w:val="004E4552"/>
    <w:rsid w:val="004E6CDF"/>
    <w:rsid w:val="0053690C"/>
    <w:rsid w:val="00553C9D"/>
    <w:rsid w:val="00562A66"/>
    <w:rsid w:val="005B064E"/>
    <w:rsid w:val="005D51AE"/>
    <w:rsid w:val="005F7F92"/>
    <w:rsid w:val="0062674B"/>
    <w:rsid w:val="006363B2"/>
    <w:rsid w:val="00644940"/>
    <w:rsid w:val="00660A82"/>
    <w:rsid w:val="00666BDC"/>
    <w:rsid w:val="006818A9"/>
    <w:rsid w:val="006A2D81"/>
    <w:rsid w:val="006B39F2"/>
    <w:rsid w:val="006C1D0D"/>
    <w:rsid w:val="006F57B5"/>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0CD6"/>
    <w:rsid w:val="00892135"/>
    <w:rsid w:val="00895449"/>
    <w:rsid w:val="00897879"/>
    <w:rsid w:val="008A6870"/>
    <w:rsid w:val="008C2DDC"/>
    <w:rsid w:val="008C7516"/>
    <w:rsid w:val="008E6EC7"/>
    <w:rsid w:val="008F0D63"/>
    <w:rsid w:val="008F1308"/>
    <w:rsid w:val="008F2C35"/>
    <w:rsid w:val="008F6665"/>
    <w:rsid w:val="009032E1"/>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B7D79"/>
    <w:rsid w:val="009D6E0A"/>
    <w:rsid w:val="009E1E33"/>
    <w:rsid w:val="00A14672"/>
    <w:rsid w:val="00A26BD6"/>
    <w:rsid w:val="00A443CF"/>
    <w:rsid w:val="00A6611D"/>
    <w:rsid w:val="00A82CB7"/>
    <w:rsid w:val="00A942C1"/>
    <w:rsid w:val="00AA24B8"/>
    <w:rsid w:val="00AA2F03"/>
    <w:rsid w:val="00AC36F7"/>
    <w:rsid w:val="00AC4F42"/>
    <w:rsid w:val="00AC63A4"/>
    <w:rsid w:val="00AD239E"/>
    <w:rsid w:val="00B10265"/>
    <w:rsid w:val="00B16A99"/>
    <w:rsid w:val="00B21211"/>
    <w:rsid w:val="00B35784"/>
    <w:rsid w:val="00B35791"/>
    <w:rsid w:val="00B733A7"/>
    <w:rsid w:val="00B75C91"/>
    <w:rsid w:val="00B878A3"/>
    <w:rsid w:val="00B975AD"/>
    <w:rsid w:val="00BC45FB"/>
    <w:rsid w:val="00BF148D"/>
    <w:rsid w:val="00C23B1A"/>
    <w:rsid w:val="00C310EB"/>
    <w:rsid w:val="00C322C4"/>
    <w:rsid w:val="00C4138B"/>
    <w:rsid w:val="00C9176A"/>
    <w:rsid w:val="00CF1AA2"/>
    <w:rsid w:val="00D17774"/>
    <w:rsid w:val="00D63620"/>
    <w:rsid w:val="00D7069C"/>
    <w:rsid w:val="00D8410D"/>
    <w:rsid w:val="00D867D7"/>
    <w:rsid w:val="00DA1E32"/>
    <w:rsid w:val="00DB7060"/>
    <w:rsid w:val="00DD7C87"/>
    <w:rsid w:val="00DE3153"/>
    <w:rsid w:val="00E00D58"/>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92294"/>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rsid w:val="00D7069C"/>
    <w:rPr>
      <w:rFonts w:ascii="Arial" w:eastAsia="Arial Unicode MS" w:hAnsi="Arial" w:cs="David"/>
      <w:snapToGrid w:val="0"/>
      <w:color w:val="000000"/>
      <w:sz w:val="14"/>
      <w:lang w:eastAsia="ja-JP"/>
    </w:rPr>
  </w:style>
  <w:style w:type="paragraph" w:customStyle="1" w:styleId="P00">
    <w:name w:val="P00"/>
    <w:rsid w:val="0053690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paragraph" w:customStyle="1" w:styleId="P22">
    <w:name w:val="P22"/>
    <w:basedOn w:val="P00"/>
    <w:rsid w:val="0053690C"/>
    <w:pPr>
      <w:tabs>
        <w:tab w:val="clear" w:pos="624"/>
        <w:tab w:val="clear" w:pos="1021"/>
      </w:tabs>
      <w:ind w:right="1021"/>
    </w:pPr>
  </w:style>
  <w:style w:type="character" w:customStyle="1" w:styleId="default">
    <w:name w:val="default"/>
    <w:rsid w:val="0053690C"/>
    <w:rPr>
      <w:rFonts w:ascii="Times New Roman" w:hAnsi="Times New Roman" w:cs="Times New Roman"/>
      <w:sz w:val="26"/>
      <w:szCs w:val="26"/>
    </w:rPr>
  </w:style>
  <w:style w:type="character" w:customStyle="1" w:styleId="big-number">
    <w:name w:val="big-number"/>
    <w:rsid w:val="0053690C"/>
    <w:rPr>
      <w:rFonts w:ascii="Times New Roman" w:hAnsi="Times New Roman" w:cs="Miriam"/>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1A39E3-7CC3-4EE4-9407-8AD6AC34D138}"/>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purl.org/dc/terms/"/>
    <ds:schemaRef ds:uri="http://schemas.microsoft.com/office/2006/documentManagement/types"/>
    <ds:schemaRef ds:uri="http://www.w3.org/XML/1998/namespace"/>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43996DFC-0BB6-4EBA-95D5-4EDBA9D84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465</Words>
  <Characters>2296</Characters>
  <Application>Microsoft Office Word</Application>
  <DocSecurity>0</DocSecurity>
  <Lines>19</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אלעזר שטרן - הלשכה המשפטית</cp:lastModifiedBy>
  <cp:revision>4</cp:revision>
  <cp:lastPrinted>2017-02-09T10:09:00Z</cp:lastPrinted>
  <dcterms:created xsi:type="dcterms:W3CDTF">2017-12-28T05:28:00Z</dcterms:created>
  <dcterms:modified xsi:type="dcterms:W3CDTF">2017-12-28T05:31:00Z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2025552</vt:r8>
  </property>
</Properties>
</file>