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1131" w:rsidRPr="00011131" w:rsidRDefault="0039656A" w:rsidP="00D41512">
      <w:pPr>
        <w:pStyle w:val="Hesber"/>
        <w:ind w:firstLine="0"/>
        <w:jc w:val="right"/>
        <w:rPr>
          <w:sz w:val="24"/>
          <w:szCs w:val="24"/>
        </w:rPr>
      </w:pPr>
      <w:r>
        <w:rPr>
          <w:rFonts w:hint="cs"/>
          <w:sz w:val="24"/>
          <w:szCs w:val="24"/>
          <w:rtl/>
        </w:rPr>
        <w:t>2 בינואר 2018</w:t>
      </w:r>
    </w:p>
    <w:p w:rsidR="00FD5F96" w:rsidRPr="00011131" w:rsidRDefault="00FD5F96" w:rsidP="00FD5F96">
      <w:pPr>
        <w:pStyle w:val="Hesber"/>
        <w:ind w:firstLine="0"/>
        <w:rPr>
          <w:sz w:val="24"/>
          <w:szCs w:val="24"/>
          <w:rtl/>
        </w:rPr>
      </w:pPr>
      <w:r w:rsidRPr="00011131">
        <w:rPr>
          <w:rFonts w:hint="cs"/>
          <w:sz w:val="24"/>
          <w:szCs w:val="24"/>
          <w:rtl/>
        </w:rPr>
        <w:t>לכבוד</w:t>
      </w:r>
      <w:r w:rsidR="0039656A">
        <w:rPr>
          <w:sz w:val="24"/>
          <w:szCs w:val="24"/>
          <w:rtl/>
        </w:rPr>
        <w:tab/>
      </w:r>
      <w:r w:rsidR="0039656A">
        <w:rPr>
          <w:sz w:val="24"/>
          <w:szCs w:val="24"/>
          <w:rtl/>
        </w:rPr>
        <w:tab/>
      </w:r>
      <w:r w:rsidR="0039656A">
        <w:rPr>
          <w:sz w:val="24"/>
          <w:szCs w:val="24"/>
          <w:rtl/>
        </w:rPr>
        <w:tab/>
      </w:r>
      <w:r w:rsidR="0039656A">
        <w:rPr>
          <w:sz w:val="24"/>
          <w:szCs w:val="24"/>
          <w:rtl/>
        </w:rPr>
        <w:tab/>
      </w:r>
      <w:proofErr w:type="spellStart"/>
      <w:r w:rsidR="0039656A">
        <w:rPr>
          <w:rFonts w:hint="cs"/>
          <w:sz w:val="24"/>
          <w:szCs w:val="24"/>
          <w:rtl/>
        </w:rPr>
        <w:t>לכבוד</w:t>
      </w:r>
      <w:proofErr w:type="spellEnd"/>
    </w:p>
    <w:p w:rsidR="0039656A" w:rsidRPr="0039656A" w:rsidRDefault="0039656A" w:rsidP="00FD5F96">
      <w:pPr>
        <w:pStyle w:val="Hesber"/>
        <w:ind w:firstLine="0"/>
        <w:rPr>
          <w:sz w:val="24"/>
          <w:szCs w:val="24"/>
          <w:rtl/>
        </w:rPr>
      </w:pPr>
      <w:r w:rsidRPr="0039656A">
        <w:rPr>
          <w:rFonts w:hint="cs"/>
          <w:sz w:val="24"/>
          <w:szCs w:val="24"/>
          <w:rtl/>
        </w:rPr>
        <w:t>ח"כ יואב קיש</w:t>
      </w:r>
      <w:r w:rsidRPr="0039656A">
        <w:rPr>
          <w:sz w:val="24"/>
          <w:szCs w:val="24"/>
          <w:rtl/>
        </w:rPr>
        <w:tab/>
      </w:r>
      <w:r w:rsidRPr="0039656A">
        <w:rPr>
          <w:sz w:val="24"/>
          <w:szCs w:val="24"/>
          <w:rtl/>
        </w:rPr>
        <w:tab/>
      </w:r>
      <w:r w:rsidRPr="0039656A">
        <w:rPr>
          <w:sz w:val="24"/>
          <w:szCs w:val="24"/>
          <w:rtl/>
        </w:rPr>
        <w:tab/>
      </w:r>
      <w:r w:rsidRPr="00E01D21">
        <w:rPr>
          <w:rFonts w:hint="cs"/>
          <w:sz w:val="24"/>
          <w:szCs w:val="24"/>
          <w:u w:val="single"/>
          <w:rtl/>
        </w:rPr>
        <w:t>חברי ועדת הכנסת</w:t>
      </w:r>
    </w:p>
    <w:p w:rsidR="00FD5F96" w:rsidRPr="00011131" w:rsidRDefault="0039656A" w:rsidP="0039656A">
      <w:pPr>
        <w:pStyle w:val="Hesber"/>
        <w:ind w:firstLine="0"/>
        <w:rPr>
          <w:sz w:val="24"/>
          <w:szCs w:val="24"/>
          <w:u w:val="single"/>
          <w:rtl/>
        </w:rPr>
      </w:pPr>
      <w:r>
        <w:rPr>
          <w:rFonts w:hint="cs"/>
          <w:sz w:val="24"/>
          <w:szCs w:val="24"/>
          <w:u w:val="single"/>
          <w:rtl/>
        </w:rPr>
        <w:t>יו"ר ועדת הכנסת</w:t>
      </w:r>
    </w:p>
    <w:p w:rsidR="00FD5F96" w:rsidRDefault="00FD5F96" w:rsidP="00FD5F96">
      <w:pPr>
        <w:pStyle w:val="Hesber"/>
        <w:ind w:firstLine="0"/>
        <w:rPr>
          <w:sz w:val="24"/>
          <w:szCs w:val="24"/>
          <w:rtl/>
        </w:rPr>
      </w:pPr>
      <w:r w:rsidRPr="00011131">
        <w:rPr>
          <w:rFonts w:hint="cs"/>
          <w:sz w:val="24"/>
          <w:szCs w:val="24"/>
          <w:rtl/>
        </w:rPr>
        <w:t>שלום רב,</w:t>
      </w:r>
    </w:p>
    <w:p w:rsidR="00D41512" w:rsidRPr="00011131" w:rsidRDefault="00D41512" w:rsidP="00FD5F96">
      <w:pPr>
        <w:pStyle w:val="Hesber"/>
        <w:ind w:firstLine="0"/>
        <w:rPr>
          <w:sz w:val="24"/>
          <w:szCs w:val="24"/>
          <w:rtl/>
        </w:rPr>
      </w:pPr>
    </w:p>
    <w:p w:rsidR="00FD5F96" w:rsidRPr="00011131" w:rsidRDefault="00FD5F96" w:rsidP="00D41512">
      <w:pPr>
        <w:pStyle w:val="Hesber"/>
        <w:ind w:firstLine="0"/>
        <w:jc w:val="center"/>
        <w:rPr>
          <w:sz w:val="24"/>
          <w:szCs w:val="24"/>
          <w:u w:val="single"/>
          <w:rtl/>
        </w:rPr>
      </w:pPr>
      <w:r w:rsidRPr="00011131">
        <w:rPr>
          <w:rFonts w:hint="cs"/>
          <w:sz w:val="24"/>
          <w:szCs w:val="24"/>
          <w:rtl/>
        </w:rPr>
        <w:t xml:space="preserve">הנדון: </w:t>
      </w:r>
      <w:r w:rsidRPr="0039656A">
        <w:rPr>
          <w:rFonts w:hint="cs"/>
          <w:b/>
          <w:bCs/>
          <w:sz w:val="24"/>
          <w:szCs w:val="24"/>
          <w:u w:val="single"/>
          <w:rtl/>
        </w:rPr>
        <w:t>דיון בנושא "יחסי הגומלין בין הכנסת ובין אזרחי ישראל תושבי יהודה ושומרון"</w:t>
      </w:r>
    </w:p>
    <w:p w:rsidR="00C45085" w:rsidRPr="005D27F0" w:rsidRDefault="00FD5F96" w:rsidP="00C21DF3">
      <w:pPr>
        <w:pStyle w:val="Hesber"/>
        <w:numPr>
          <w:ilvl w:val="0"/>
          <w:numId w:val="1"/>
        </w:numPr>
        <w:spacing w:before="120"/>
        <w:ind w:left="368"/>
        <w:rPr>
          <w:sz w:val="24"/>
          <w:szCs w:val="24"/>
          <w:rtl/>
        </w:rPr>
      </w:pPr>
      <w:r w:rsidRPr="00011131">
        <w:rPr>
          <w:rFonts w:hint="cs"/>
          <w:sz w:val="24"/>
          <w:szCs w:val="24"/>
          <w:rtl/>
        </w:rPr>
        <w:t xml:space="preserve">אנו מתכבדים לפנות אליכם לקראת דיון הצפוי </w:t>
      </w:r>
      <w:bookmarkStart w:id="0" w:name="_GoBack"/>
      <w:r w:rsidRPr="00011131">
        <w:rPr>
          <w:rFonts w:hint="cs"/>
          <w:sz w:val="24"/>
          <w:szCs w:val="24"/>
          <w:rtl/>
        </w:rPr>
        <w:t xml:space="preserve">להתקיים בוועדת הכנסת </w:t>
      </w:r>
      <w:r w:rsidR="005D27F0" w:rsidRPr="00011131">
        <w:rPr>
          <w:rFonts w:hint="cs"/>
          <w:sz w:val="24"/>
          <w:szCs w:val="24"/>
          <w:rtl/>
        </w:rPr>
        <w:t xml:space="preserve">בתאריך 3.1.2018 </w:t>
      </w:r>
      <w:r w:rsidR="00C45085">
        <w:rPr>
          <w:rFonts w:hint="cs"/>
          <w:sz w:val="24"/>
          <w:szCs w:val="24"/>
          <w:rtl/>
        </w:rPr>
        <w:t xml:space="preserve">תחת הכותרת שבנדון, </w:t>
      </w:r>
      <w:r w:rsidR="005D27F0">
        <w:rPr>
          <w:rFonts w:hint="cs"/>
          <w:sz w:val="24"/>
          <w:szCs w:val="24"/>
          <w:rtl/>
        </w:rPr>
        <w:t>ה</w:t>
      </w:r>
      <w:r w:rsidR="00C45085">
        <w:rPr>
          <w:rFonts w:hint="cs"/>
          <w:sz w:val="24"/>
          <w:szCs w:val="24"/>
          <w:rtl/>
        </w:rPr>
        <w:t xml:space="preserve">צפוי </w:t>
      </w:r>
      <w:r w:rsidR="005D27F0">
        <w:rPr>
          <w:rFonts w:hint="cs"/>
          <w:sz w:val="24"/>
          <w:szCs w:val="24"/>
          <w:rtl/>
        </w:rPr>
        <w:t>ל</w:t>
      </w:r>
      <w:r w:rsidR="00C45085">
        <w:rPr>
          <w:rFonts w:hint="cs"/>
          <w:sz w:val="24"/>
          <w:szCs w:val="24"/>
          <w:rtl/>
        </w:rPr>
        <w:t xml:space="preserve">עסוק </w:t>
      </w:r>
      <w:r w:rsidRPr="00011131">
        <w:rPr>
          <w:rFonts w:hint="cs"/>
          <w:sz w:val="24"/>
          <w:szCs w:val="24"/>
          <w:rtl/>
        </w:rPr>
        <w:t>בסוגיית הח</w:t>
      </w:r>
      <w:bookmarkEnd w:id="0"/>
      <w:r w:rsidRPr="00011131">
        <w:rPr>
          <w:rFonts w:hint="cs"/>
          <w:sz w:val="24"/>
          <w:szCs w:val="24"/>
          <w:rtl/>
        </w:rPr>
        <w:t xml:space="preserve">לת חקיקה ישראלית של הכנסת על אזרחי מדינת ישראל המתגוררים </w:t>
      </w:r>
      <w:r w:rsidR="00C21DF3">
        <w:rPr>
          <w:rFonts w:hint="cs"/>
          <w:sz w:val="24"/>
          <w:szCs w:val="24"/>
          <w:rtl/>
        </w:rPr>
        <w:t>בשטחים</w:t>
      </w:r>
      <w:r w:rsidRPr="00011131">
        <w:rPr>
          <w:rFonts w:hint="cs"/>
          <w:sz w:val="24"/>
          <w:szCs w:val="24"/>
          <w:rtl/>
        </w:rPr>
        <w:t xml:space="preserve">. </w:t>
      </w:r>
    </w:p>
    <w:p w:rsidR="00C9168A" w:rsidRPr="00011131" w:rsidRDefault="00C45085" w:rsidP="00C21DF3">
      <w:pPr>
        <w:pStyle w:val="Hesber"/>
        <w:numPr>
          <w:ilvl w:val="0"/>
          <w:numId w:val="1"/>
        </w:numPr>
        <w:spacing w:before="120"/>
        <w:ind w:left="368"/>
        <w:rPr>
          <w:sz w:val="24"/>
          <w:szCs w:val="24"/>
        </w:rPr>
      </w:pPr>
      <w:r>
        <w:rPr>
          <w:rFonts w:hint="cs"/>
          <w:b/>
          <w:bCs/>
          <w:sz w:val="24"/>
          <w:szCs w:val="24"/>
          <w:rtl/>
        </w:rPr>
        <w:t>אנו מבקשים להפנות תשומת לבכם לכך, ש</w:t>
      </w:r>
      <w:r w:rsidR="00C9168A" w:rsidRPr="00011131">
        <w:rPr>
          <w:rFonts w:hint="cs"/>
          <w:b/>
          <w:bCs/>
          <w:sz w:val="24"/>
          <w:szCs w:val="24"/>
          <w:rtl/>
        </w:rPr>
        <w:t xml:space="preserve">למערכת הדינים שישראל </w:t>
      </w:r>
      <w:r w:rsidR="003E150C" w:rsidRPr="00011131">
        <w:rPr>
          <w:rFonts w:hint="cs"/>
          <w:b/>
          <w:bCs/>
          <w:sz w:val="24"/>
          <w:szCs w:val="24"/>
          <w:rtl/>
        </w:rPr>
        <w:t xml:space="preserve">בוחרת להחיל </w:t>
      </w:r>
      <w:r w:rsidR="00C21DF3">
        <w:rPr>
          <w:rFonts w:hint="cs"/>
          <w:b/>
          <w:bCs/>
          <w:sz w:val="24"/>
          <w:szCs w:val="24"/>
          <w:rtl/>
        </w:rPr>
        <w:t>בשטחים</w:t>
      </w:r>
      <w:r w:rsidR="00C9168A" w:rsidRPr="00011131">
        <w:rPr>
          <w:rFonts w:hint="cs"/>
          <w:b/>
          <w:bCs/>
          <w:sz w:val="24"/>
          <w:szCs w:val="24"/>
          <w:rtl/>
        </w:rPr>
        <w:t xml:space="preserve"> ולאופן שבו מוחלים</w:t>
      </w:r>
      <w:r w:rsidR="00011131">
        <w:rPr>
          <w:rFonts w:hint="cs"/>
          <w:b/>
          <w:bCs/>
          <w:sz w:val="24"/>
          <w:szCs w:val="24"/>
          <w:rtl/>
        </w:rPr>
        <w:t xml:space="preserve"> שם</w:t>
      </w:r>
      <w:r w:rsidR="00C9168A" w:rsidRPr="00011131">
        <w:rPr>
          <w:rFonts w:hint="cs"/>
          <w:b/>
          <w:bCs/>
          <w:sz w:val="24"/>
          <w:szCs w:val="24"/>
          <w:rtl/>
        </w:rPr>
        <w:t xml:space="preserve"> </w:t>
      </w:r>
      <w:r w:rsidR="003E150C" w:rsidRPr="00011131">
        <w:rPr>
          <w:rFonts w:hint="cs"/>
          <w:b/>
          <w:bCs/>
          <w:sz w:val="24"/>
          <w:szCs w:val="24"/>
          <w:rtl/>
        </w:rPr>
        <w:t xml:space="preserve">דיני מדינת ישראל </w:t>
      </w:r>
      <w:r w:rsidR="00C9168A" w:rsidRPr="00011131">
        <w:rPr>
          <w:rFonts w:hint="cs"/>
          <w:b/>
          <w:bCs/>
          <w:sz w:val="24"/>
          <w:szCs w:val="24"/>
          <w:rtl/>
        </w:rPr>
        <w:t>השלכות אדירות על זכויות אדם</w:t>
      </w:r>
      <w:r w:rsidR="003E150C" w:rsidRPr="00011131">
        <w:rPr>
          <w:rFonts w:hint="cs"/>
          <w:b/>
          <w:bCs/>
          <w:sz w:val="24"/>
          <w:szCs w:val="24"/>
          <w:rtl/>
        </w:rPr>
        <w:t xml:space="preserve"> של מיליוני </w:t>
      </w:r>
      <w:r w:rsidR="00011131">
        <w:rPr>
          <w:rFonts w:hint="cs"/>
          <w:b/>
          <w:bCs/>
          <w:sz w:val="24"/>
          <w:szCs w:val="24"/>
          <w:rtl/>
        </w:rPr>
        <w:t>גברים</w:t>
      </w:r>
      <w:r w:rsidR="003E150C" w:rsidRPr="00011131">
        <w:rPr>
          <w:rFonts w:hint="cs"/>
          <w:b/>
          <w:bCs/>
          <w:sz w:val="24"/>
          <w:szCs w:val="24"/>
          <w:rtl/>
        </w:rPr>
        <w:t xml:space="preserve"> ונשים</w:t>
      </w:r>
      <w:r>
        <w:rPr>
          <w:rFonts w:hint="cs"/>
          <w:b/>
          <w:bCs/>
          <w:sz w:val="24"/>
          <w:szCs w:val="24"/>
          <w:rtl/>
        </w:rPr>
        <w:t>. לפיכך</w:t>
      </w:r>
      <w:r w:rsidR="0013706D">
        <w:rPr>
          <w:rFonts w:hint="cs"/>
          <w:b/>
          <w:bCs/>
          <w:sz w:val="24"/>
          <w:szCs w:val="24"/>
          <w:rtl/>
        </w:rPr>
        <w:t>,</w:t>
      </w:r>
      <w:r>
        <w:rPr>
          <w:rFonts w:hint="cs"/>
          <w:b/>
          <w:bCs/>
          <w:sz w:val="24"/>
          <w:szCs w:val="24"/>
          <w:rtl/>
        </w:rPr>
        <w:t xml:space="preserve"> </w:t>
      </w:r>
      <w:r w:rsidR="00011131">
        <w:rPr>
          <w:rFonts w:hint="cs"/>
          <w:b/>
          <w:bCs/>
          <w:sz w:val="24"/>
          <w:szCs w:val="24"/>
          <w:rtl/>
        </w:rPr>
        <w:t>סוגיית זכויות האדם ראוי שתהא בליבת הדיון בוועדה</w:t>
      </w:r>
      <w:r>
        <w:rPr>
          <w:rFonts w:hint="cs"/>
          <w:b/>
          <w:bCs/>
          <w:sz w:val="24"/>
          <w:szCs w:val="24"/>
          <w:rtl/>
        </w:rPr>
        <w:t xml:space="preserve"> בהקשר זה ובכלל</w:t>
      </w:r>
      <w:r w:rsidR="0013706D">
        <w:rPr>
          <w:rFonts w:hint="cs"/>
          <w:b/>
          <w:bCs/>
          <w:sz w:val="24"/>
          <w:szCs w:val="24"/>
          <w:rtl/>
        </w:rPr>
        <w:t xml:space="preserve"> בדיונים הנוגעים לשטחים ולחוק החל בהם</w:t>
      </w:r>
      <w:r w:rsidR="00011131">
        <w:rPr>
          <w:rFonts w:hint="cs"/>
          <w:b/>
          <w:bCs/>
          <w:sz w:val="24"/>
          <w:szCs w:val="24"/>
          <w:rtl/>
        </w:rPr>
        <w:t>.</w:t>
      </w:r>
      <w:r w:rsidR="00011131" w:rsidRPr="00011131">
        <w:rPr>
          <w:rFonts w:hint="cs"/>
          <w:b/>
          <w:bCs/>
          <w:sz w:val="24"/>
          <w:szCs w:val="24"/>
          <w:rtl/>
        </w:rPr>
        <w:t xml:space="preserve"> </w:t>
      </w:r>
    </w:p>
    <w:p w:rsidR="0013706D" w:rsidRPr="0013706D" w:rsidRDefault="00C45085" w:rsidP="0039656A">
      <w:pPr>
        <w:pStyle w:val="Hesber"/>
        <w:numPr>
          <w:ilvl w:val="0"/>
          <w:numId w:val="1"/>
        </w:numPr>
        <w:spacing w:before="120"/>
        <w:ind w:left="368"/>
        <w:rPr>
          <w:b/>
          <w:bCs/>
          <w:sz w:val="24"/>
          <w:szCs w:val="24"/>
        </w:rPr>
      </w:pPr>
      <w:r>
        <w:rPr>
          <w:rFonts w:hint="cs"/>
          <w:sz w:val="24"/>
          <w:szCs w:val="24"/>
          <w:rtl/>
        </w:rPr>
        <w:t>כפי ש</w:t>
      </w:r>
      <w:r w:rsidR="0039656A">
        <w:rPr>
          <w:rFonts w:hint="cs"/>
          <w:sz w:val="24"/>
          <w:szCs w:val="24"/>
          <w:rtl/>
        </w:rPr>
        <w:t>ו</w:t>
      </w:r>
      <w:r>
        <w:rPr>
          <w:rFonts w:hint="cs"/>
          <w:sz w:val="24"/>
          <w:szCs w:val="24"/>
          <w:rtl/>
        </w:rPr>
        <w:t xml:space="preserve">ודאי ידוע לכם, </w:t>
      </w:r>
      <w:r w:rsidR="003E150C" w:rsidRPr="00011131">
        <w:rPr>
          <w:rFonts w:hint="cs"/>
          <w:sz w:val="24"/>
          <w:szCs w:val="24"/>
          <w:rtl/>
        </w:rPr>
        <w:t>עמדתה הרשמית של מדינת ישראל היא, שתושבי ההתנחלויות מתגוררים מחוץ לשטחה הריבוני של מדינת ישראל</w:t>
      </w:r>
      <w:r w:rsidR="00011131">
        <w:rPr>
          <w:rFonts w:hint="cs"/>
          <w:sz w:val="24"/>
          <w:szCs w:val="24"/>
          <w:rtl/>
        </w:rPr>
        <w:t xml:space="preserve"> ובאזור שתחת משטר צבאי</w:t>
      </w:r>
      <w:r w:rsidR="003E150C" w:rsidRPr="00011131">
        <w:rPr>
          <w:rFonts w:hint="cs"/>
          <w:sz w:val="24"/>
          <w:szCs w:val="24"/>
          <w:rtl/>
        </w:rPr>
        <w:t>. אמנם ישנם חברי כנסת</w:t>
      </w:r>
      <w:r>
        <w:rPr>
          <w:rFonts w:hint="cs"/>
          <w:sz w:val="24"/>
          <w:szCs w:val="24"/>
          <w:rtl/>
        </w:rPr>
        <w:t xml:space="preserve"> ואחרים </w:t>
      </w:r>
      <w:r w:rsidR="003E150C" w:rsidRPr="00011131">
        <w:rPr>
          <w:rFonts w:hint="cs"/>
          <w:sz w:val="24"/>
          <w:szCs w:val="24"/>
          <w:rtl/>
        </w:rPr>
        <w:t xml:space="preserve"> הקוראים תיגר על עמדה זו ומבקשים להחיל ריבונות ישראלית באופן זה או אחר בשטחים. אולם לעת הזו עמד</w:t>
      </w:r>
      <w:r w:rsidR="00455926" w:rsidRPr="00011131">
        <w:rPr>
          <w:rFonts w:hint="cs"/>
          <w:sz w:val="24"/>
          <w:szCs w:val="24"/>
          <w:rtl/>
        </w:rPr>
        <w:t>ת</w:t>
      </w:r>
      <w:r w:rsidR="003E150C" w:rsidRPr="00011131">
        <w:rPr>
          <w:rFonts w:hint="cs"/>
          <w:sz w:val="24"/>
          <w:szCs w:val="24"/>
          <w:rtl/>
        </w:rPr>
        <w:t xml:space="preserve">ה </w:t>
      </w:r>
      <w:r w:rsidR="00455926" w:rsidRPr="00011131">
        <w:rPr>
          <w:rFonts w:hint="cs"/>
          <w:sz w:val="24"/>
          <w:szCs w:val="24"/>
          <w:rtl/>
        </w:rPr>
        <w:t>של ישראל מזה חמישים שנה לא השתנתה</w:t>
      </w:r>
      <w:r w:rsidR="003E150C" w:rsidRPr="00011131">
        <w:rPr>
          <w:rFonts w:hint="cs"/>
          <w:sz w:val="24"/>
          <w:szCs w:val="24"/>
          <w:rtl/>
        </w:rPr>
        <w:t xml:space="preserve"> ועל כן היא העמדה הרלוונטית שבמסגרתה המחוקק הישראלי צריך לפעול</w:t>
      </w:r>
      <w:r w:rsidR="00011131">
        <w:rPr>
          <w:rFonts w:hint="cs"/>
          <w:sz w:val="24"/>
          <w:szCs w:val="24"/>
          <w:rtl/>
        </w:rPr>
        <w:t xml:space="preserve"> בבואו לבחון את משטר הדינים בשטחים</w:t>
      </w:r>
      <w:r w:rsidR="003E150C" w:rsidRPr="00011131">
        <w:rPr>
          <w:rFonts w:hint="cs"/>
          <w:sz w:val="24"/>
          <w:szCs w:val="24"/>
          <w:rtl/>
        </w:rPr>
        <w:t>.</w:t>
      </w:r>
      <w:r w:rsidR="00710072" w:rsidRPr="00011131">
        <w:rPr>
          <w:rFonts w:hint="cs"/>
          <w:sz w:val="24"/>
          <w:szCs w:val="24"/>
          <w:rtl/>
        </w:rPr>
        <w:t xml:space="preserve"> </w:t>
      </w:r>
    </w:p>
    <w:p w:rsidR="00C45085" w:rsidRDefault="00710072" w:rsidP="0039656A">
      <w:pPr>
        <w:pStyle w:val="Hesber"/>
        <w:numPr>
          <w:ilvl w:val="0"/>
          <w:numId w:val="1"/>
        </w:numPr>
        <w:spacing w:before="120"/>
        <w:ind w:left="368"/>
        <w:rPr>
          <w:b/>
          <w:bCs/>
          <w:sz w:val="24"/>
          <w:szCs w:val="24"/>
        </w:rPr>
      </w:pPr>
      <w:r w:rsidRPr="009E6F92">
        <w:rPr>
          <w:rFonts w:hint="cs"/>
          <w:b/>
          <w:bCs/>
          <w:sz w:val="24"/>
          <w:szCs w:val="24"/>
          <w:rtl/>
        </w:rPr>
        <w:t xml:space="preserve">עמדה חלופית שטרם אומצה </w:t>
      </w:r>
      <w:r w:rsidR="00455926" w:rsidRPr="009E6F92">
        <w:rPr>
          <w:rFonts w:hint="cs"/>
          <w:b/>
          <w:bCs/>
          <w:sz w:val="24"/>
          <w:szCs w:val="24"/>
          <w:rtl/>
        </w:rPr>
        <w:t>ואשר מבקשת ל</w:t>
      </w:r>
      <w:r w:rsidRPr="009E6F92">
        <w:rPr>
          <w:rFonts w:hint="cs"/>
          <w:b/>
          <w:bCs/>
          <w:sz w:val="24"/>
          <w:szCs w:val="24"/>
          <w:rtl/>
        </w:rPr>
        <w:t>ייחס לכנסת</w:t>
      </w:r>
      <w:r w:rsidR="00011131" w:rsidRPr="009E6F92">
        <w:rPr>
          <w:rFonts w:hint="cs"/>
          <w:b/>
          <w:bCs/>
          <w:sz w:val="24"/>
          <w:szCs w:val="24"/>
          <w:rtl/>
        </w:rPr>
        <w:t xml:space="preserve"> באופן מיידי</w:t>
      </w:r>
      <w:r w:rsidRPr="009E6F92">
        <w:rPr>
          <w:rFonts w:hint="cs"/>
          <w:b/>
          <w:bCs/>
          <w:sz w:val="24"/>
          <w:szCs w:val="24"/>
          <w:rtl/>
        </w:rPr>
        <w:t xml:space="preserve"> סמכויות ריבוניות </w:t>
      </w:r>
      <w:r w:rsidR="00455926" w:rsidRPr="009E6F92">
        <w:rPr>
          <w:rFonts w:hint="cs"/>
          <w:b/>
          <w:bCs/>
          <w:sz w:val="24"/>
          <w:szCs w:val="24"/>
          <w:rtl/>
        </w:rPr>
        <w:t>בשטח שרשמית אינו בריבונותה</w:t>
      </w:r>
      <w:r w:rsidR="00011131" w:rsidRPr="009E6F92">
        <w:rPr>
          <w:rFonts w:hint="cs"/>
          <w:b/>
          <w:bCs/>
          <w:sz w:val="24"/>
          <w:szCs w:val="24"/>
          <w:rtl/>
        </w:rPr>
        <w:t xml:space="preserve"> אינ</w:t>
      </w:r>
      <w:r w:rsidR="00DC10B6">
        <w:rPr>
          <w:rFonts w:hint="cs"/>
          <w:b/>
          <w:bCs/>
          <w:sz w:val="24"/>
          <w:szCs w:val="24"/>
          <w:rtl/>
        </w:rPr>
        <w:t>נ</w:t>
      </w:r>
      <w:r w:rsidR="00011131" w:rsidRPr="009E6F92">
        <w:rPr>
          <w:rFonts w:hint="cs"/>
          <w:b/>
          <w:bCs/>
          <w:sz w:val="24"/>
          <w:szCs w:val="24"/>
          <w:rtl/>
        </w:rPr>
        <w:t>ה יכולה ל</w:t>
      </w:r>
      <w:r w:rsidR="00DC10B6">
        <w:rPr>
          <w:rFonts w:hint="cs"/>
          <w:b/>
          <w:bCs/>
          <w:sz w:val="24"/>
          <w:szCs w:val="24"/>
          <w:rtl/>
        </w:rPr>
        <w:t>שמש</w:t>
      </w:r>
      <w:r w:rsidR="00011131" w:rsidRPr="009E6F92">
        <w:rPr>
          <w:rFonts w:hint="cs"/>
          <w:b/>
          <w:bCs/>
          <w:sz w:val="24"/>
          <w:szCs w:val="24"/>
          <w:rtl/>
        </w:rPr>
        <w:t xml:space="preserve"> </w:t>
      </w:r>
      <w:r w:rsidR="00DC10B6">
        <w:rPr>
          <w:rFonts w:hint="cs"/>
          <w:b/>
          <w:bCs/>
          <w:sz w:val="24"/>
          <w:szCs w:val="24"/>
          <w:rtl/>
        </w:rPr>
        <w:t>בסיס</w:t>
      </w:r>
      <w:r w:rsidR="00011131" w:rsidRPr="009E6F92">
        <w:rPr>
          <w:rFonts w:hint="cs"/>
          <w:b/>
          <w:bCs/>
          <w:sz w:val="24"/>
          <w:szCs w:val="24"/>
          <w:rtl/>
        </w:rPr>
        <w:t xml:space="preserve"> לחקיקה</w:t>
      </w:r>
      <w:r w:rsidR="00455926" w:rsidRPr="009E6F92">
        <w:rPr>
          <w:rFonts w:hint="cs"/>
          <w:b/>
          <w:bCs/>
          <w:sz w:val="24"/>
          <w:szCs w:val="24"/>
          <w:rtl/>
        </w:rPr>
        <w:t>.</w:t>
      </w:r>
      <w:r w:rsidR="00D41512">
        <w:rPr>
          <w:rFonts w:hint="cs"/>
          <w:b/>
          <w:bCs/>
          <w:sz w:val="24"/>
          <w:szCs w:val="24"/>
          <w:rtl/>
        </w:rPr>
        <w:t xml:space="preserve"> </w:t>
      </w:r>
    </w:p>
    <w:p w:rsidR="00D41512" w:rsidRPr="00D41512" w:rsidRDefault="00D41512" w:rsidP="0039656A">
      <w:pPr>
        <w:pStyle w:val="2"/>
        <w:spacing w:before="240"/>
        <w:rPr>
          <w:rFonts w:ascii="David" w:hAnsi="David" w:cs="David"/>
          <w:sz w:val="24"/>
          <w:szCs w:val="24"/>
          <w:u w:val="single"/>
        </w:rPr>
      </w:pPr>
      <w:r w:rsidRPr="00D41512">
        <w:rPr>
          <w:rFonts w:ascii="David" w:hAnsi="David" w:cs="David" w:hint="cs"/>
          <w:sz w:val="24"/>
          <w:szCs w:val="24"/>
          <w:u w:val="single"/>
          <w:rtl/>
        </w:rPr>
        <w:t>הדין החל בשטחים</w:t>
      </w:r>
    </w:p>
    <w:p w:rsidR="00455926" w:rsidRPr="00011131" w:rsidRDefault="00710072" w:rsidP="00C21DF3">
      <w:pPr>
        <w:pStyle w:val="Hesber"/>
        <w:numPr>
          <w:ilvl w:val="0"/>
          <w:numId w:val="1"/>
        </w:numPr>
        <w:spacing w:before="120"/>
        <w:ind w:left="368"/>
        <w:rPr>
          <w:sz w:val="24"/>
          <w:szCs w:val="24"/>
        </w:rPr>
      </w:pPr>
      <w:r w:rsidRPr="00011131">
        <w:rPr>
          <w:rFonts w:hint="cs"/>
          <w:sz w:val="24"/>
          <w:szCs w:val="24"/>
          <w:rtl/>
        </w:rPr>
        <w:t>עמד</w:t>
      </w:r>
      <w:r w:rsidR="0053482F" w:rsidRPr="00011131">
        <w:rPr>
          <w:rFonts w:hint="cs"/>
          <w:sz w:val="24"/>
          <w:szCs w:val="24"/>
          <w:rtl/>
        </w:rPr>
        <w:t>ת</w:t>
      </w:r>
      <w:r w:rsidRPr="00011131">
        <w:rPr>
          <w:rFonts w:hint="cs"/>
          <w:sz w:val="24"/>
          <w:szCs w:val="24"/>
          <w:rtl/>
        </w:rPr>
        <w:t xml:space="preserve">ה </w:t>
      </w:r>
      <w:r w:rsidR="0053482F" w:rsidRPr="00011131">
        <w:rPr>
          <w:rFonts w:hint="cs"/>
          <w:sz w:val="24"/>
          <w:szCs w:val="24"/>
          <w:rtl/>
        </w:rPr>
        <w:t>ה</w:t>
      </w:r>
      <w:r w:rsidRPr="00011131">
        <w:rPr>
          <w:rFonts w:hint="cs"/>
          <w:sz w:val="24"/>
          <w:szCs w:val="24"/>
          <w:rtl/>
        </w:rPr>
        <w:t xml:space="preserve">רשמית </w:t>
      </w:r>
      <w:r w:rsidR="0053482F" w:rsidRPr="00011131">
        <w:rPr>
          <w:rFonts w:hint="cs"/>
          <w:sz w:val="24"/>
          <w:szCs w:val="24"/>
          <w:rtl/>
        </w:rPr>
        <w:t>של ישראל</w:t>
      </w:r>
      <w:r w:rsidR="00206054" w:rsidRPr="00011131">
        <w:rPr>
          <w:rFonts w:hint="cs"/>
          <w:sz w:val="24"/>
          <w:szCs w:val="24"/>
          <w:rtl/>
        </w:rPr>
        <w:t xml:space="preserve"> מאז יוני 1967</w:t>
      </w:r>
      <w:r w:rsidR="00455926" w:rsidRPr="00011131">
        <w:rPr>
          <w:rFonts w:hint="cs"/>
          <w:sz w:val="24"/>
          <w:szCs w:val="24"/>
          <w:rtl/>
        </w:rPr>
        <w:t xml:space="preserve"> </w:t>
      </w:r>
      <w:r w:rsidR="00206054" w:rsidRPr="00011131">
        <w:rPr>
          <w:rFonts w:hint="cs"/>
          <w:sz w:val="24"/>
          <w:szCs w:val="24"/>
          <w:rtl/>
        </w:rPr>
        <w:t>היא כי</w:t>
      </w:r>
      <w:r w:rsidR="00455926" w:rsidRPr="00011131">
        <w:rPr>
          <w:rFonts w:hint="cs"/>
          <w:sz w:val="24"/>
          <w:szCs w:val="24"/>
          <w:rtl/>
        </w:rPr>
        <w:t xml:space="preserve"> שליטת המפקד הצבאי הישראלי </w:t>
      </w:r>
      <w:r w:rsidR="00C21DF3">
        <w:rPr>
          <w:rFonts w:hint="cs"/>
          <w:sz w:val="24"/>
          <w:szCs w:val="24"/>
          <w:rtl/>
        </w:rPr>
        <w:t>בשטחים</w:t>
      </w:r>
      <w:r w:rsidR="00206054" w:rsidRPr="00011131">
        <w:rPr>
          <w:rFonts w:hint="cs"/>
          <w:sz w:val="24"/>
          <w:szCs w:val="24"/>
          <w:rtl/>
        </w:rPr>
        <w:t xml:space="preserve"> מתקיימת במסגרת של "תפיסה </w:t>
      </w:r>
      <w:proofErr w:type="spellStart"/>
      <w:r w:rsidR="00206054" w:rsidRPr="00011131">
        <w:rPr>
          <w:rFonts w:hint="cs"/>
          <w:sz w:val="24"/>
          <w:szCs w:val="24"/>
          <w:rtl/>
        </w:rPr>
        <w:t>לוחמתית</w:t>
      </w:r>
      <w:proofErr w:type="spellEnd"/>
      <w:r w:rsidR="00206054" w:rsidRPr="00011131">
        <w:rPr>
          <w:rFonts w:hint="cs"/>
          <w:sz w:val="24"/>
          <w:szCs w:val="24"/>
          <w:rtl/>
        </w:rPr>
        <w:t>"</w:t>
      </w:r>
      <w:r w:rsidR="006244EA">
        <w:rPr>
          <w:rFonts w:hint="cs"/>
          <w:sz w:val="24"/>
          <w:szCs w:val="24"/>
          <w:rtl/>
        </w:rPr>
        <w:t xml:space="preserve"> וכפופה לדין הבינלאומי הנוהג בשטח כבוש. </w:t>
      </w:r>
      <w:r w:rsidR="00206054" w:rsidRPr="00011131">
        <w:rPr>
          <w:rFonts w:hint="cs"/>
          <w:sz w:val="24"/>
          <w:szCs w:val="24"/>
          <w:rtl/>
        </w:rPr>
        <w:t>ה</w:t>
      </w:r>
      <w:r w:rsidR="0053482F" w:rsidRPr="00011131">
        <w:rPr>
          <w:rFonts w:hint="cs"/>
          <w:sz w:val="24"/>
          <w:szCs w:val="24"/>
          <w:rtl/>
        </w:rPr>
        <w:t>לגיטימיות</w:t>
      </w:r>
      <w:r w:rsidR="00206054" w:rsidRPr="00011131">
        <w:rPr>
          <w:rFonts w:hint="cs"/>
          <w:sz w:val="24"/>
          <w:szCs w:val="24"/>
          <w:rtl/>
        </w:rPr>
        <w:t xml:space="preserve"> של שליטה </w:t>
      </w:r>
      <w:r w:rsidR="00011131">
        <w:rPr>
          <w:rFonts w:hint="cs"/>
          <w:sz w:val="24"/>
          <w:szCs w:val="24"/>
          <w:rtl/>
        </w:rPr>
        <w:t xml:space="preserve">צבאית </w:t>
      </w:r>
      <w:r w:rsidR="00206054" w:rsidRPr="00011131">
        <w:rPr>
          <w:rFonts w:hint="cs"/>
          <w:sz w:val="24"/>
          <w:szCs w:val="24"/>
          <w:rtl/>
        </w:rPr>
        <w:t>זו</w:t>
      </w:r>
      <w:r w:rsidR="00455926" w:rsidRPr="00011131">
        <w:rPr>
          <w:rFonts w:hint="cs"/>
          <w:sz w:val="24"/>
          <w:szCs w:val="24"/>
          <w:rtl/>
        </w:rPr>
        <w:t xml:space="preserve"> נשענת על מספר עדנים</w:t>
      </w:r>
      <w:r w:rsidR="0053482F" w:rsidRPr="00011131">
        <w:rPr>
          <w:rFonts w:hint="cs"/>
          <w:sz w:val="24"/>
          <w:szCs w:val="24"/>
          <w:rtl/>
        </w:rPr>
        <w:t xml:space="preserve"> </w:t>
      </w:r>
      <w:r w:rsidR="006244EA">
        <w:rPr>
          <w:rFonts w:hint="cs"/>
          <w:sz w:val="24"/>
          <w:szCs w:val="24"/>
          <w:rtl/>
        </w:rPr>
        <w:t>ש</w:t>
      </w:r>
      <w:r w:rsidR="009E6F92">
        <w:rPr>
          <w:rFonts w:hint="cs"/>
          <w:sz w:val="24"/>
          <w:szCs w:val="24"/>
          <w:rtl/>
        </w:rPr>
        <w:t>שניים מ</w:t>
      </w:r>
      <w:r w:rsidR="006244EA">
        <w:rPr>
          <w:rFonts w:hint="cs"/>
          <w:sz w:val="24"/>
          <w:szCs w:val="24"/>
          <w:rtl/>
        </w:rPr>
        <w:t>הם מרכזיים ל</w:t>
      </w:r>
      <w:r w:rsidR="00011131">
        <w:rPr>
          <w:rFonts w:hint="cs"/>
          <w:sz w:val="24"/>
          <w:szCs w:val="24"/>
          <w:rtl/>
        </w:rPr>
        <w:t>דיון בוועדה</w:t>
      </w:r>
      <w:r w:rsidR="0053482F" w:rsidRPr="00011131">
        <w:rPr>
          <w:rFonts w:hint="cs"/>
          <w:sz w:val="24"/>
          <w:szCs w:val="24"/>
          <w:rtl/>
        </w:rPr>
        <w:t>:</w:t>
      </w:r>
    </w:p>
    <w:p w:rsidR="0053482F" w:rsidRPr="00011131" w:rsidRDefault="0053482F" w:rsidP="0039656A">
      <w:pPr>
        <w:pStyle w:val="Hesber"/>
        <w:numPr>
          <w:ilvl w:val="0"/>
          <w:numId w:val="2"/>
        </w:numPr>
        <w:spacing w:before="120"/>
        <w:ind w:left="793"/>
        <w:rPr>
          <w:sz w:val="24"/>
          <w:szCs w:val="24"/>
        </w:rPr>
      </w:pPr>
      <w:r w:rsidRPr="00011131">
        <w:rPr>
          <w:rFonts w:hint="cs"/>
          <w:b/>
          <w:bCs/>
          <w:sz w:val="24"/>
          <w:szCs w:val="24"/>
          <w:rtl/>
        </w:rPr>
        <w:t>זמניות</w:t>
      </w:r>
      <w:r w:rsidR="00DC10B6">
        <w:rPr>
          <w:rFonts w:hint="cs"/>
          <w:b/>
          <w:bCs/>
          <w:sz w:val="24"/>
          <w:szCs w:val="24"/>
          <w:rtl/>
        </w:rPr>
        <w:t xml:space="preserve"> השליטה</w:t>
      </w:r>
      <w:r w:rsidRPr="00011131">
        <w:rPr>
          <w:rFonts w:hint="cs"/>
          <w:sz w:val="24"/>
          <w:szCs w:val="24"/>
          <w:rtl/>
        </w:rPr>
        <w:t xml:space="preserve">. הדין הבינלאומי מגדיר </w:t>
      </w:r>
      <w:r w:rsidR="00455926" w:rsidRPr="00011131">
        <w:rPr>
          <w:rFonts w:hint="cs"/>
          <w:sz w:val="24"/>
          <w:szCs w:val="24"/>
          <w:rtl/>
        </w:rPr>
        <w:t xml:space="preserve">משטר צבאי </w:t>
      </w:r>
      <w:r w:rsidRPr="00011131">
        <w:rPr>
          <w:rFonts w:hint="cs"/>
          <w:sz w:val="24"/>
          <w:szCs w:val="24"/>
          <w:rtl/>
        </w:rPr>
        <w:t>מסוג</w:t>
      </w:r>
      <w:r w:rsidR="00455926" w:rsidRPr="00011131">
        <w:rPr>
          <w:rFonts w:hint="cs"/>
          <w:sz w:val="24"/>
          <w:szCs w:val="24"/>
          <w:rtl/>
        </w:rPr>
        <w:t xml:space="preserve"> "תפיסה </w:t>
      </w:r>
      <w:proofErr w:type="spellStart"/>
      <w:r w:rsidR="00455926" w:rsidRPr="00011131">
        <w:rPr>
          <w:rFonts w:hint="cs"/>
          <w:sz w:val="24"/>
          <w:szCs w:val="24"/>
          <w:rtl/>
        </w:rPr>
        <w:t>לוחמתית</w:t>
      </w:r>
      <w:proofErr w:type="spellEnd"/>
      <w:r w:rsidR="00455926" w:rsidRPr="00011131">
        <w:rPr>
          <w:rFonts w:hint="cs"/>
          <w:sz w:val="24"/>
          <w:szCs w:val="24"/>
          <w:rtl/>
        </w:rPr>
        <w:t>"</w:t>
      </w:r>
      <w:r w:rsidRPr="00011131">
        <w:rPr>
          <w:rFonts w:hint="cs"/>
          <w:sz w:val="24"/>
          <w:szCs w:val="24"/>
          <w:rtl/>
        </w:rPr>
        <w:t xml:space="preserve"> כ</w:t>
      </w:r>
      <w:r w:rsidR="00455926" w:rsidRPr="00011131">
        <w:rPr>
          <w:rFonts w:hint="cs"/>
          <w:sz w:val="24"/>
          <w:szCs w:val="24"/>
          <w:rtl/>
        </w:rPr>
        <w:t xml:space="preserve">משטר זמני במהותו. מחד </w:t>
      </w:r>
      <w:r w:rsidR="006244EA">
        <w:rPr>
          <w:rFonts w:hint="cs"/>
          <w:sz w:val="24"/>
          <w:szCs w:val="24"/>
          <w:rtl/>
        </w:rPr>
        <w:t>הוא מ</w:t>
      </w:r>
      <w:r w:rsidR="00455926" w:rsidRPr="00011131">
        <w:rPr>
          <w:rFonts w:hint="cs"/>
          <w:sz w:val="24"/>
          <w:szCs w:val="24"/>
          <w:rtl/>
        </w:rPr>
        <w:t>אפשר שליטה צבאית אפק</w:t>
      </w:r>
      <w:r w:rsidR="006244EA">
        <w:rPr>
          <w:rFonts w:hint="cs"/>
          <w:sz w:val="24"/>
          <w:szCs w:val="24"/>
          <w:rtl/>
        </w:rPr>
        <w:t>טיבית בשטח שנכבש במלחמה, ומאידך הוא מ</w:t>
      </w:r>
      <w:r w:rsidR="00455926" w:rsidRPr="00011131">
        <w:rPr>
          <w:rFonts w:hint="cs"/>
          <w:sz w:val="24"/>
          <w:szCs w:val="24"/>
          <w:rtl/>
        </w:rPr>
        <w:t>ספק הגנה לאוכלוסיה אזרחית המוצאת עצמה</w:t>
      </w:r>
      <w:r w:rsidR="00DC10B6">
        <w:rPr>
          <w:rFonts w:hint="cs"/>
          <w:sz w:val="24"/>
          <w:szCs w:val="24"/>
          <w:rtl/>
        </w:rPr>
        <w:t xml:space="preserve"> לפרק זמן מוגבל</w:t>
      </w:r>
      <w:r w:rsidR="00455926" w:rsidRPr="00011131">
        <w:rPr>
          <w:rFonts w:hint="cs"/>
          <w:sz w:val="24"/>
          <w:szCs w:val="24"/>
          <w:rtl/>
        </w:rPr>
        <w:t xml:space="preserve"> תחת שליט</w:t>
      </w:r>
      <w:r w:rsidR="006244EA">
        <w:rPr>
          <w:rFonts w:hint="cs"/>
          <w:sz w:val="24"/>
          <w:szCs w:val="24"/>
          <w:rtl/>
        </w:rPr>
        <w:t>ת</w:t>
      </w:r>
      <w:r w:rsidR="00455926" w:rsidRPr="00011131">
        <w:rPr>
          <w:rFonts w:hint="cs"/>
          <w:sz w:val="24"/>
          <w:szCs w:val="24"/>
          <w:rtl/>
        </w:rPr>
        <w:t xml:space="preserve"> צבא זר. </w:t>
      </w:r>
    </w:p>
    <w:p w:rsidR="00710072" w:rsidRPr="00011131" w:rsidRDefault="006244EA" w:rsidP="0039656A">
      <w:pPr>
        <w:pStyle w:val="Hesber"/>
        <w:spacing w:before="120"/>
        <w:ind w:left="793" w:firstLine="0"/>
        <w:rPr>
          <w:sz w:val="24"/>
          <w:szCs w:val="24"/>
          <w:rtl/>
        </w:rPr>
      </w:pPr>
      <w:r w:rsidRPr="00011131">
        <w:rPr>
          <w:rFonts w:hint="cs"/>
          <w:sz w:val="24"/>
          <w:szCs w:val="24"/>
          <w:rtl/>
        </w:rPr>
        <w:t xml:space="preserve">המאפיין של הזמניות </w:t>
      </w:r>
      <w:r>
        <w:rPr>
          <w:rFonts w:hint="cs"/>
          <w:sz w:val="24"/>
          <w:szCs w:val="24"/>
          <w:rtl/>
        </w:rPr>
        <w:t>עומד בבסיס</w:t>
      </w:r>
      <w:r w:rsidRPr="00011131">
        <w:rPr>
          <w:rFonts w:hint="cs"/>
          <w:sz w:val="24"/>
          <w:szCs w:val="24"/>
          <w:rtl/>
        </w:rPr>
        <w:t xml:space="preserve"> </w:t>
      </w:r>
      <w:r>
        <w:rPr>
          <w:rFonts w:hint="cs"/>
          <w:sz w:val="24"/>
          <w:szCs w:val="24"/>
          <w:rtl/>
        </w:rPr>
        <w:t>ה</w:t>
      </w:r>
      <w:r w:rsidRPr="00011131">
        <w:rPr>
          <w:rFonts w:hint="cs"/>
          <w:sz w:val="24"/>
          <w:szCs w:val="24"/>
          <w:rtl/>
        </w:rPr>
        <w:t>לגיטימ</w:t>
      </w:r>
      <w:r>
        <w:rPr>
          <w:rFonts w:hint="cs"/>
          <w:sz w:val="24"/>
          <w:szCs w:val="24"/>
          <w:rtl/>
        </w:rPr>
        <w:t>יות</w:t>
      </w:r>
      <w:r w:rsidRPr="00011131">
        <w:rPr>
          <w:rFonts w:hint="cs"/>
          <w:sz w:val="24"/>
          <w:szCs w:val="24"/>
          <w:rtl/>
        </w:rPr>
        <w:t xml:space="preserve"> </w:t>
      </w:r>
      <w:r>
        <w:rPr>
          <w:rFonts w:hint="cs"/>
          <w:sz w:val="24"/>
          <w:szCs w:val="24"/>
          <w:rtl/>
        </w:rPr>
        <w:t>ש</w:t>
      </w:r>
      <w:r w:rsidRPr="00011131">
        <w:rPr>
          <w:rFonts w:hint="cs"/>
          <w:sz w:val="24"/>
          <w:szCs w:val="24"/>
          <w:rtl/>
        </w:rPr>
        <w:t>ל</w:t>
      </w:r>
      <w:r>
        <w:rPr>
          <w:rFonts w:hint="cs"/>
          <w:sz w:val="24"/>
          <w:szCs w:val="24"/>
          <w:rtl/>
        </w:rPr>
        <w:t xml:space="preserve"> ה</w:t>
      </w:r>
      <w:r w:rsidRPr="00011131">
        <w:rPr>
          <w:rFonts w:hint="cs"/>
          <w:sz w:val="24"/>
          <w:szCs w:val="24"/>
          <w:rtl/>
        </w:rPr>
        <w:t>משטר הצבאי</w:t>
      </w:r>
      <w:r>
        <w:rPr>
          <w:rFonts w:hint="cs"/>
          <w:sz w:val="24"/>
          <w:szCs w:val="24"/>
          <w:rtl/>
        </w:rPr>
        <w:t xml:space="preserve"> בשטח הכבוש. </w:t>
      </w:r>
      <w:r w:rsidR="007D20C4">
        <w:rPr>
          <w:rFonts w:hint="cs"/>
          <w:sz w:val="24"/>
          <w:szCs w:val="24"/>
          <w:rtl/>
        </w:rPr>
        <w:t xml:space="preserve">נקיטה </w:t>
      </w:r>
      <w:r w:rsidR="007D20C4">
        <w:rPr>
          <w:rFonts w:hint="cs"/>
          <w:sz w:val="24"/>
          <w:szCs w:val="24"/>
          <w:rtl/>
        </w:rPr>
        <w:lastRenderedPageBreak/>
        <w:t xml:space="preserve">בצעדים אשר מטרתם וכוונתם להביא להחזקה קבועה בשטחים או בחלקם </w:t>
      </w:r>
      <w:r w:rsidR="0053482F" w:rsidRPr="00011131">
        <w:rPr>
          <w:rFonts w:hint="cs"/>
          <w:sz w:val="24"/>
          <w:szCs w:val="24"/>
          <w:rtl/>
        </w:rPr>
        <w:t>הופכת את ה</w:t>
      </w:r>
      <w:r w:rsidR="00455926" w:rsidRPr="00011131">
        <w:rPr>
          <w:rFonts w:hint="cs"/>
          <w:sz w:val="24"/>
          <w:szCs w:val="24"/>
          <w:rtl/>
        </w:rPr>
        <w:t xml:space="preserve">שליטה </w:t>
      </w:r>
      <w:r w:rsidR="0053482F" w:rsidRPr="00011131">
        <w:rPr>
          <w:rFonts w:hint="cs"/>
          <w:sz w:val="24"/>
          <w:szCs w:val="24"/>
          <w:rtl/>
        </w:rPr>
        <w:t xml:space="preserve">הצבאית </w:t>
      </w:r>
      <w:r w:rsidR="0013706D">
        <w:rPr>
          <w:rFonts w:hint="cs"/>
          <w:sz w:val="24"/>
          <w:szCs w:val="24"/>
          <w:rtl/>
        </w:rPr>
        <w:t xml:space="preserve">ללא זמנית ומכאן </w:t>
      </w:r>
      <w:r w:rsidR="0053482F" w:rsidRPr="00011131">
        <w:rPr>
          <w:rFonts w:hint="cs"/>
          <w:sz w:val="24"/>
          <w:szCs w:val="24"/>
          <w:rtl/>
        </w:rPr>
        <w:t>ל</w:t>
      </w:r>
      <w:r w:rsidR="00455926" w:rsidRPr="00011131">
        <w:rPr>
          <w:rFonts w:hint="cs"/>
          <w:sz w:val="24"/>
          <w:szCs w:val="24"/>
          <w:rtl/>
        </w:rPr>
        <w:t>פסולה ו</w:t>
      </w:r>
      <w:r w:rsidR="0053482F" w:rsidRPr="00011131">
        <w:rPr>
          <w:rFonts w:hint="cs"/>
          <w:sz w:val="24"/>
          <w:szCs w:val="24"/>
          <w:rtl/>
        </w:rPr>
        <w:t>ל</w:t>
      </w:r>
      <w:r w:rsidR="00455926" w:rsidRPr="00011131">
        <w:rPr>
          <w:rFonts w:hint="cs"/>
          <w:sz w:val="24"/>
          <w:szCs w:val="24"/>
          <w:rtl/>
        </w:rPr>
        <w:t>לא חוקית.</w:t>
      </w:r>
      <w:r w:rsidR="0053482F" w:rsidRPr="00011131">
        <w:rPr>
          <w:rFonts w:hint="cs"/>
          <w:sz w:val="24"/>
          <w:szCs w:val="24"/>
          <w:rtl/>
        </w:rPr>
        <w:t xml:space="preserve"> </w:t>
      </w:r>
    </w:p>
    <w:p w:rsidR="00FD5F96" w:rsidRPr="00011131" w:rsidRDefault="00DC10B6" w:rsidP="0039656A">
      <w:pPr>
        <w:pStyle w:val="Hesber"/>
        <w:numPr>
          <w:ilvl w:val="0"/>
          <w:numId w:val="2"/>
        </w:numPr>
        <w:spacing w:before="120"/>
        <w:ind w:left="793"/>
        <w:rPr>
          <w:sz w:val="24"/>
          <w:szCs w:val="24"/>
        </w:rPr>
      </w:pPr>
      <w:r>
        <w:rPr>
          <w:rFonts w:hint="cs"/>
          <w:b/>
          <w:bCs/>
          <w:sz w:val="24"/>
          <w:szCs w:val="24"/>
          <w:rtl/>
        </w:rPr>
        <w:t xml:space="preserve">המשפט ההומניטארי הבינלאומי כבסיס </w:t>
      </w:r>
      <w:r w:rsidR="0013706D">
        <w:rPr>
          <w:rFonts w:hint="cs"/>
          <w:b/>
          <w:bCs/>
          <w:sz w:val="24"/>
          <w:szCs w:val="24"/>
          <w:rtl/>
        </w:rPr>
        <w:t>ה</w:t>
      </w:r>
      <w:r>
        <w:rPr>
          <w:rFonts w:hint="cs"/>
          <w:b/>
          <w:bCs/>
          <w:sz w:val="24"/>
          <w:szCs w:val="24"/>
          <w:rtl/>
        </w:rPr>
        <w:t>חוקי</w:t>
      </w:r>
      <w:r>
        <w:rPr>
          <w:rFonts w:hint="cs"/>
          <w:sz w:val="24"/>
          <w:szCs w:val="24"/>
          <w:rtl/>
        </w:rPr>
        <w:t xml:space="preserve">. </w:t>
      </w:r>
      <w:r w:rsidR="0053482F" w:rsidRPr="00011131">
        <w:rPr>
          <w:rFonts w:hint="cs"/>
          <w:sz w:val="24"/>
          <w:szCs w:val="24"/>
          <w:rtl/>
        </w:rPr>
        <w:t xml:space="preserve">החקיקה הצבאית </w:t>
      </w:r>
      <w:r w:rsidR="006244EA">
        <w:rPr>
          <w:rFonts w:hint="cs"/>
          <w:sz w:val="24"/>
          <w:szCs w:val="24"/>
          <w:rtl/>
        </w:rPr>
        <w:t xml:space="preserve">בשטח כבוש </w:t>
      </w:r>
      <w:r w:rsidR="0053482F" w:rsidRPr="00011131">
        <w:rPr>
          <w:rFonts w:hint="cs"/>
          <w:sz w:val="24"/>
          <w:szCs w:val="24"/>
          <w:rtl/>
        </w:rPr>
        <w:t xml:space="preserve">נשענת על </w:t>
      </w:r>
      <w:r w:rsidR="003E150C" w:rsidRPr="00011131">
        <w:rPr>
          <w:rFonts w:hint="cs"/>
          <w:sz w:val="24"/>
          <w:szCs w:val="24"/>
          <w:rtl/>
        </w:rPr>
        <w:t xml:space="preserve">עקרונות ונורמות </w:t>
      </w:r>
      <w:r w:rsidR="0053482F" w:rsidRPr="00011131">
        <w:rPr>
          <w:rFonts w:hint="cs"/>
          <w:sz w:val="24"/>
          <w:szCs w:val="24"/>
          <w:rtl/>
        </w:rPr>
        <w:t>של המשפט</w:t>
      </w:r>
      <w:r w:rsidR="003E150C" w:rsidRPr="00011131">
        <w:rPr>
          <w:rFonts w:hint="cs"/>
          <w:sz w:val="24"/>
          <w:szCs w:val="24"/>
          <w:rtl/>
        </w:rPr>
        <w:t xml:space="preserve"> ההומניט</w:t>
      </w:r>
      <w:r w:rsidR="0053482F" w:rsidRPr="00011131">
        <w:rPr>
          <w:rFonts w:hint="cs"/>
          <w:sz w:val="24"/>
          <w:szCs w:val="24"/>
          <w:rtl/>
        </w:rPr>
        <w:t>א</w:t>
      </w:r>
      <w:r w:rsidR="003E150C" w:rsidRPr="00011131">
        <w:rPr>
          <w:rFonts w:hint="cs"/>
          <w:sz w:val="24"/>
          <w:szCs w:val="24"/>
          <w:rtl/>
        </w:rPr>
        <w:t xml:space="preserve">רי הבינלאומי, </w:t>
      </w:r>
      <w:r w:rsidR="006244EA">
        <w:rPr>
          <w:rFonts w:hint="cs"/>
          <w:sz w:val="24"/>
          <w:szCs w:val="24"/>
          <w:rtl/>
        </w:rPr>
        <w:t xml:space="preserve">אשר </w:t>
      </w:r>
      <w:r w:rsidR="0053482F" w:rsidRPr="00011131">
        <w:rPr>
          <w:rFonts w:hint="cs"/>
          <w:sz w:val="24"/>
          <w:szCs w:val="24"/>
          <w:rtl/>
        </w:rPr>
        <w:t xml:space="preserve">קבועים בתקנות האג ובאמנת ז'נבה הרביעית. אלו קובעים הגנה מיוחדת על </w:t>
      </w:r>
      <w:proofErr w:type="spellStart"/>
      <w:r w:rsidR="0053482F" w:rsidRPr="00011131">
        <w:rPr>
          <w:rFonts w:hint="cs"/>
          <w:sz w:val="24"/>
          <w:szCs w:val="24"/>
          <w:rtl/>
        </w:rPr>
        <w:t>האוכלוסיה</w:t>
      </w:r>
      <w:proofErr w:type="spellEnd"/>
      <w:r w:rsidR="0053482F" w:rsidRPr="00011131">
        <w:rPr>
          <w:rFonts w:hint="cs"/>
          <w:sz w:val="24"/>
          <w:szCs w:val="24"/>
          <w:rtl/>
        </w:rPr>
        <w:t xml:space="preserve"> המקומית</w:t>
      </w:r>
      <w:r>
        <w:rPr>
          <w:rFonts w:hint="cs"/>
          <w:sz w:val="24"/>
          <w:szCs w:val="24"/>
          <w:rtl/>
        </w:rPr>
        <w:t xml:space="preserve"> הנתונה תחת כיבוש,</w:t>
      </w:r>
      <w:r w:rsidR="0053482F" w:rsidRPr="00011131">
        <w:rPr>
          <w:rFonts w:hint="cs"/>
          <w:sz w:val="24"/>
          <w:szCs w:val="24"/>
          <w:rtl/>
        </w:rPr>
        <w:t xml:space="preserve"> </w:t>
      </w:r>
      <w:r w:rsidR="006244EA">
        <w:rPr>
          <w:rFonts w:hint="cs"/>
          <w:sz w:val="24"/>
          <w:szCs w:val="24"/>
          <w:rtl/>
        </w:rPr>
        <w:t>ובהן</w:t>
      </w:r>
      <w:r w:rsidR="0053482F" w:rsidRPr="00011131">
        <w:rPr>
          <w:rFonts w:hint="cs"/>
          <w:sz w:val="24"/>
          <w:szCs w:val="24"/>
          <w:rtl/>
        </w:rPr>
        <w:t xml:space="preserve">: איסור על העברה בכפיה, איסור על שינוי משטר הדינים החל בשטח, איסור על הפקעה והחרמה של אדמות ורכוש, ועוד. </w:t>
      </w:r>
      <w:r w:rsidR="006244EA">
        <w:rPr>
          <w:rFonts w:hint="cs"/>
          <w:sz w:val="24"/>
          <w:szCs w:val="24"/>
          <w:rtl/>
        </w:rPr>
        <w:t xml:space="preserve">מטרתם להגן על אוכלוסיה אזרחית מפני צבא זר, ועל כן תושביה </w:t>
      </w:r>
      <w:r>
        <w:rPr>
          <w:rFonts w:hint="cs"/>
          <w:sz w:val="24"/>
          <w:szCs w:val="24"/>
          <w:rtl/>
        </w:rPr>
        <w:t>נקראים</w:t>
      </w:r>
      <w:r w:rsidR="006244EA">
        <w:rPr>
          <w:rFonts w:hint="cs"/>
          <w:sz w:val="24"/>
          <w:szCs w:val="24"/>
          <w:rtl/>
        </w:rPr>
        <w:t xml:space="preserve"> </w:t>
      </w:r>
      <w:r>
        <w:rPr>
          <w:rFonts w:hint="cs"/>
          <w:sz w:val="24"/>
          <w:szCs w:val="24"/>
          <w:rtl/>
        </w:rPr>
        <w:t>"</w:t>
      </w:r>
      <w:r w:rsidR="006244EA">
        <w:rPr>
          <w:rFonts w:hint="cs"/>
          <w:sz w:val="24"/>
          <w:szCs w:val="24"/>
          <w:rtl/>
        </w:rPr>
        <w:t>תושבים מוגנים</w:t>
      </w:r>
      <w:r>
        <w:rPr>
          <w:rFonts w:hint="cs"/>
          <w:sz w:val="24"/>
          <w:szCs w:val="24"/>
          <w:rtl/>
        </w:rPr>
        <w:t>"</w:t>
      </w:r>
      <w:r w:rsidR="009E6F92">
        <w:rPr>
          <w:rFonts w:hint="cs"/>
          <w:sz w:val="24"/>
          <w:szCs w:val="24"/>
          <w:rtl/>
        </w:rPr>
        <w:t xml:space="preserve"> והמפקד הצבאי</w:t>
      </w:r>
      <w:r>
        <w:rPr>
          <w:rFonts w:hint="cs"/>
          <w:sz w:val="24"/>
          <w:szCs w:val="24"/>
          <w:rtl/>
        </w:rPr>
        <w:t xml:space="preserve"> מופקד בנאמנות על ניהול חייהם. </w:t>
      </w:r>
    </w:p>
    <w:p w:rsidR="0053482F" w:rsidRDefault="0053482F" w:rsidP="00C21DF3">
      <w:pPr>
        <w:pStyle w:val="Hesber"/>
        <w:spacing w:before="120"/>
        <w:ind w:left="793" w:firstLine="0"/>
        <w:rPr>
          <w:sz w:val="24"/>
          <w:szCs w:val="24"/>
          <w:rtl/>
        </w:rPr>
      </w:pPr>
      <w:r w:rsidRPr="00011131">
        <w:rPr>
          <w:rFonts w:hint="cs"/>
          <w:sz w:val="24"/>
          <w:szCs w:val="24"/>
          <w:rtl/>
        </w:rPr>
        <w:t xml:space="preserve">ככל </w:t>
      </w:r>
      <w:r w:rsidR="006244EA">
        <w:rPr>
          <w:rFonts w:hint="cs"/>
          <w:sz w:val="24"/>
          <w:szCs w:val="24"/>
          <w:rtl/>
        </w:rPr>
        <w:t>שחברי הכנסת מ</w:t>
      </w:r>
      <w:r w:rsidRPr="00011131">
        <w:rPr>
          <w:rFonts w:hint="cs"/>
          <w:sz w:val="24"/>
          <w:szCs w:val="24"/>
          <w:rtl/>
        </w:rPr>
        <w:t xml:space="preserve">בקשים </w:t>
      </w:r>
      <w:r w:rsidR="00DC10B6">
        <w:rPr>
          <w:rFonts w:hint="cs"/>
          <w:sz w:val="24"/>
          <w:szCs w:val="24"/>
          <w:rtl/>
        </w:rPr>
        <w:t xml:space="preserve">להפוך להיות הריבון </w:t>
      </w:r>
      <w:r w:rsidR="00C21DF3">
        <w:rPr>
          <w:rFonts w:hint="cs"/>
          <w:sz w:val="24"/>
          <w:szCs w:val="24"/>
          <w:rtl/>
        </w:rPr>
        <w:t>בשטחים</w:t>
      </w:r>
      <w:r w:rsidRPr="00011131">
        <w:rPr>
          <w:rFonts w:hint="cs"/>
          <w:sz w:val="24"/>
          <w:szCs w:val="24"/>
          <w:rtl/>
        </w:rPr>
        <w:t xml:space="preserve"> הרי </w:t>
      </w:r>
      <w:r w:rsidR="005103DB" w:rsidRPr="00011131">
        <w:rPr>
          <w:rFonts w:hint="cs"/>
          <w:sz w:val="24"/>
          <w:szCs w:val="24"/>
          <w:rtl/>
        </w:rPr>
        <w:t>שבמקום</w:t>
      </w:r>
      <w:r w:rsidR="009E6F92">
        <w:rPr>
          <w:rFonts w:hint="cs"/>
          <w:sz w:val="24"/>
          <w:szCs w:val="24"/>
          <w:rtl/>
        </w:rPr>
        <w:t xml:space="preserve"> הנורמות </w:t>
      </w:r>
      <w:r w:rsidRPr="00011131">
        <w:rPr>
          <w:rFonts w:hint="cs"/>
          <w:sz w:val="24"/>
          <w:szCs w:val="24"/>
          <w:rtl/>
        </w:rPr>
        <w:t xml:space="preserve">שציינו </w:t>
      </w:r>
      <w:r w:rsidR="006244EA">
        <w:rPr>
          <w:rFonts w:hint="cs"/>
          <w:sz w:val="24"/>
          <w:szCs w:val="24"/>
          <w:rtl/>
        </w:rPr>
        <w:t xml:space="preserve">לעיל </w:t>
      </w:r>
      <w:r w:rsidR="005103DB" w:rsidRPr="00011131">
        <w:rPr>
          <w:rFonts w:hint="cs"/>
          <w:sz w:val="24"/>
          <w:szCs w:val="24"/>
          <w:rtl/>
        </w:rPr>
        <w:t xml:space="preserve">יש להחיל </w:t>
      </w:r>
      <w:r w:rsidR="006244EA">
        <w:rPr>
          <w:rFonts w:hint="cs"/>
          <w:sz w:val="24"/>
          <w:szCs w:val="24"/>
          <w:rtl/>
        </w:rPr>
        <w:t xml:space="preserve">בשטחים </w:t>
      </w:r>
      <w:r w:rsidR="005103DB" w:rsidRPr="00011131">
        <w:rPr>
          <w:rFonts w:hint="cs"/>
          <w:sz w:val="24"/>
          <w:szCs w:val="24"/>
          <w:rtl/>
        </w:rPr>
        <w:t xml:space="preserve">את </w:t>
      </w:r>
      <w:r w:rsidRPr="00011131">
        <w:rPr>
          <w:rFonts w:hint="cs"/>
          <w:sz w:val="24"/>
          <w:szCs w:val="24"/>
          <w:rtl/>
        </w:rPr>
        <w:t>הנורמות ש</w:t>
      </w:r>
      <w:r w:rsidR="00DC10B6">
        <w:rPr>
          <w:rFonts w:hint="cs"/>
          <w:sz w:val="24"/>
          <w:szCs w:val="24"/>
          <w:rtl/>
        </w:rPr>
        <w:t>ל המשטר הדמוקרטי החל</w:t>
      </w:r>
      <w:r w:rsidR="006244EA">
        <w:rPr>
          <w:rFonts w:hint="cs"/>
          <w:sz w:val="24"/>
          <w:szCs w:val="24"/>
          <w:rtl/>
        </w:rPr>
        <w:t xml:space="preserve"> </w:t>
      </w:r>
      <w:r w:rsidR="00DC10B6">
        <w:rPr>
          <w:rFonts w:hint="cs"/>
          <w:sz w:val="24"/>
          <w:szCs w:val="24"/>
          <w:rtl/>
        </w:rPr>
        <w:t>ב</w:t>
      </w:r>
      <w:r w:rsidR="006244EA">
        <w:rPr>
          <w:rFonts w:hint="cs"/>
          <w:sz w:val="24"/>
          <w:szCs w:val="24"/>
          <w:rtl/>
        </w:rPr>
        <w:t>מדינת ישראל,</w:t>
      </w:r>
      <w:r w:rsidRPr="00011131">
        <w:rPr>
          <w:rFonts w:hint="cs"/>
          <w:sz w:val="24"/>
          <w:szCs w:val="24"/>
          <w:rtl/>
        </w:rPr>
        <w:t xml:space="preserve"> דהיינו</w:t>
      </w:r>
      <w:r w:rsidR="006244EA">
        <w:rPr>
          <w:rFonts w:hint="cs"/>
          <w:sz w:val="24"/>
          <w:szCs w:val="24"/>
          <w:rtl/>
        </w:rPr>
        <w:t xml:space="preserve">, </w:t>
      </w:r>
      <w:r w:rsidRPr="00011131">
        <w:rPr>
          <w:rFonts w:hint="cs"/>
          <w:sz w:val="24"/>
          <w:szCs w:val="24"/>
          <w:rtl/>
        </w:rPr>
        <w:t xml:space="preserve">החלת מערכת </w:t>
      </w:r>
      <w:r w:rsidR="005103DB" w:rsidRPr="00011131">
        <w:rPr>
          <w:rFonts w:hint="cs"/>
          <w:sz w:val="24"/>
          <w:szCs w:val="24"/>
          <w:rtl/>
        </w:rPr>
        <w:t>חוקים</w:t>
      </w:r>
      <w:r w:rsidRPr="00011131">
        <w:rPr>
          <w:rFonts w:hint="cs"/>
          <w:sz w:val="24"/>
          <w:szCs w:val="24"/>
          <w:rtl/>
        </w:rPr>
        <w:t xml:space="preserve"> אחת </w:t>
      </w:r>
      <w:r w:rsidR="005103DB" w:rsidRPr="00011131">
        <w:rPr>
          <w:rFonts w:hint="cs"/>
          <w:sz w:val="24"/>
          <w:szCs w:val="24"/>
          <w:rtl/>
        </w:rPr>
        <w:t>שבמסגרתה כולם שווים בפני החוק</w:t>
      </w:r>
      <w:r w:rsidR="009E6F92">
        <w:rPr>
          <w:rFonts w:hint="cs"/>
          <w:sz w:val="24"/>
          <w:szCs w:val="24"/>
          <w:rtl/>
        </w:rPr>
        <w:t xml:space="preserve"> הנחקק על ידי כנסת ישראל</w:t>
      </w:r>
      <w:r w:rsidR="005103DB" w:rsidRPr="00011131">
        <w:rPr>
          <w:rFonts w:hint="cs"/>
          <w:sz w:val="24"/>
          <w:szCs w:val="24"/>
          <w:rtl/>
        </w:rPr>
        <w:t>.</w:t>
      </w:r>
      <w:r w:rsidR="006244EA">
        <w:rPr>
          <w:rFonts w:hint="cs"/>
          <w:sz w:val="24"/>
          <w:szCs w:val="24"/>
          <w:rtl/>
        </w:rPr>
        <w:t xml:space="preserve"> </w:t>
      </w:r>
    </w:p>
    <w:p w:rsidR="00D41512" w:rsidRPr="00D41512" w:rsidRDefault="00D41512" w:rsidP="0039656A">
      <w:pPr>
        <w:pStyle w:val="2"/>
        <w:spacing w:before="240"/>
        <w:rPr>
          <w:rFonts w:ascii="David" w:hAnsi="David" w:cs="David"/>
          <w:sz w:val="24"/>
          <w:szCs w:val="24"/>
          <w:u w:val="single"/>
        </w:rPr>
      </w:pPr>
      <w:r w:rsidRPr="00D41512">
        <w:rPr>
          <w:rFonts w:ascii="David" w:hAnsi="David" w:cs="David" w:hint="cs"/>
          <w:sz w:val="24"/>
          <w:szCs w:val="24"/>
          <w:u w:val="single"/>
          <w:rtl/>
        </w:rPr>
        <w:t>ה</w:t>
      </w:r>
      <w:r>
        <w:rPr>
          <w:rFonts w:ascii="David" w:hAnsi="David" w:cs="David" w:hint="cs"/>
          <w:sz w:val="24"/>
          <w:szCs w:val="24"/>
          <w:u w:val="single"/>
          <w:rtl/>
        </w:rPr>
        <w:t>תיקון המוצע</w:t>
      </w:r>
    </w:p>
    <w:p w:rsidR="00FD5F96" w:rsidRPr="00011131" w:rsidRDefault="005103DB" w:rsidP="0039656A">
      <w:pPr>
        <w:pStyle w:val="Hesber"/>
        <w:numPr>
          <w:ilvl w:val="0"/>
          <w:numId w:val="1"/>
        </w:numPr>
        <w:spacing w:before="120"/>
        <w:ind w:left="368"/>
        <w:rPr>
          <w:sz w:val="24"/>
          <w:szCs w:val="24"/>
        </w:rPr>
      </w:pPr>
      <w:r w:rsidRPr="00011131">
        <w:rPr>
          <w:rFonts w:hint="cs"/>
          <w:sz w:val="24"/>
          <w:szCs w:val="24"/>
          <w:rtl/>
        </w:rPr>
        <w:t xml:space="preserve">מטרת התיקון </w:t>
      </w:r>
      <w:r w:rsidR="006244EA">
        <w:rPr>
          <w:rFonts w:hint="cs"/>
          <w:sz w:val="24"/>
          <w:szCs w:val="24"/>
          <w:rtl/>
        </w:rPr>
        <w:t>שיובא בפני הוועדה</w:t>
      </w:r>
      <w:r w:rsidR="007D20C4">
        <w:rPr>
          <w:rFonts w:hint="cs"/>
          <w:sz w:val="24"/>
          <w:szCs w:val="24"/>
          <w:rtl/>
        </w:rPr>
        <w:t>, בהתאם לדברי ההסבר,</w:t>
      </w:r>
      <w:r w:rsidR="006244EA">
        <w:rPr>
          <w:rFonts w:hint="cs"/>
          <w:sz w:val="24"/>
          <w:szCs w:val="24"/>
          <w:rtl/>
        </w:rPr>
        <w:t xml:space="preserve"> </w:t>
      </w:r>
      <w:r w:rsidRPr="00011131">
        <w:rPr>
          <w:rFonts w:hint="cs"/>
          <w:sz w:val="24"/>
          <w:szCs w:val="24"/>
          <w:rtl/>
        </w:rPr>
        <w:t>הינה "</w:t>
      </w:r>
      <w:r w:rsidR="00FD5F96" w:rsidRPr="00011131">
        <w:rPr>
          <w:rFonts w:hint="cs"/>
          <w:sz w:val="24"/>
          <w:szCs w:val="24"/>
          <w:rtl/>
        </w:rPr>
        <w:t>השוואת זכויות של קרוב לחצי מיליון אזרחי ישראל, תושבי יהודה, שומרון ובקעת הירדן. התיקון נדרש לאור פערי חקיקה גדולים שנוצרו עם השנים בין חקיקת הכנסת לתחיקה הצבאית ועל מנת למנוע התרחבותם של פערים אלה</w:t>
      </w:r>
      <w:r w:rsidRPr="00011131">
        <w:rPr>
          <w:rFonts w:hint="cs"/>
          <w:sz w:val="24"/>
          <w:szCs w:val="24"/>
          <w:rtl/>
        </w:rPr>
        <w:t>"</w:t>
      </w:r>
      <w:r w:rsidR="00FD5F96" w:rsidRPr="00011131">
        <w:rPr>
          <w:rFonts w:hint="cs"/>
          <w:sz w:val="24"/>
          <w:szCs w:val="24"/>
          <w:rtl/>
        </w:rPr>
        <w:t>.</w:t>
      </w:r>
    </w:p>
    <w:p w:rsidR="006244EA" w:rsidRPr="00011131" w:rsidRDefault="006244EA" w:rsidP="0039656A">
      <w:pPr>
        <w:pStyle w:val="Hesber"/>
        <w:numPr>
          <w:ilvl w:val="0"/>
          <w:numId w:val="1"/>
        </w:numPr>
        <w:spacing w:before="120"/>
        <w:ind w:left="368"/>
        <w:rPr>
          <w:sz w:val="24"/>
          <w:szCs w:val="24"/>
        </w:rPr>
      </w:pPr>
      <w:r w:rsidRPr="00011131">
        <w:rPr>
          <w:rFonts w:hint="cs"/>
          <w:sz w:val="24"/>
          <w:szCs w:val="24"/>
          <w:rtl/>
        </w:rPr>
        <w:t>המינוח "</w:t>
      </w:r>
      <w:r w:rsidRPr="00011131">
        <w:rPr>
          <w:rFonts w:hint="cs"/>
          <w:b/>
          <w:bCs/>
          <w:sz w:val="24"/>
          <w:szCs w:val="24"/>
          <w:rtl/>
        </w:rPr>
        <w:t>השוואת זכויות</w:t>
      </w:r>
      <w:r w:rsidRPr="00011131">
        <w:rPr>
          <w:rFonts w:hint="cs"/>
          <w:sz w:val="24"/>
          <w:szCs w:val="24"/>
          <w:rtl/>
        </w:rPr>
        <w:t xml:space="preserve">" </w:t>
      </w:r>
      <w:r w:rsidR="0039656A">
        <w:rPr>
          <w:rFonts w:hint="cs"/>
          <w:sz w:val="24"/>
          <w:szCs w:val="24"/>
          <w:rtl/>
        </w:rPr>
        <w:t>שבהצעה</w:t>
      </w:r>
      <w:r w:rsidRPr="00011131">
        <w:rPr>
          <w:rFonts w:hint="cs"/>
          <w:sz w:val="24"/>
          <w:szCs w:val="24"/>
          <w:rtl/>
        </w:rPr>
        <w:t xml:space="preserve"> מתהדר בנוצות של </w:t>
      </w:r>
      <w:r w:rsidR="00B44B75">
        <w:rPr>
          <w:rFonts w:hint="cs"/>
          <w:sz w:val="24"/>
          <w:szCs w:val="24"/>
          <w:rtl/>
        </w:rPr>
        <w:t xml:space="preserve">ערכי הדמוקרטיה, הזכויות והשוויון. </w:t>
      </w:r>
      <w:r w:rsidRPr="00011131">
        <w:rPr>
          <w:rFonts w:hint="cs"/>
          <w:sz w:val="24"/>
          <w:szCs w:val="24"/>
          <w:rtl/>
        </w:rPr>
        <w:t>אולם</w:t>
      </w:r>
      <w:r w:rsidR="002A628D">
        <w:rPr>
          <w:rFonts w:hint="cs"/>
          <w:sz w:val="24"/>
          <w:szCs w:val="24"/>
          <w:rtl/>
        </w:rPr>
        <w:t xml:space="preserve"> מדובר במצג מטעה, שהרי </w:t>
      </w:r>
      <w:r>
        <w:rPr>
          <w:rFonts w:hint="cs"/>
          <w:sz w:val="24"/>
          <w:szCs w:val="24"/>
          <w:rtl/>
        </w:rPr>
        <w:t>לפני</w:t>
      </w:r>
      <w:r w:rsidRPr="00011131">
        <w:rPr>
          <w:rFonts w:hint="cs"/>
          <w:sz w:val="24"/>
          <w:szCs w:val="24"/>
          <w:rtl/>
        </w:rPr>
        <w:t xml:space="preserve"> חברי הכנסת </w:t>
      </w:r>
      <w:r>
        <w:rPr>
          <w:rFonts w:hint="cs"/>
          <w:sz w:val="24"/>
          <w:szCs w:val="24"/>
          <w:rtl/>
        </w:rPr>
        <w:t>לא מונחת</w:t>
      </w:r>
      <w:r w:rsidRPr="00011131">
        <w:rPr>
          <w:rFonts w:hint="cs"/>
          <w:sz w:val="24"/>
          <w:szCs w:val="24"/>
          <w:rtl/>
        </w:rPr>
        <w:t xml:space="preserve"> הברירה בין חיזוק הדמוקרטיה והשוויון ל</w:t>
      </w:r>
      <w:r w:rsidR="00B44B75">
        <w:rPr>
          <w:rFonts w:hint="cs"/>
          <w:sz w:val="24"/>
          <w:szCs w:val="24"/>
          <w:rtl/>
        </w:rPr>
        <w:t xml:space="preserve">בין </w:t>
      </w:r>
      <w:r w:rsidRPr="00011131">
        <w:rPr>
          <w:rFonts w:hint="cs"/>
          <w:sz w:val="24"/>
          <w:szCs w:val="24"/>
          <w:rtl/>
        </w:rPr>
        <w:t>החלשתם. במקום זאת</w:t>
      </w:r>
      <w:r w:rsidR="00B44B75">
        <w:rPr>
          <w:rFonts w:hint="cs"/>
          <w:sz w:val="24"/>
          <w:szCs w:val="24"/>
          <w:rtl/>
        </w:rPr>
        <w:t>,</w:t>
      </w:r>
      <w:r w:rsidRPr="00011131">
        <w:rPr>
          <w:rFonts w:hint="cs"/>
          <w:sz w:val="24"/>
          <w:szCs w:val="24"/>
          <w:rtl/>
        </w:rPr>
        <w:t xml:space="preserve"> נדרשים חברי הכנסת לבחור בין </w:t>
      </w:r>
      <w:r w:rsidR="002A628D">
        <w:rPr>
          <w:rFonts w:hint="cs"/>
          <w:sz w:val="24"/>
          <w:szCs w:val="24"/>
          <w:rtl/>
        </w:rPr>
        <w:t xml:space="preserve">שתי הברירות שלהלן: </w:t>
      </w:r>
      <w:r w:rsidRPr="00011131">
        <w:rPr>
          <w:rFonts w:hint="cs"/>
          <w:sz w:val="24"/>
          <w:szCs w:val="24"/>
          <w:rtl/>
        </w:rPr>
        <w:t>מימוש אמיתי ומהותי של דמוקרטיה בתוך ישראל הריבונית תוך מימוש אמיתי ומהותי של המשפט ההומניטארי בשטח הכבוש</w:t>
      </w:r>
      <w:r w:rsidR="009E6F92">
        <w:rPr>
          <w:rFonts w:hint="cs"/>
          <w:sz w:val="24"/>
          <w:szCs w:val="24"/>
          <w:rtl/>
        </w:rPr>
        <w:t xml:space="preserve"> שתחת שליטה צבאית </w:t>
      </w:r>
      <w:r w:rsidRPr="00011131">
        <w:rPr>
          <w:rFonts w:hint="cs"/>
          <w:sz w:val="24"/>
          <w:szCs w:val="24"/>
          <w:rtl/>
        </w:rPr>
        <w:t>זמנית</w:t>
      </w:r>
      <w:r w:rsidR="002A628D">
        <w:rPr>
          <w:rFonts w:hint="cs"/>
          <w:sz w:val="24"/>
          <w:szCs w:val="24"/>
          <w:rtl/>
        </w:rPr>
        <w:t>;</w:t>
      </w:r>
      <w:r w:rsidRPr="00011131">
        <w:rPr>
          <w:rFonts w:hint="cs"/>
          <w:sz w:val="24"/>
          <w:szCs w:val="24"/>
          <w:rtl/>
        </w:rPr>
        <w:t xml:space="preserve"> </w:t>
      </w:r>
      <w:r w:rsidR="002A628D">
        <w:rPr>
          <w:rFonts w:hint="cs"/>
          <w:sz w:val="24"/>
          <w:szCs w:val="24"/>
          <w:rtl/>
        </w:rPr>
        <w:t xml:space="preserve">או </w:t>
      </w:r>
      <w:r w:rsidR="00DC10B6">
        <w:rPr>
          <w:rFonts w:hint="cs"/>
          <w:sz w:val="24"/>
          <w:szCs w:val="24"/>
          <w:rtl/>
        </w:rPr>
        <w:t>קעקוע</w:t>
      </w:r>
      <w:r w:rsidRPr="00011131">
        <w:rPr>
          <w:rFonts w:hint="cs"/>
          <w:sz w:val="24"/>
          <w:szCs w:val="24"/>
          <w:rtl/>
        </w:rPr>
        <w:t xml:space="preserve"> </w:t>
      </w:r>
      <w:r w:rsidR="00DC10B6">
        <w:rPr>
          <w:rFonts w:hint="cs"/>
          <w:sz w:val="24"/>
          <w:szCs w:val="24"/>
          <w:rtl/>
        </w:rPr>
        <w:t xml:space="preserve">של </w:t>
      </w:r>
      <w:r w:rsidRPr="00011131">
        <w:rPr>
          <w:rFonts w:hint="cs"/>
          <w:sz w:val="24"/>
          <w:szCs w:val="24"/>
          <w:rtl/>
        </w:rPr>
        <w:t xml:space="preserve">המשטר הדמוקרטי החל בישראל וכן ערעור </w:t>
      </w:r>
      <w:r w:rsidR="00DC10B6">
        <w:rPr>
          <w:rFonts w:hint="cs"/>
          <w:sz w:val="24"/>
          <w:szCs w:val="24"/>
          <w:rtl/>
        </w:rPr>
        <w:t xml:space="preserve">על הלגיטימיות של </w:t>
      </w:r>
      <w:r w:rsidRPr="00011131">
        <w:rPr>
          <w:rFonts w:hint="cs"/>
          <w:sz w:val="24"/>
          <w:szCs w:val="24"/>
          <w:rtl/>
        </w:rPr>
        <w:t>המשטר הצבאי בשטחים.</w:t>
      </w:r>
      <w:r w:rsidR="00AD6FBF">
        <w:rPr>
          <w:rFonts w:hint="cs"/>
          <w:sz w:val="24"/>
          <w:szCs w:val="24"/>
          <w:rtl/>
        </w:rPr>
        <w:t xml:space="preserve"> </w:t>
      </w:r>
    </w:p>
    <w:p w:rsidR="005103DB" w:rsidRPr="00011131" w:rsidRDefault="005103DB" w:rsidP="00C21DF3">
      <w:pPr>
        <w:pStyle w:val="Hesber"/>
        <w:numPr>
          <w:ilvl w:val="0"/>
          <w:numId w:val="1"/>
        </w:numPr>
        <w:spacing w:before="120"/>
        <w:ind w:left="368"/>
        <w:rPr>
          <w:b/>
          <w:bCs/>
          <w:sz w:val="24"/>
          <w:szCs w:val="24"/>
        </w:rPr>
      </w:pPr>
      <w:r w:rsidRPr="00011131">
        <w:rPr>
          <w:rFonts w:hint="cs"/>
          <w:b/>
          <w:bCs/>
          <w:sz w:val="24"/>
          <w:szCs w:val="24"/>
          <w:rtl/>
        </w:rPr>
        <w:t xml:space="preserve">אמנם, </w:t>
      </w:r>
      <w:r w:rsidR="00DC10B6">
        <w:rPr>
          <w:rFonts w:hint="cs"/>
          <w:b/>
          <w:bCs/>
          <w:sz w:val="24"/>
          <w:szCs w:val="24"/>
          <w:rtl/>
        </w:rPr>
        <w:t xml:space="preserve">קיים </w:t>
      </w:r>
      <w:r w:rsidR="00B44B75">
        <w:rPr>
          <w:rFonts w:hint="cs"/>
          <w:b/>
          <w:bCs/>
          <w:sz w:val="24"/>
          <w:szCs w:val="24"/>
          <w:rtl/>
        </w:rPr>
        <w:t xml:space="preserve">פער </w:t>
      </w:r>
      <w:r w:rsidRPr="00011131">
        <w:rPr>
          <w:rFonts w:hint="cs"/>
          <w:b/>
          <w:bCs/>
          <w:sz w:val="24"/>
          <w:szCs w:val="24"/>
          <w:rtl/>
        </w:rPr>
        <w:t xml:space="preserve">בין החוק החל על אזרחי ישראל המתגוררים בתוך מדינת ישראל לאלו המתגוררים </w:t>
      </w:r>
      <w:r w:rsidR="00C21DF3">
        <w:rPr>
          <w:rFonts w:hint="cs"/>
          <w:b/>
          <w:bCs/>
          <w:sz w:val="24"/>
          <w:szCs w:val="24"/>
          <w:rtl/>
        </w:rPr>
        <w:t>בשטחים</w:t>
      </w:r>
      <w:r w:rsidR="002A628D">
        <w:rPr>
          <w:rFonts w:hint="cs"/>
          <w:b/>
          <w:bCs/>
          <w:sz w:val="24"/>
          <w:szCs w:val="24"/>
          <w:rtl/>
        </w:rPr>
        <w:t xml:space="preserve">, </w:t>
      </w:r>
      <w:r w:rsidR="0013706D">
        <w:rPr>
          <w:rFonts w:hint="cs"/>
          <w:b/>
          <w:bCs/>
          <w:sz w:val="24"/>
          <w:szCs w:val="24"/>
          <w:rtl/>
        </w:rPr>
        <w:t>והוא שכ</w:t>
      </w:r>
      <w:r w:rsidR="002A628D">
        <w:rPr>
          <w:rFonts w:hint="cs"/>
          <w:b/>
          <w:bCs/>
          <w:sz w:val="24"/>
          <w:szCs w:val="24"/>
          <w:rtl/>
        </w:rPr>
        <w:t>ש</w:t>
      </w:r>
      <w:r w:rsidR="0013706D">
        <w:rPr>
          <w:rFonts w:hint="cs"/>
          <w:b/>
          <w:bCs/>
          <w:sz w:val="24"/>
          <w:szCs w:val="24"/>
          <w:rtl/>
        </w:rPr>
        <w:t>ל</w:t>
      </w:r>
      <w:r w:rsidR="002A628D">
        <w:rPr>
          <w:rFonts w:hint="cs"/>
          <w:b/>
          <w:bCs/>
          <w:sz w:val="24"/>
          <w:szCs w:val="24"/>
          <w:rtl/>
        </w:rPr>
        <w:t>עצמו</w:t>
      </w:r>
      <w:r w:rsidR="0013706D">
        <w:rPr>
          <w:rFonts w:hint="cs"/>
          <w:b/>
          <w:bCs/>
          <w:sz w:val="24"/>
          <w:szCs w:val="24"/>
          <w:rtl/>
        </w:rPr>
        <w:t xml:space="preserve"> מעורר</w:t>
      </w:r>
      <w:r w:rsidR="002A628D">
        <w:rPr>
          <w:rFonts w:hint="cs"/>
          <w:b/>
          <w:bCs/>
          <w:sz w:val="24"/>
          <w:szCs w:val="24"/>
          <w:rtl/>
        </w:rPr>
        <w:t xml:space="preserve"> קשיים</w:t>
      </w:r>
      <w:r w:rsidRPr="00011131">
        <w:rPr>
          <w:rFonts w:hint="cs"/>
          <w:b/>
          <w:bCs/>
          <w:sz w:val="24"/>
          <w:szCs w:val="24"/>
          <w:rtl/>
        </w:rPr>
        <w:t xml:space="preserve">. אולם פערי החקיקה האדירים </w:t>
      </w:r>
      <w:r w:rsidR="0013706D">
        <w:rPr>
          <w:rFonts w:hint="cs"/>
          <w:b/>
          <w:bCs/>
          <w:sz w:val="24"/>
          <w:szCs w:val="24"/>
          <w:rtl/>
        </w:rPr>
        <w:t>באמת נוצרו ובמכוון</w:t>
      </w:r>
      <w:r w:rsidRPr="00011131">
        <w:rPr>
          <w:rFonts w:hint="cs"/>
          <w:b/>
          <w:bCs/>
          <w:sz w:val="24"/>
          <w:szCs w:val="24"/>
          <w:rtl/>
        </w:rPr>
        <w:t xml:space="preserve"> בין החוק החל על מתנחלים לזה החל על פלסטינים</w:t>
      </w:r>
      <w:r w:rsidR="0013706D">
        <w:rPr>
          <w:rFonts w:hint="cs"/>
          <w:b/>
          <w:bCs/>
          <w:sz w:val="24"/>
          <w:szCs w:val="24"/>
          <w:rtl/>
        </w:rPr>
        <w:t xml:space="preserve"> - </w:t>
      </w:r>
      <w:r w:rsidR="002B029C">
        <w:rPr>
          <w:rFonts w:hint="cs"/>
          <w:b/>
          <w:bCs/>
          <w:sz w:val="24"/>
          <w:szCs w:val="24"/>
          <w:rtl/>
        </w:rPr>
        <w:t>שתי אוכלוסיות החיות</w:t>
      </w:r>
      <w:r w:rsidRPr="00011131">
        <w:rPr>
          <w:rFonts w:hint="cs"/>
          <w:b/>
          <w:bCs/>
          <w:sz w:val="24"/>
          <w:szCs w:val="24"/>
          <w:rtl/>
        </w:rPr>
        <w:t xml:space="preserve"> באותו שטח ותחת שליטת אותו מפקד צבאי</w:t>
      </w:r>
      <w:r w:rsidR="0013706D">
        <w:rPr>
          <w:rFonts w:hint="cs"/>
          <w:b/>
          <w:bCs/>
          <w:sz w:val="24"/>
          <w:szCs w:val="24"/>
          <w:rtl/>
        </w:rPr>
        <w:t xml:space="preserve"> אך נתונות תחת שתי מערכות חוק</w:t>
      </w:r>
      <w:r w:rsidRPr="00011131">
        <w:rPr>
          <w:rFonts w:hint="cs"/>
          <w:b/>
          <w:bCs/>
          <w:sz w:val="24"/>
          <w:szCs w:val="24"/>
          <w:rtl/>
        </w:rPr>
        <w:t>.</w:t>
      </w:r>
    </w:p>
    <w:p w:rsidR="005103DB" w:rsidRPr="00011131" w:rsidRDefault="005103DB" w:rsidP="0039656A">
      <w:pPr>
        <w:pStyle w:val="Hesber"/>
        <w:numPr>
          <w:ilvl w:val="0"/>
          <w:numId w:val="1"/>
        </w:numPr>
        <w:spacing w:before="120"/>
        <w:ind w:left="368"/>
        <w:rPr>
          <w:sz w:val="24"/>
          <w:szCs w:val="24"/>
        </w:rPr>
      </w:pPr>
      <w:r w:rsidRPr="00011131">
        <w:rPr>
          <w:rFonts w:hint="cs"/>
          <w:sz w:val="24"/>
          <w:szCs w:val="24"/>
          <w:rtl/>
        </w:rPr>
        <w:t>תקצר היריעה מלתאר את האפליה הבוטה והממוסדת מהם סובלים פלסטינים תחת המשטר הצבאי הישראלי, המעניק העדפה ברורה וגורפת לזכויות המתנחלים</w:t>
      </w:r>
      <w:r w:rsidRPr="00011131">
        <w:rPr>
          <w:rFonts w:hint="cs"/>
          <w:b/>
          <w:bCs/>
          <w:sz w:val="24"/>
          <w:szCs w:val="24"/>
          <w:rtl/>
        </w:rPr>
        <w:t>,</w:t>
      </w:r>
      <w:r w:rsidRPr="00011131">
        <w:rPr>
          <w:rFonts w:hint="cs"/>
          <w:sz w:val="24"/>
          <w:szCs w:val="24"/>
          <w:rtl/>
        </w:rPr>
        <w:t xml:space="preserve"> בין אם </w:t>
      </w:r>
      <w:r w:rsidR="009E6F92">
        <w:rPr>
          <w:rFonts w:hint="cs"/>
          <w:sz w:val="24"/>
          <w:szCs w:val="24"/>
          <w:rtl/>
        </w:rPr>
        <w:t>בדין</w:t>
      </w:r>
      <w:r w:rsidRPr="00011131">
        <w:rPr>
          <w:rFonts w:hint="cs"/>
          <w:sz w:val="24"/>
          <w:szCs w:val="24"/>
          <w:rtl/>
        </w:rPr>
        <w:t xml:space="preserve"> הפלילי, בחופש הביטוי וההפגנה, בדיני </w:t>
      </w:r>
      <w:r w:rsidR="006244EA">
        <w:rPr>
          <w:rFonts w:hint="cs"/>
          <w:sz w:val="24"/>
          <w:szCs w:val="24"/>
          <w:rtl/>
        </w:rPr>
        <w:t>ה</w:t>
      </w:r>
      <w:r w:rsidRPr="00011131">
        <w:rPr>
          <w:rFonts w:hint="cs"/>
          <w:sz w:val="24"/>
          <w:szCs w:val="24"/>
          <w:rtl/>
        </w:rPr>
        <w:t>תכנון ו</w:t>
      </w:r>
      <w:r w:rsidR="006244EA">
        <w:rPr>
          <w:rFonts w:hint="cs"/>
          <w:sz w:val="24"/>
          <w:szCs w:val="24"/>
          <w:rtl/>
        </w:rPr>
        <w:t>ה</w:t>
      </w:r>
      <w:r w:rsidRPr="00011131">
        <w:rPr>
          <w:rFonts w:hint="cs"/>
          <w:sz w:val="24"/>
          <w:szCs w:val="24"/>
          <w:rtl/>
        </w:rPr>
        <w:t xml:space="preserve">בניה, במימוש הזכות לקורת גג ולמשפחה ועוד. (להשוואה מלאה בין הדינים ולאופן שבו ישראל החילה את הדין הישראלי על המתנחלים </w:t>
      </w:r>
      <w:r w:rsidR="006244EA">
        <w:rPr>
          <w:rFonts w:hint="cs"/>
          <w:sz w:val="24"/>
          <w:szCs w:val="24"/>
          <w:rtl/>
        </w:rPr>
        <w:t xml:space="preserve">וההתנחלויות </w:t>
      </w:r>
      <w:r w:rsidRPr="00011131">
        <w:rPr>
          <w:rFonts w:hint="cs"/>
          <w:sz w:val="24"/>
          <w:szCs w:val="24"/>
          <w:rtl/>
        </w:rPr>
        <w:t>באמצעות חקיקה צבאית ו</w:t>
      </w:r>
      <w:r w:rsidR="006244EA">
        <w:rPr>
          <w:rFonts w:hint="cs"/>
          <w:sz w:val="24"/>
          <w:szCs w:val="24"/>
          <w:rtl/>
        </w:rPr>
        <w:t xml:space="preserve">באמצעות </w:t>
      </w:r>
      <w:r w:rsidRPr="00011131">
        <w:rPr>
          <w:rFonts w:hint="cs"/>
          <w:sz w:val="24"/>
          <w:szCs w:val="24"/>
          <w:rtl/>
        </w:rPr>
        <w:t>חקיקה של הכנסת ראו "</w:t>
      </w:r>
      <w:r w:rsidRPr="00D41512">
        <w:rPr>
          <w:rFonts w:hint="cs"/>
          <w:i/>
          <w:iCs/>
          <w:sz w:val="24"/>
          <w:szCs w:val="24"/>
          <w:rtl/>
        </w:rPr>
        <w:t>שלטון אחד: שתי מערכות חוק</w:t>
      </w:r>
      <w:r w:rsidRPr="00011131">
        <w:rPr>
          <w:rFonts w:hint="cs"/>
          <w:sz w:val="24"/>
          <w:szCs w:val="24"/>
          <w:rtl/>
        </w:rPr>
        <w:t>", דוח האגודה לזכויות האזרח, 2014.)</w:t>
      </w:r>
    </w:p>
    <w:p w:rsidR="009E6F92" w:rsidRDefault="00B44B75" w:rsidP="0039656A">
      <w:pPr>
        <w:pStyle w:val="Hesber"/>
        <w:numPr>
          <w:ilvl w:val="0"/>
          <w:numId w:val="1"/>
        </w:numPr>
        <w:spacing w:before="120"/>
        <w:ind w:left="368"/>
        <w:rPr>
          <w:sz w:val="24"/>
          <w:szCs w:val="24"/>
        </w:rPr>
      </w:pPr>
      <w:r>
        <w:rPr>
          <w:rFonts w:hint="cs"/>
          <w:sz w:val="24"/>
          <w:szCs w:val="24"/>
          <w:rtl/>
        </w:rPr>
        <w:lastRenderedPageBreak/>
        <w:t xml:space="preserve">אפליה שיטתית זו נוצרה </w:t>
      </w:r>
      <w:r w:rsidR="009E6F92">
        <w:rPr>
          <w:rFonts w:hint="cs"/>
          <w:sz w:val="24"/>
          <w:szCs w:val="24"/>
          <w:rtl/>
        </w:rPr>
        <w:t xml:space="preserve">משך עשרות שנים </w:t>
      </w:r>
      <w:r>
        <w:rPr>
          <w:rFonts w:hint="cs"/>
          <w:sz w:val="24"/>
          <w:szCs w:val="24"/>
          <w:rtl/>
        </w:rPr>
        <w:t>בעיקר באמצעות</w:t>
      </w:r>
      <w:r w:rsidR="009E6F92">
        <w:rPr>
          <w:rFonts w:hint="cs"/>
          <w:sz w:val="24"/>
          <w:szCs w:val="24"/>
          <w:rtl/>
        </w:rPr>
        <w:t xml:space="preserve"> החקיקה הצבאית, שמיסדה את האפליה בין האוכלוסיות. </w:t>
      </w:r>
      <w:r w:rsidR="00AD6FBF">
        <w:rPr>
          <w:rFonts w:hint="cs"/>
          <w:sz w:val="24"/>
          <w:szCs w:val="24"/>
          <w:rtl/>
        </w:rPr>
        <w:t xml:space="preserve">היא הפכה את חובת הנאמנות של המפקד הצבאי כלפי </w:t>
      </w:r>
      <w:proofErr w:type="spellStart"/>
      <w:r w:rsidR="00AD6FBF">
        <w:rPr>
          <w:rFonts w:hint="cs"/>
          <w:sz w:val="24"/>
          <w:szCs w:val="24"/>
          <w:rtl/>
        </w:rPr>
        <w:t>האוכלוסיה</w:t>
      </w:r>
      <w:proofErr w:type="spellEnd"/>
      <w:r w:rsidR="00AD6FBF">
        <w:rPr>
          <w:rFonts w:hint="cs"/>
          <w:sz w:val="24"/>
          <w:szCs w:val="24"/>
          <w:rtl/>
        </w:rPr>
        <w:t xml:space="preserve"> המוגנת לסיסמא ריקה מתוכן. </w:t>
      </w:r>
      <w:r w:rsidR="002B029C">
        <w:rPr>
          <w:rFonts w:hint="cs"/>
          <w:sz w:val="24"/>
          <w:szCs w:val="24"/>
          <w:rtl/>
        </w:rPr>
        <w:t xml:space="preserve">כעת </w:t>
      </w:r>
      <w:r w:rsidR="005D27F0">
        <w:rPr>
          <w:rFonts w:hint="cs"/>
          <w:sz w:val="24"/>
          <w:szCs w:val="24"/>
          <w:rtl/>
        </w:rPr>
        <w:t xml:space="preserve">מבקשים חברי הכנסת </w:t>
      </w:r>
      <w:r w:rsidR="002B029C">
        <w:rPr>
          <w:rFonts w:hint="cs"/>
          <w:sz w:val="24"/>
          <w:szCs w:val="24"/>
          <w:rtl/>
        </w:rPr>
        <w:t>להעמיק אפליה</w:t>
      </w:r>
      <w:r w:rsidR="0013706D">
        <w:rPr>
          <w:rFonts w:hint="cs"/>
          <w:sz w:val="24"/>
          <w:szCs w:val="24"/>
          <w:rtl/>
        </w:rPr>
        <w:t xml:space="preserve"> זו</w:t>
      </w:r>
      <w:r w:rsidR="0065200E">
        <w:rPr>
          <w:rFonts w:hint="cs"/>
          <w:sz w:val="24"/>
          <w:szCs w:val="24"/>
          <w:rtl/>
        </w:rPr>
        <w:t>.</w:t>
      </w:r>
      <w:r>
        <w:rPr>
          <w:rFonts w:hint="cs"/>
          <w:sz w:val="24"/>
          <w:szCs w:val="24"/>
          <w:rtl/>
        </w:rPr>
        <w:t xml:space="preserve"> </w:t>
      </w:r>
      <w:r w:rsidR="00483CBB" w:rsidRPr="00011131">
        <w:rPr>
          <w:rFonts w:hint="cs"/>
          <w:sz w:val="24"/>
          <w:szCs w:val="24"/>
          <w:rtl/>
        </w:rPr>
        <w:t>על פי ההצעה</w:t>
      </w:r>
      <w:r>
        <w:rPr>
          <w:rFonts w:hint="cs"/>
          <w:sz w:val="24"/>
          <w:szCs w:val="24"/>
          <w:rtl/>
        </w:rPr>
        <w:t xml:space="preserve"> שמובאת לוועדה</w:t>
      </w:r>
      <w:r w:rsidR="00483CBB" w:rsidRPr="00011131">
        <w:rPr>
          <w:rFonts w:hint="cs"/>
          <w:sz w:val="24"/>
          <w:szCs w:val="24"/>
          <w:rtl/>
        </w:rPr>
        <w:t>, יוכלו חברי הכנסת לקבוע האם החלת חקיקה חדשה על אזרחי ישראל המתגוררים בשטחים תתבצע בחקיקה ישירה של הכנסת או באמצעות התחיקה הצבאית.</w:t>
      </w:r>
      <w:r w:rsidR="00206054" w:rsidRPr="00011131">
        <w:rPr>
          <w:rFonts w:hint="cs"/>
          <w:sz w:val="24"/>
          <w:szCs w:val="24"/>
          <w:rtl/>
        </w:rPr>
        <w:t xml:space="preserve"> </w:t>
      </w:r>
    </w:p>
    <w:p w:rsidR="0065200E" w:rsidRPr="0065200E" w:rsidRDefault="001E1D08" w:rsidP="0039656A">
      <w:pPr>
        <w:pStyle w:val="Hesber"/>
        <w:numPr>
          <w:ilvl w:val="0"/>
          <w:numId w:val="1"/>
        </w:numPr>
        <w:spacing w:before="120"/>
        <w:ind w:left="368"/>
        <w:rPr>
          <w:sz w:val="24"/>
          <w:szCs w:val="24"/>
        </w:rPr>
      </w:pPr>
      <w:r w:rsidRPr="0065200E">
        <w:rPr>
          <w:rFonts w:hint="cs"/>
          <w:b/>
          <w:bCs/>
          <w:sz w:val="24"/>
          <w:szCs w:val="24"/>
          <w:rtl/>
        </w:rPr>
        <w:t xml:space="preserve">ראשית, </w:t>
      </w:r>
      <w:r w:rsidR="00AD6FBF" w:rsidRPr="0065200E">
        <w:rPr>
          <w:rFonts w:hint="cs"/>
          <w:b/>
          <w:bCs/>
          <w:sz w:val="24"/>
          <w:szCs w:val="24"/>
          <w:rtl/>
        </w:rPr>
        <w:t xml:space="preserve">מבקשים חברי הכנסת להכפיף את המפקד הצבאי לדין הישראלי ולמחוקק הישראלי, במקום לעקרונות המשפט ההומניטארי הבינלאומי שממנו שואב המפקד הצבאי את הסמכות והלגיטימציה לשלוט בשטח. </w:t>
      </w:r>
      <w:r w:rsidR="00483CBB" w:rsidRPr="0065200E">
        <w:rPr>
          <w:rFonts w:hint="cs"/>
          <w:sz w:val="24"/>
          <w:szCs w:val="24"/>
          <w:rtl/>
        </w:rPr>
        <w:t>אם עקרונות אלו מושלכים הצידה</w:t>
      </w:r>
      <w:r w:rsidR="00AD6FBF" w:rsidRPr="0065200E">
        <w:rPr>
          <w:rFonts w:hint="cs"/>
          <w:sz w:val="24"/>
          <w:szCs w:val="24"/>
          <w:rtl/>
        </w:rPr>
        <w:t xml:space="preserve">, אם שליטת המפקד איננה זמנית כלל ועיקר ואם הוא לא משמש כנאמן </w:t>
      </w:r>
      <w:proofErr w:type="spellStart"/>
      <w:r w:rsidR="00AD6FBF" w:rsidRPr="0065200E">
        <w:rPr>
          <w:rFonts w:hint="cs"/>
          <w:sz w:val="24"/>
          <w:szCs w:val="24"/>
          <w:rtl/>
        </w:rPr>
        <w:t>האוכלוסיה</w:t>
      </w:r>
      <w:proofErr w:type="spellEnd"/>
      <w:r w:rsidR="00AD6FBF" w:rsidRPr="0065200E">
        <w:rPr>
          <w:rFonts w:hint="cs"/>
          <w:sz w:val="24"/>
          <w:szCs w:val="24"/>
          <w:rtl/>
        </w:rPr>
        <w:t xml:space="preserve"> המוגנת </w:t>
      </w:r>
      <w:r w:rsidR="00B44B75" w:rsidRPr="0065200E">
        <w:rPr>
          <w:rFonts w:hint="cs"/>
          <w:sz w:val="24"/>
          <w:szCs w:val="24"/>
          <w:rtl/>
        </w:rPr>
        <w:t xml:space="preserve">- </w:t>
      </w:r>
      <w:r w:rsidR="00483CBB" w:rsidRPr="0065200E">
        <w:rPr>
          <w:rFonts w:hint="cs"/>
          <w:sz w:val="24"/>
          <w:szCs w:val="24"/>
          <w:rtl/>
        </w:rPr>
        <w:t>הרי שאין שום לגיטימיות לשליטה הצבאית והיא בלתי חוקית ופסולה.</w:t>
      </w:r>
    </w:p>
    <w:p w:rsidR="001E1D08" w:rsidRPr="0065200E" w:rsidRDefault="001E1D08" w:rsidP="0039656A">
      <w:pPr>
        <w:pStyle w:val="Hesber"/>
        <w:numPr>
          <w:ilvl w:val="0"/>
          <w:numId w:val="1"/>
        </w:numPr>
        <w:spacing w:before="120"/>
        <w:ind w:left="368"/>
        <w:rPr>
          <w:sz w:val="24"/>
          <w:szCs w:val="24"/>
        </w:rPr>
      </w:pPr>
      <w:r w:rsidRPr="0065200E">
        <w:rPr>
          <w:rFonts w:hint="cs"/>
          <w:b/>
          <w:bCs/>
          <w:sz w:val="24"/>
          <w:szCs w:val="24"/>
          <w:rtl/>
        </w:rPr>
        <w:t>שנית, אם הכנסת רואה עצמה ריבון בשטחים הרי שמדובר בסיפוח שמחייב החלת משטר דמוקרטי על כלל תושבי האזור.</w:t>
      </w:r>
      <w:r w:rsidRPr="0065200E">
        <w:rPr>
          <w:rFonts w:hint="cs"/>
          <w:sz w:val="24"/>
          <w:szCs w:val="24"/>
          <w:rtl/>
        </w:rPr>
        <w:t xml:space="preserve"> אלא ש</w:t>
      </w:r>
      <w:r w:rsidR="00B44B75" w:rsidRPr="0065200E">
        <w:rPr>
          <w:rFonts w:hint="cs"/>
          <w:sz w:val="24"/>
          <w:szCs w:val="24"/>
          <w:rtl/>
        </w:rPr>
        <w:t xml:space="preserve">המהלך להחלת הדין הישראלי על המתנחלים באמצעות הכנסת, </w:t>
      </w:r>
      <w:r w:rsidRPr="0065200E">
        <w:rPr>
          <w:rFonts w:hint="cs"/>
          <w:sz w:val="24"/>
          <w:szCs w:val="24"/>
          <w:rtl/>
        </w:rPr>
        <w:t>כמו גם מהלכים ודיונים</w:t>
      </w:r>
      <w:r w:rsidR="00B44B75" w:rsidRPr="0065200E">
        <w:rPr>
          <w:rFonts w:hint="cs"/>
          <w:sz w:val="24"/>
          <w:szCs w:val="24"/>
          <w:rtl/>
        </w:rPr>
        <w:t xml:space="preserve"> אחרים המתקיימים בכנסת בשנים האחרונות, אינם מהווים</w:t>
      </w:r>
      <w:r w:rsidR="00B44B75" w:rsidRPr="0065200E">
        <w:rPr>
          <w:sz w:val="24"/>
          <w:szCs w:val="24"/>
          <w:rtl/>
        </w:rPr>
        <w:t xml:space="preserve"> סיפוח במובנו הרגיל והמהותי</w:t>
      </w:r>
      <w:r w:rsidR="00B44B75" w:rsidRPr="0065200E">
        <w:rPr>
          <w:rFonts w:hint="cs"/>
          <w:sz w:val="24"/>
          <w:szCs w:val="24"/>
          <w:rtl/>
        </w:rPr>
        <w:t>. מדובר</w:t>
      </w:r>
      <w:r w:rsidR="00B44B75" w:rsidRPr="0065200E">
        <w:rPr>
          <w:sz w:val="24"/>
          <w:szCs w:val="24"/>
          <w:rtl/>
        </w:rPr>
        <w:t xml:space="preserve"> </w:t>
      </w:r>
      <w:r w:rsidR="00B44B75" w:rsidRPr="0065200E">
        <w:rPr>
          <w:rFonts w:hint="cs"/>
          <w:sz w:val="24"/>
          <w:szCs w:val="24"/>
          <w:rtl/>
        </w:rPr>
        <w:t>ב</w:t>
      </w:r>
      <w:r w:rsidR="00B44B75" w:rsidRPr="0065200E">
        <w:rPr>
          <w:sz w:val="24"/>
          <w:szCs w:val="24"/>
          <w:rtl/>
        </w:rPr>
        <w:t xml:space="preserve">ייצור כלאיים שבו ישראלים </w:t>
      </w:r>
      <w:r w:rsidR="00B44B75" w:rsidRPr="0065200E">
        <w:rPr>
          <w:rFonts w:hint="cs"/>
          <w:sz w:val="24"/>
          <w:szCs w:val="24"/>
          <w:rtl/>
        </w:rPr>
        <w:t xml:space="preserve">בהתנחלויות </w:t>
      </w:r>
      <w:r w:rsidR="00B44B75" w:rsidRPr="0065200E">
        <w:rPr>
          <w:sz w:val="24"/>
          <w:szCs w:val="24"/>
          <w:rtl/>
        </w:rPr>
        <w:t>יסופחו לדמוקרטיה הישראלית ושכניהם הפלסטינים ימשיכו לחיות תחת כיבוש צבאי</w:t>
      </w:r>
      <w:r w:rsidR="00B44B75" w:rsidRPr="0065200E">
        <w:rPr>
          <w:rFonts w:hint="cs"/>
          <w:sz w:val="24"/>
          <w:szCs w:val="24"/>
          <w:rtl/>
        </w:rPr>
        <w:t>.</w:t>
      </w:r>
      <w:r w:rsidR="00B44B75" w:rsidRPr="0065200E">
        <w:rPr>
          <w:sz w:val="24"/>
          <w:szCs w:val="24"/>
          <w:rtl/>
        </w:rPr>
        <w:t xml:space="preserve"> </w:t>
      </w:r>
    </w:p>
    <w:p w:rsidR="00B44B75" w:rsidRDefault="00B44B75" w:rsidP="0039656A">
      <w:pPr>
        <w:pStyle w:val="Hesber"/>
        <w:numPr>
          <w:ilvl w:val="0"/>
          <w:numId w:val="1"/>
        </w:numPr>
        <w:spacing w:before="120"/>
        <w:ind w:left="368"/>
        <w:rPr>
          <w:sz w:val="24"/>
          <w:szCs w:val="24"/>
        </w:rPr>
      </w:pPr>
      <w:r w:rsidRPr="00011131">
        <w:rPr>
          <w:rFonts w:hint="cs"/>
          <w:sz w:val="24"/>
          <w:szCs w:val="24"/>
          <w:rtl/>
        </w:rPr>
        <w:t>דמיינו: רח</w:t>
      </w:r>
      <w:r>
        <w:rPr>
          <w:rFonts w:hint="cs"/>
          <w:sz w:val="24"/>
          <w:szCs w:val="24"/>
          <w:rtl/>
        </w:rPr>
        <w:t>וב אחד בחברון, שדייריו היהודים מסופחים</w:t>
      </w:r>
      <w:r w:rsidRPr="00011131">
        <w:rPr>
          <w:rFonts w:hint="cs"/>
          <w:sz w:val="24"/>
          <w:szCs w:val="24"/>
          <w:rtl/>
        </w:rPr>
        <w:t xml:space="preserve"> לישראל וחיים במשטר דמוקרטי, ודייריו הערבים סובלים תחת כיבוש צבאי. מי</w:t>
      </w:r>
      <w:r w:rsidR="00AD6FBF">
        <w:rPr>
          <w:rFonts w:hint="cs"/>
          <w:sz w:val="24"/>
          <w:szCs w:val="24"/>
          <w:rtl/>
        </w:rPr>
        <w:t xml:space="preserve">הו </w:t>
      </w:r>
      <w:r w:rsidR="00D76E6D">
        <w:rPr>
          <w:rFonts w:hint="cs"/>
          <w:sz w:val="24"/>
          <w:szCs w:val="24"/>
          <w:rtl/>
        </w:rPr>
        <w:t>השליט</w:t>
      </w:r>
      <w:r w:rsidR="00AD6FBF">
        <w:rPr>
          <w:rFonts w:hint="cs"/>
          <w:sz w:val="24"/>
          <w:szCs w:val="24"/>
          <w:rtl/>
        </w:rPr>
        <w:t xml:space="preserve"> </w:t>
      </w:r>
      <w:r w:rsidR="00D76E6D">
        <w:rPr>
          <w:rFonts w:hint="cs"/>
          <w:sz w:val="24"/>
          <w:szCs w:val="24"/>
          <w:rtl/>
        </w:rPr>
        <w:t>של ה</w:t>
      </w:r>
      <w:r w:rsidRPr="00011131">
        <w:rPr>
          <w:rFonts w:hint="cs"/>
          <w:sz w:val="24"/>
          <w:szCs w:val="24"/>
          <w:rtl/>
        </w:rPr>
        <w:t xml:space="preserve">רחוב בחברון </w:t>
      </w:r>
      <w:r w:rsidRPr="00011131">
        <w:rPr>
          <w:sz w:val="24"/>
          <w:szCs w:val="24"/>
          <w:rtl/>
        </w:rPr>
        <w:t>–</w:t>
      </w:r>
      <w:r w:rsidRPr="00011131">
        <w:rPr>
          <w:rFonts w:hint="cs"/>
          <w:sz w:val="24"/>
          <w:szCs w:val="24"/>
          <w:rtl/>
        </w:rPr>
        <w:t xml:space="preserve"> כנסת ישראל או המפקד הצבאי? מהו המשטר המתקיים ברחוב זה </w:t>
      </w:r>
      <w:r w:rsidRPr="00011131">
        <w:rPr>
          <w:sz w:val="24"/>
          <w:szCs w:val="24"/>
          <w:rtl/>
        </w:rPr>
        <w:t>–</w:t>
      </w:r>
      <w:r w:rsidRPr="00011131">
        <w:rPr>
          <w:rFonts w:hint="cs"/>
          <w:sz w:val="24"/>
          <w:szCs w:val="24"/>
          <w:rtl/>
        </w:rPr>
        <w:t xml:space="preserve"> דמוקרטי או צבאי?</w:t>
      </w:r>
      <w:r>
        <w:rPr>
          <w:rFonts w:hint="cs"/>
          <w:sz w:val="24"/>
          <w:szCs w:val="24"/>
          <w:rtl/>
        </w:rPr>
        <w:t xml:space="preserve"> מהן הנורמות המתקיימות בו </w:t>
      </w:r>
      <w:r>
        <w:rPr>
          <w:sz w:val="24"/>
          <w:szCs w:val="24"/>
          <w:rtl/>
        </w:rPr>
        <w:t>–</w:t>
      </w:r>
      <w:r>
        <w:rPr>
          <w:rFonts w:hint="cs"/>
          <w:sz w:val="24"/>
          <w:szCs w:val="24"/>
          <w:rtl/>
        </w:rPr>
        <w:t xml:space="preserve"> השוואת דינים או אפליה ממוסדת על בסיס לאום?</w:t>
      </w:r>
    </w:p>
    <w:p w:rsidR="00D76E6D" w:rsidRDefault="00B44B75" w:rsidP="0039656A">
      <w:pPr>
        <w:pStyle w:val="Hesber"/>
        <w:numPr>
          <w:ilvl w:val="0"/>
          <w:numId w:val="1"/>
        </w:numPr>
        <w:spacing w:before="120"/>
        <w:ind w:left="368"/>
        <w:rPr>
          <w:rFonts w:cs="Arial"/>
          <w:sz w:val="24"/>
          <w:szCs w:val="24"/>
        </w:rPr>
      </w:pPr>
      <w:r>
        <w:rPr>
          <w:rFonts w:hint="cs"/>
          <w:sz w:val="24"/>
          <w:szCs w:val="24"/>
          <w:rtl/>
        </w:rPr>
        <w:t>ההצעה המובאת בפני ועדת הכנסת חושפת עד כמה גדול</w:t>
      </w:r>
      <w:r w:rsidR="009E76E4">
        <w:rPr>
          <w:rFonts w:hint="cs"/>
          <w:sz w:val="24"/>
          <w:szCs w:val="24"/>
          <w:rtl/>
        </w:rPr>
        <w:t xml:space="preserve"> </w:t>
      </w:r>
      <w:r w:rsidR="001E1D08">
        <w:rPr>
          <w:rFonts w:hint="cs"/>
          <w:sz w:val="24"/>
          <w:szCs w:val="24"/>
          <w:rtl/>
        </w:rPr>
        <w:t>הפער בין העמדה הרשמית של ישראל,</w:t>
      </w:r>
      <w:r>
        <w:rPr>
          <w:rFonts w:hint="cs"/>
          <w:sz w:val="24"/>
          <w:szCs w:val="24"/>
          <w:rtl/>
        </w:rPr>
        <w:t xml:space="preserve"> שעליה </w:t>
      </w:r>
      <w:r w:rsidR="009E76E4">
        <w:rPr>
          <w:rFonts w:hint="cs"/>
          <w:sz w:val="24"/>
          <w:szCs w:val="24"/>
          <w:rtl/>
        </w:rPr>
        <w:t xml:space="preserve">מושתתת הלגיטימיות </w:t>
      </w:r>
      <w:r w:rsidR="00AD6FBF">
        <w:rPr>
          <w:rFonts w:hint="cs"/>
          <w:sz w:val="24"/>
          <w:szCs w:val="24"/>
          <w:rtl/>
        </w:rPr>
        <w:t>ממנה נהנה</w:t>
      </w:r>
      <w:r w:rsidR="009E76E4">
        <w:rPr>
          <w:rFonts w:hint="cs"/>
          <w:sz w:val="24"/>
          <w:szCs w:val="24"/>
          <w:rtl/>
        </w:rPr>
        <w:t xml:space="preserve"> המשטר הצבאי ב</w:t>
      </w:r>
      <w:r w:rsidR="001E1D08">
        <w:rPr>
          <w:rFonts w:hint="cs"/>
          <w:sz w:val="24"/>
          <w:szCs w:val="24"/>
          <w:rtl/>
        </w:rPr>
        <w:t>שטחים,</w:t>
      </w:r>
      <w:r>
        <w:rPr>
          <w:rFonts w:hint="cs"/>
          <w:sz w:val="24"/>
          <w:szCs w:val="24"/>
          <w:rtl/>
        </w:rPr>
        <w:t xml:space="preserve"> לבין המציאות שישראל מייצרת ומבקשת לקדם</w:t>
      </w:r>
      <w:r w:rsidR="009E76E4">
        <w:rPr>
          <w:rFonts w:hint="cs"/>
          <w:sz w:val="24"/>
          <w:szCs w:val="24"/>
          <w:rtl/>
        </w:rPr>
        <w:t xml:space="preserve"> בשטחים</w:t>
      </w:r>
      <w:r w:rsidR="00D76E6D">
        <w:rPr>
          <w:rFonts w:hint="cs"/>
          <w:sz w:val="24"/>
          <w:szCs w:val="24"/>
          <w:rtl/>
        </w:rPr>
        <w:t>. מציאות זו איננה זמנית כלל ועיקר ואיננה מושתת על עקרונות המשפט ההומניטארי הבינלאומי</w:t>
      </w:r>
      <w:r>
        <w:rPr>
          <w:rFonts w:hint="cs"/>
          <w:sz w:val="24"/>
          <w:szCs w:val="24"/>
          <w:rtl/>
        </w:rPr>
        <w:t xml:space="preserve">. </w:t>
      </w:r>
    </w:p>
    <w:p w:rsidR="00D41512" w:rsidRPr="00D41512" w:rsidRDefault="00D41512" w:rsidP="0039656A">
      <w:pPr>
        <w:pStyle w:val="2"/>
        <w:spacing w:before="240"/>
        <w:rPr>
          <w:rFonts w:ascii="David" w:hAnsi="David" w:cs="David"/>
          <w:sz w:val="24"/>
          <w:szCs w:val="24"/>
          <w:u w:val="single"/>
        </w:rPr>
      </w:pPr>
      <w:r>
        <w:rPr>
          <w:rFonts w:ascii="David" w:hAnsi="David" w:cs="David" w:hint="cs"/>
          <w:sz w:val="24"/>
          <w:szCs w:val="24"/>
          <w:u w:val="single"/>
          <w:rtl/>
        </w:rPr>
        <w:t>לסיכום</w:t>
      </w:r>
    </w:p>
    <w:p w:rsidR="00483CBB" w:rsidRDefault="009E76E4" w:rsidP="00C21DF3">
      <w:pPr>
        <w:pStyle w:val="Hesber"/>
        <w:numPr>
          <w:ilvl w:val="0"/>
          <w:numId w:val="1"/>
        </w:numPr>
        <w:spacing w:before="120"/>
        <w:ind w:left="368"/>
        <w:rPr>
          <w:rFonts w:cs="Arial"/>
          <w:sz w:val="24"/>
          <w:szCs w:val="24"/>
        </w:rPr>
      </w:pPr>
      <w:r>
        <w:rPr>
          <w:rFonts w:hint="cs"/>
          <w:sz w:val="24"/>
          <w:szCs w:val="24"/>
          <w:rtl/>
        </w:rPr>
        <w:t xml:space="preserve">אנו קוראים לחברי הכנסת שלא לתת יד להעמקת </w:t>
      </w:r>
      <w:r w:rsidR="00B44B75">
        <w:rPr>
          <w:rFonts w:hint="cs"/>
          <w:sz w:val="24"/>
          <w:szCs w:val="24"/>
          <w:rtl/>
        </w:rPr>
        <w:t>משטר מפלה ודכאני הפוגע באופן שיטתי בזכויות אדם</w:t>
      </w:r>
      <w:r>
        <w:rPr>
          <w:rFonts w:hint="cs"/>
          <w:sz w:val="24"/>
          <w:szCs w:val="24"/>
          <w:rtl/>
        </w:rPr>
        <w:t xml:space="preserve">. במקום זאת, על הכנסת לכבד את גבולות ריבונותה </w:t>
      </w:r>
      <w:r w:rsidR="00D76E6D">
        <w:rPr>
          <w:rFonts w:hint="cs"/>
          <w:sz w:val="24"/>
          <w:szCs w:val="24"/>
          <w:rtl/>
        </w:rPr>
        <w:t>ולהבטיח דמוקרטיה מלאה בגבולות המדינה,</w:t>
      </w:r>
      <w:r>
        <w:rPr>
          <w:rFonts w:hint="cs"/>
          <w:sz w:val="24"/>
          <w:szCs w:val="24"/>
          <w:rtl/>
        </w:rPr>
        <w:t xml:space="preserve"> ו</w:t>
      </w:r>
      <w:r w:rsidR="00D76E6D">
        <w:rPr>
          <w:rFonts w:hint="cs"/>
          <w:sz w:val="24"/>
          <w:szCs w:val="24"/>
          <w:rtl/>
        </w:rPr>
        <w:t xml:space="preserve">במקביל, </w:t>
      </w:r>
      <w:r>
        <w:rPr>
          <w:rFonts w:hint="cs"/>
          <w:sz w:val="24"/>
          <w:szCs w:val="24"/>
          <w:rtl/>
        </w:rPr>
        <w:t xml:space="preserve">לדרוש שהצבא יפעל תחת הנורמות הקבועות במשפט ההומניטארי הבינלאומי החל על שטח כבוש. </w:t>
      </w:r>
      <w:r w:rsidR="00D76E6D">
        <w:rPr>
          <w:rFonts w:hint="cs"/>
          <w:sz w:val="24"/>
          <w:szCs w:val="24"/>
          <w:rtl/>
        </w:rPr>
        <w:t xml:space="preserve">כל עוד השליטה הצבאית </w:t>
      </w:r>
      <w:r w:rsidR="00C21DF3">
        <w:rPr>
          <w:rFonts w:hint="cs"/>
          <w:sz w:val="24"/>
          <w:szCs w:val="24"/>
          <w:rtl/>
        </w:rPr>
        <w:t>בשטחים</w:t>
      </w:r>
      <w:r w:rsidR="00D76E6D">
        <w:rPr>
          <w:rFonts w:hint="cs"/>
          <w:sz w:val="24"/>
          <w:szCs w:val="24"/>
          <w:rtl/>
        </w:rPr>
        <w:t xml:space="preserve"> נמשכת, </w:t>
      </w:r>
      <w:r w:rsidR="001E1D08">
        <w:rPr>
          <w:rFonts w:hint="cs"/>
          <w:sz w:val="24"/>
          <w:szCs w:val="24"/>
          <w:rtl/>
        </w:rPr>
        <w:t>רק כך ניתן למנוע את הפגיעה השיטתית והקשה בזכויות האדם</w:t>
      </w:r>
      <w:r w:rsidR="00D76E6D">
        <w:rPr>
          <w:rFonts w:hint="cs"/>
          <w:sz w:val="24"/>
          <w:szCs w:val="24"/>
          <w:rtl/>
        </w:rPr>
        <w:t xml:space="preserve"> ובכבוד האדם</w:t>
      </w:r>
      <w:r w:rsidR="001E1D08">
        <w:rPr>
          <w:rFonts w:hint="cs"/>
          <w:sz w:val="24"/>
          <w:szCs w:val="24"/>
          <w:rtl/>
        </w:rPr>
        <w:t>.</w:t>
      </w:r>
      <w:r>
        <w:rPr>
          <w:rFonts w:hint="cs"/>
          <w:sz w:val="24"/>
          <w:szCs w:val="24"/>
          <w:rtl/>
        </w:rPr>
        <w:t xml:space="preserve"> </w:t>
      </w:r>
      <w:r w:rsidRPr="00011131">
        <w:rPr>
          <w:rFonts w:cs="Arial"/>
          <w:sz w:val="24"/>
          <w:szCs w:val="24"/>
        </w:rPr>
        <w:t xml:space="preserve"> </w:t>
      </w:r>
    </w:p>
    <w:p w:rsidR="00D41512" w:rsidRPr="00107EBD" w:rsidRDefault="00D41512" w:rsidP="0039656A">
      <w:pPr>
        <w:pStyle w:val="1"/>
        <w:numPr>
          <w:ilvl w:val="0"/>
          <w:numId w:val="0"/>
        </w:numPr>
        <w:tabs>
          <w:tab w:val="left" w:pos="5045"/>
        </w:tabs>
        <w:spacing w:before="240" w:after="0" w:line="360" w:lineRule="auto"/>
        <w:ind w:left="112"/>
        <w:rPr>
          <w:rFonts w:ascii="David" w:hAnsi="David" w:cs="David"/>
          <w:sz w:val="24"/>
          <w:szCs w:val="24"/>
          <w:rtl/>
        </w:rPr>
      </w:pPr>
      <w:r>
        <w:rPr>
          <w:rFonts w:ascii="David" w:hAnsi="David" w:cs="David"/>
          <w:sz w:val="24"/>
          <w:szCs w:val="24"/>
          <w:rtl/>
        </w:rPr>
        <w:tab/>
      </w:r>
      <w:r w:rsidRPr="00107EBD">
        <w:rPr>
          <w:rFonts w:ascii="David" w:hAnsi="David" w:cs="David" w:hint="eastAsia"/>
          <w:sz w:val="24"/>
          <w:szCs w:val="24"/>
          <w:rtl/>
        </w:rPr>
        <w:t>בכבוד</w:t>
      </w:r>
      <w:r w:rsidRPr="00107EBD">
        <w:rPr>
          <w:rFonts w:ascii="David" w:hAnsi="David" w:cs="David"/>
          <w:sz w:val="24"/>
          <w:szCs w:val="24"/>
          <w:rtl/>
        </w:rPr>
        <w:t xml:space="preserve"> רב,</w:t>
      </w:r>
    </w:p>
    <w:p w:rsidR="00D41512" w:rsidRDefault="0039656A" w:rsidP="0039656A">
      <w:pPr>
        <w:pStyle w:val="1"/>
        <w:numPr>
          <w:ilvl w:val="0"/>
          <w:numId w:val="0"/>
        </w:numPr>
        <w:tabs>
          <w:tab w:val="left" w:pos="5045"/>
        </w:tabs>
        <w:spacing w:before="0" w:after="0" w:line="360" w:lineRule="auto"/>
        <w:ind w:left="113"/>
        <w:jc w:val="left"/>
        <w:rPr>
          <w:rFonts w:ascii="David" w:hAnsi="David" w:cs="David"/>
          <w:sz w:val="24"/>
          <w:szCs w:val="24"/>
          <w:rtl/>
        </w:rPr>
      </w:pPr>
      <w:r>
        <w:rPr>
          <w:rFonts w:ascii="David" w:hAnsi="David" w:cs="David"/>
          <w:sz w:val="24"/>
          <w:szCs w:val="24"/>
          <w:rtl/>
        </w:rPr>
        <w:tab/>
      </w:r>
      <w:r w:rsidR="00D41512">
        <w:rPr>
          <w:rFonts w:ascii="David" w:hAnsi="David" w:cs="David" w:hint="cs"/>
          <w:sz w:val="24"/>
          <w:szCs w:val="24"/>
          <w:rtl/>
        </w:rPr>
        <w:t>רונית סלע</w:t>
      </w:r>
    </w:p>
    <w:p w:rsidR="00D41512" w:rsidRDefault="00D41512" w:rsidP="00954790">
      <w:pPr>
        <w:pStyle w:val="1"/>
        <w:numPr>
          <w:ilvl w:val="0"/>
          <w:numId w:val="0"/>
        </w:numPr>
        <w:tabs>
          <w:tab w:val="left" w:pos="5045"/>
        </w:tabs>
        <w:spacing w:before="0" w:after="0" w:line="360" w:lineRule="auto"/>
        <w:ind w:left="113"/>
        <w:jc w:val="left"/>
        <w:rPr>
          <w:rFonts w:cs="David"/>
          <w:sz w:val="24"/>
          <w:szCs w:val="24"/>
          <w:rtl/>
        </w:rPr>
      </w:pPr>
      <w:r>
        <w:rPr>
          <w:rFonts w:ascii="David" w:hAnsi="David" w:cs="David"/>
          <w:sz w:val="24"/>
          <w:szCs w:val="24"/>
          <w:rtl/>
        </w:rPr>
        <w:tab/>
      </w:r>
      <w:r>
        <w:rPr>
          <w:rFonts w:ascii="David" w:hAnsi="David" w:cs="David" w:hint="cs"/>
          <w:sz w:val="24"/>
          <w:szCs w:val="24"/>
          <w:rtl/>
        </w:rPr>
        <w:t>מנהלת יחידת שטחים</w:t>
      </w:r>
    </w:p>
    <w:p w:rsidR="00C21DF3" w:rsidRDefault="00C21DF3" w:rsidP="00954790">
      <w:pPr>
        <w:pStyle w:val="1"/>
        <w:numPr>
          <w:ilvl w:val="0"/>
          <w:numId w:val="0"/>
        </w:numPr>
        <w:tabs>
          <w:tab w:val="left" w:pos="5045"/>
        </w:tabs>
        <w:spacing w:before="0" w:after="0" w:line="360" w:lineRule="auto"/>
        <w:ind w:left="113"/>
        <w:jc w:val="left"/>
        <w:rPr>
          <w:rFonts w:cs="David"/>
          <w:sz w:val="24"/>
          <w:szCs w:val="24"/>
          <w:rtl/>
        </w:rPr>
      </w:pPr>
      <w:r>
        <w:rPr>
          <w:rFonts w:cs="David" w:hint="cs"/>
          <w:sz w:val="24"/>
          <w:szCs w:val="24"/>
          <w:rtl/>
        </w:rPr>
        <w:t>העתקים:</w:t>
      </w:r>
    </w:p>
    <w:p w:rsidR="00C21DF3" w:rsidRPr="0039656A" w:rsidRDefault="00C21DF3" w:rsidP="00C21DF3">
      <w:pPr>
        <w:pStyle w:val="1"/>
        <w:numPr>
          <w:ilvl w:val="0"/>
          <w:numId w:val="0"/>
        </w:numPr>
        <w:tabs>
          <w:tab w:val="left" w:pos="5045"/>
        </w:tabs>
        <w:spacing w:before="0" w:after="0" w:line="360" w:lineRule="auto"/>
        <w:ind w:left="113"/>
        <w:jc w:val="left"/>
        <w:rPr>
          <w:rFonts w:cs="David"/>
          <w:sz w:val="24"/>
          <w:szCs w:val="24"/>
        </w:rPr>
      </w:pPr>
      <w:r>
        <w:rPr>
          <w:rFonts w:cs="David" w:hint="cs"/>
          <w:sz w:val="24"/>
          <w:szCs w:val="24"/>
          <w:rtl/>
        </w:rPr>
        <w:t>יו"ר הכנסת, חברי הכנסת, יועמ"ש הכנסת, יועמ"ש ועדת הכנסת</w:t>
      </w:r>
    </w:p>
    <w:sectPr w:rsidR="00C21DF3" w:rsidRPr="0039656A" w:rsidSect="00D41512">
      <w:headerReference w:type="default" r:id="rId8"/>
      <w:headerReference w:type="first" r:id="rId9"/>
      <w:footerReference w:type="firs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512" w:rsidRDefault="00D41512" w:rsidP="00D41512">
      <w:pPr>
        <w:spacing w:after="0" w:line="240" w:lineRule="auto"/>
      </w:pPr>
      <w:r>
        <w:separator/>
      </w:r>
    </w:p>
  </w:endnote>
  <w:endnote w:type="continuationSeparator" w:id="0">
    <w:p w:rsidR="00D41512" w:rsidRDefault="00D41512" w:rsidP="00D41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512" w:rsidRPr="00CD02CB" w:rsidRDefault="00D41512" w:rsidP="00D41512">
    <w:pPr>
      <w:pStyle w:val="ad"/>
      <w:pBdr>
        <w:bottom w:val="single" w:sz="6" w:space="1" w:color="auto"/>
      </w:pBdr>
      <w:ind w:left="-314" w:right="-426"/>
      <w:rPr>
        <w:rFonts w:asciiTheme="minorBidi" w:hAnsiTheme="minorBidi"/>
        <w:sz w:val="19"/>
        <w:szCs w:val="19"/>
        <w:rtl/>
      </w:rPr>
    </w:pPr>
  </w:p>
  <w:p w:rsidR="00D41512" w:rsidRDefault="00D41512" w:rsidP="00D41512">
    <w:pPr>
      <w:pStyle w:val="ad"/>
      <w:ind w:left="-314" w:right="-426"/>
      <w:jc w:val="center"/>
      <w:rPr>
        <w:rFonts w:asciiTheme="minorBidi" w:hAnsiTheme="minorBidi"/>
        <w:spacing w:val="-4"/>
        <w:sz w:val="19"/>
        <w:szCs w:val="19"/>
        <w:rtl/>
      </w:rPr>
    </w:pPr>
  </w:p>
  <w:p w:rsidR="00D41512" w:rsidRPr="00CD02CB" w:rsidRDefault="00D41512" w:rsidP="00D41512">
    <w:pPr>
      <w:pStyle w:val="ad"/>
      <w:ind w:left="-314" w:right="-426"/>
      <w:jc w:val="center"/>
      <w:rPr>
        <w:rFonts w:asciiTheme="minorBidi" w:hAnsiTheme="minorBidi"/>
        <w:spacing w:val="-4"/>
        <w:sz w:val="19"/>
        <w:szCs w:val="19"/>
        <w:rtl/>
      </w:rPr>
    </w:pPr>
    <w:r w:rsidRPr="00CD02CB">
      <w:rPr>
        <w:rFonts w:asciiTheme="minorBidi" w:hAnsiTheme="minorBidi"/>
        <w:spacing w:val="-4"/>
        <w:sz w:val="19"/>
        <w:szCs w:val="19"/>
        <w:rtl/>
      </w:rPr>
      <w:t>האגודה לזכויות האזרח בישראל (</w:t>
    </w:r>
    <w:proofErr w:type="spellStart"/>
    <w:r w:rsidRPr="00CD02CB">
      <w:rPr>
        <w:rFonts w:asciiTheme="minorBidi" w:hAnsiTheme="minorBidi"/>
        <w:spacing w:val="-4"/>
        <w:sz w:val="19"/>
        <w:szCs w:val="19"/>
        <w:rtl/>
      </w:rPr>
      <w:t>ע"ר</w:t>
    </w:r>
    <w:proofErr w:type="spellEnd"/>
    <w:r w:rsidRPr="00CD02CB">
      <w:rPr>
        <w:rFonts w:asciiTheme="minorBidi" w:hAnsiTheme="minorBidi"/>
        <w:spacing w:val="-4"/>
        <w:sz w:val="19"/>
        <w:szCs w:val="19"/>
        <w:rtl/>
      </w:rPr>
      <w:t xml:space="preserve">) | </w:t>
    </w:r>
    <w:r w:rsidRPr="00CD02CB">
      <w:rPr>
        <w:rFonts w:asciiTheme="minorBidi" w:hAnsiTheme="minorBidi"/>
        <w:spacing w:val="-4"/>
        <w:sz w:val="19"/>
        <w:szCs w:val="19"/>
        <w:rtl/>
        <w:lang w:bidi="ar-SA"/>
      </w:rPr>
      <w:t>جمعية حقوق المواطن في اسرائيل</w:t>
    </w:r>
    <w:r w:rsidRPr="00CD02CB">
      <w:rPr>
        <w:rFonts w:asciiTheme="minorBidi" w:hAnsiTheme="minorBidi"/>
        <w:spacing w:val="-4"/>
        <w:sz w:val="19"/>
        <w:szCs w:val="19"/>
        <w:rtl/>
      </w:rPr>
      <w:t xml:space="preserve"> |</w:t>
    </w:r>
    <w:r w:rsidRPr="00CD02CB">
      <w:rPr>
        <w:rFonts w:asciiTheme="minorBidi" w:hAnsiTheme="minorBidi"/>
        <w:spacing w:val="-4"/>
        <w:sz w:val="19"/>
        <w:szCs w:val="19"/>
        <w:lang w:bidi="ar-JO"/>
      </w:rPr>
      <w:t xml:space="preserve">(ACRI) </w:t>
    </w:r>
    <w:r w:rsidRPr="00CD02CB">
      <w:rPr>
        <w:rFonts w:asciiTheme="minorBidi" w:hAnsiTheme="minorBidi"/>
        <w:spacing w:val="-4"/>
        <w:sz w:val="19"/>
        <w:szCs w:val="19"/>
        <w:rtl/>
      </w:rPr>
      <w:t xml:space="preserve"> </w:t>
    </w:r>
    <w:r w:rsidRPr="00CD02CB">
      <w:rPr>
        <w:rFonts w:asciiTheme="minorBidi" w:hAnsiTheme="minorBidi"/>
        <w:spacing w:val="-4"/>
        <w:sz w:val="19"/>
        <w:szCs w:val="19"/>
      </w:rPr>
      <w:t>The Association for Civil Rights in Israel</w:t>
    </w:r>
  </w:p>
  <w:p w:rsidR="00D41512" w:rsidRPr="00CD02CB" w:rsidRDefault="00D41512" w:rsidP="00D41512">
    <w:pPr>
      <w:pStyle w:val="ad"/>
      <w:tabs>
        <w:tab w:val="left" w:pos="4789"/>
      </w:tabs>
      <w:ind w:left="-314" w:right="-426"/>
      <w:jc w:val="center"/>
      <w:rPr>
        <w:rFonts w:asciiTheme="minorBidi" w:hAnsiTheme="minorBidi"/>
        <w:sz w:val="19"/>
        <w:szCs w:val="19"/>
        <w:rtl/>
      </w:rPr>
    </w:pPr>
    <w:r w:rsidRPr="00CD02CB">
      <w:rPr>
        <w:rFonts w:asciiTheme="minorBidi" w:hAnsiTheme="minorBidi"/>
        <w:sz w:val="19"/>
        <w:szCs w:val="19"/>
        <w:rtl/>
      </w:rPr>
      <w:t xml:space="preserve">נחלת בנימין 75 תל אביב 6515417 | </w:t>
    </w:r>
    <w:r w:rsidRPr="00CD02CB">
      <w:rPr>
        <w:rFonts w:asciiTheme="minorBidi" w:hAnsiTheme="minorBidi"/>
        <w:sz w:val="19"/>
        <w:szCs w:val="19"/>
        <w:rtl/>
        <w:lang w:bidi="ar-SA"/>
      </w:rPr>
      <w:t xml:space="preserve">شارع </w:t>
    </w:r>
    <w:proofErr w:type="spellStart"/>
    <w:r w:rsidRPr="00CD02CB">
      <w:rPr>
        <w:rFonts w:asciiTheme="minorBidi" w:hAnsiTheme="minorBidi"/>
        <w:sz w:val="19"/>
        <w:szCs w:val="19"/>
        <w:rtl/>
        <w:lang w:bidi="ar-SA"/>
      </w:rPr>
      <w:t>نحلات</w:t>
    </w:r>
    <w:proofErr w:type="spellEnd"/>
    <w:r w:rsidRPr="00CD02CB">
      <w:rPr>
        <w:rFonts w:asciiTheme="minorBidi" w:hAnsiTheme="minorBidi"/>
        <w:sz w:val="19"/>
        <w:szCs w:val="19"/>
        <w:rtl/>
        <w:lang w:bidi="ar-SA"/>
      </w:rPr>
      <w:t xml:space="preserve"> </w:t>
    </w:r>
    <w:proofErr w:type="spellStart"/>
    <w:r w:rsidRPr="00CD02CB">
      <w:rPr>
        <w:rFonts w:asciiTheme="minorBidi" w:hAnsiTheme="minorBidi"/>
        <w:sz w:val="19"/>
        <w:szCs w:val="19"/>
        <w:rtl/>
        <w:lang w:bidi="ar-SA"/>
      </w:rPr>
      <w:t>بينيامين</w:t>
    </w:r>
    <w:proofErr w:type="spellEnd"/>
    <w:r w:rsidRPr="00CD02CB">
      <w:rPr>
        <w:rFonts w:asciiTheme="minorBidi" w:hAnsiTheme="minorBidi"/>
        <w:sz w:val="19"/>
        <w:szCs w:val="19"/>
        <w:rtl/>
        <w:lang w:bidi="ar-SA"/>
      </w:rPr>
      <w:t xml:space="preserve"> 75 تل ابيب 65154</w:t>
    </w:r>
    <w:r w:rsidRPr="00CD02CB">
      <w:rPr>
        <w:rFonts w:asciiTheme="minorBidi" w:hAnsiTheme="minorBidi"/>
        <w:sz w:val="19"/>
        <w:szCs w:val="19"/>
        <w:rtl/>
      </w:rPr>
      <w:t xml:space="preserve">17 | </w:t>
    </w:r>
    <w:r w:rsidRPr="00CD02CB">
      <w:rPr>
        <w:rFonts w:asciiTheme="minorBidi" w:hAnsiTheme="minorBidi"/>
        <w:sz w:val="19"/>
        <w:szCs w:val="19"/>
      </w:rPr>
      <w:t xml:space="preserve">75 </w:t>
    </w:r>
    <w:proofErr w:type="spellStart"/>
    <w:r w:rsidRPr="00CD02CB">
      <w:rPr>
        <w:rFonts w:asciiTheme="minorBidi" w:hAnsiTheme="minorBidi"/>
        <w:sz w:val="19"/>
        <w:szCs w:val="19"/>
      </w:rPr>
      <w:t>Nahalat</w:t>
    </w:r>
    <w:proofErr w:type="spellEnd"/>
    <w:r w:rsidRPr="00CD02CB">
      <w:rPr>
        <w:rFonts w:asciiTheme="minorBidi" w:hAnsiTheme="minorBidi"/>
        <w:sz w:val="19"/>
        <w:szCs w:val="19"/>
      </w:rPr>
      <w:t xml:space="preserve"> Binyamin St. Tel Aviv </w:t>
    </w:r>
    <w:r w:rsidRPr="00CD02CB">
      <w:rPr>
        <w:rFonts w:asciiTheme="minorBidi" w:hAnsiTheme="minorBidi"/>
        <w:sz w:val="19"/>
        <w:szCs w:val="19"/>
      </w:rPr>
      <w:br/>
    </w:r>
    <w:r w:rsidRPr="00CD02CB">
      <w:rPr>
        <w:rFonts w:asciiTheme="minorBidi" w:hAnsiTheme="minorBidi"/>
        <w:sz w:val="19"/>
        <w:szCs w:val="19"/>
        <w:rtl/>
      </w:rPr>
      <w:t xml:space="preserve">טלפון | </w:t>
    </w:r>
    <w:r w:rsidRPr="00CD02CB">
      <w:rPr>
        <w:rFonts w:asciiTheme="minorBidi" w:hAnsiTheme="minorBidi"/>
        <w:sz w:val="19"/>
        <w:szCs w:val="19"/>
        <w:rtl/>
        <w:lang w:bidi="ar-SA"/>
      </w:rPr>
      <w:t>هاتف</w:t>
    </w:r>
    <w:r w:rsidRPr="00CD02CB">
      <w:rPr>
        <w:rFonts w:asciiTheme="minorBidi" w:hAnsiTheme="minorBidi"/>
        <w:sz w:val="19"/>
        <w:szCs w:val="19"/>
        <w:rtl/>
      </w:rPr>
      <w:t xml:space="preserve">: 03-5608185 </w:t>
    </w:r>
    <w:r w:rsidRPr="00CD02CB">
      <w:rPr>
        <w:rFonts w:asciiTheme="minorBidi" w:hAnsiTheme="minorBidi"/>
        <w:sz w:val="19"/>
        <w:szCs w:val="19"/>
      </w:rPr>
      <w:t>Phone:</w:t>
    </w:r>
    <w:r w:rsidRPr="00CD02CB">
      <w:rPr>
        <w:rFonts w:asciiTheme="minorBidi" w:hAnsiTheme="minorBidi"/>
        <w:sz w:val="19"/>
        <w:szCs w:val="19"/>
        <w:rtl/>
      </w:rPr>
      <w:t xml:space="preserve">  פקס | </w:t>
    </w:r>
    <w:r w:rsidRPr="00CD02CB">
      <w:rPr>
        <w:rFonts w:asciiTheme="minorBidi" w:hAnsiTheme="minorBidi"/>
        <w:sz w:val="19"/>
        <w:szCs w:val="19"/>
        <w:rtl/>
        <w:lang w:bidi="ar-SA"/>
      </w:rPr>
      <w:t>فاكس</w:t>
    </w:r>
    <w:r w:rsidRPr="00CD02CB">
      <w:rPr>
        <w:rFonts w:asciiTheme="minorBidi" w:hAnsiTheme="minorBidi"/>
        <w:sz w:val="19"/>
        <w:szCs w:val="19"/>
        <w:rtl/>
      </w:rPr>
      <w:t>: 03-5608165</w:t>
    </w:r>
    <w:r w:rsidRPr="00CD02CB">
      <w:rPr>
        <w:rFonts w:asciiTheme="minorBidi" w:hAnsiTheme="minorBidi"/>
        <w:sz w:val="19"/>
        <w:szCs w:val="19"/>
      </w:rPr>
      <w:t xml:space="preserve"> Fax: </w:t>
    </w:r>
  </w:p>
  <w:p w:rsidR="00D41512" w:rsidRPr="00CD02CB" w:rsidRDefault="00D41512" w:rsidP="00D41512">
    <w:pPr>
      <w:pStyle w:val="ad"/>
      <w:bidi w:val="0"/>
      <w:jc w:val="center"/>
      <w:rPr>
        <w:rFonts w:asciiTheme="minorBidi" w:hAnsiTheme="minorBidi"/>
        <w:sz w:val="19"/>
        <w:szCs w:val="19"/>
        <w:rtl/>
      </w:rPr>
    </w:pPr>
    <w:r w:rsidRPr="00CD02CB">
      <w:rPr>
        <w:rFonts w:asciiTheme="minorBidi" w:hAnsiTheme="minorBidi"/>
        <w:sz w:val="19"/>
        <w:szCs w:val="19"/>
        <w:u w:val="single"/>
      </w:rPr>
      <w:t xml:space="preserve"> </w:t>
    </w:r>
    <w:hyperlink r:id="rId1" w:history="1">
      <w:r w:rsidRPr="00CD02CB">
        <w:rPr>
          <w:rStyle w:val="Hyperlink"/>
          <w:rFonts w:asciiTheme="minorBidi" w:hAnsiTheme="minorBidi"/>
          <w:sz w:val="19"/>
          <w:szCs w:val="19"/>
        </w:rPr>
        <w:t>www.acri.org.il</w:t>
      </w:r>
    </w:hyperlink>
    <w:r w:rsidRPr="00CD02CB">
      <w:rPr>
        <w:rFonts w:asciiTheme="minorBidi" w:hAnsiTheme="minorBidi"/>
        <w:sz w:val="19"/>
        <w:szCs w:val="19"/>
        <w:rtl/>
      </w:rPr>
      <w:t xml:space="preserve"> |  </w:t>
    </w:r>
    <w:r w:rsidRPr="00CD02CB">
      <w:rPr>
        <w:rFonts w:asciiTheme="minorBidi" w:hAnsiTheme="minorBidi"/>
        <w:sz w:val="19"/>
        <w:szCs w:val="19"/>
      </w:rPr>
      <w:t xml:space="preserve"> </w:t>
    </w:r>
    <w:hyperlink r:id="rId2" w:history="1">
      <w:r w:rsidRPr="00CD02CB">
        <w:rPr>
          <w:rStyle w:val="Hyperlink"/>
          <w:rFonts w:asciiTheme="minorBidi" w:hAnsiTheme="minorBidi"/>
          <w:sz w:val="19"/>
          <w:szCs w:val="19"/>
        </w:rPr>
        <w:t>mail@acri.org.il</w:t>
      </w:r>
    </w:hyperlink>
  </w:p>
  <w:p w:rsidR="00D41512" w:rsidRDefault="00D4151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512" w:rsidRDefault="00D41512" w:rsidP="00D41512">
      <w:pPr>
        <w:spacing w:after="0" w:line="240" w:lineRule="auto"/>
      </w:pPr>
      <w:r>
        <w:separator/>
      </w:r>
    </w:p>
  </w:footnote>
  <w:footnote w:type="continuationSeparator" w:id="0">
    <w:p w:rsidR="00D41512" w:rsidRDefault="00D41512" w:rsidP="00D415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512" w:rsidRDefault="00D41512" w:rsidP="00D41512">
    <w:pPr>
      <w:pStyle w:val="ab"/>
      <w:jc w:val="center"/>
      <w:rPr>
        <w:rtl/>
      </w:rPr>
    </w:pPr>
    <w:r>
      <w:rPr>
        <w:rFonts w:hint="cs"/>
        <w:noProof/>
      </w:rPr>
      <w:drawing>
        <wp:inline distT="0" distB="0" distL="0" distR="0" wp14:anchorId="27AE7CF6" wp14:editId="6BFCB2DF">
          <wp:extent cx="4057650" cy="862427"/>
          <wp:effectExtent l="0" t="0" r="0" b="0"/>
          <wp:docPr id="2" name="Picture 2" title="לוגו האגודה לזכויות האזרח בישרא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25578" cy="876865"/>
                  </a:xfrm>
                  <a:prstGeom prst="rect">
                    <a:avLst/>
                  </a:prstGeom>
                  <a:noFill/>
                  <a:ln>
                    <a:noFill/>
                  </a:ln>
                </pic:spPr>
              </pic:pic>
            </a:graphicData>
          </a:graphic>
        </wp:inline>
      </w:drawing>
    </w:r>
  </w:p>
  <w:p w:rsidR="00D41512" w:rsidRDefault="00D41512" w:rsidP="00D41512">
    <w:pPr>
      <w:pStyle w:val="ab"/>
      <w:jc w:val="cent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512" w:rsidRDefault="00D41512" w:rsidP="00D41512">
    <w:pPr>
      <w:pStyle w:val="ab"/>
      <w:jc w:val="center"/>
      <w:rPr>
        <w:rtl/>
      </w:rPr>
    </w:pPr>
    <w:r>
      <w:rPr>
        <w:rFonts w:hint="cs"/>
        <w:noProof/>
      </w:rPr>
      <w:drawing>
        <wp:inline distT="0" distB="0" distL="0" distR="0" wp14:anchorId="3D5E45C1" wp14:editId="64A6CEEF">
          <wp:extent cx="4057650" cy="862427"/>
          <wp:effectExtent l="0" t="0" r="0" b="0"/>
          <wp:docPr id="1" name="Picture 1" title="לוגו האגודה לזכויות האזרח בישרא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25578" cy="876865"/>
                  </a:xfrm>
                  <a:prstGeom prst="rect">
                    <a:avLst/>
                  </a:prstGeom>
                  <a:noFill/>
                  <a:ln>
                    <a:noFill/>
                  </a:ln>
                </pic:spPr>
              </pic:pic>
            </a:graphicData>
          </a:graphic>
        </wp:inline>
      </w:drawing>
    </w:r>
  </w:p>
  <w:p w:rsidR="00D41512" w:rsidRDefault="00D41512" w:rsidP="00D41512">
    <w:pPr>
      <w:pStyle w:val="ab"/>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610FA5"/>
    <w:multiLevelType w:val="hybridMultilevel"/>
    <w:tmpl w:val="10A042AE"/>
    <w:lvl w:ilvl="0" w:tplc="7D9A2500">
      <w:start w:val="1"/>
      <w:numFmt w:val="decimal"/>
      <w:lvlText w:val="%1."/>
      <w:lvlJc w:val="left"/>
      <w:pPr>
        <w:ind w:left="720" w:hanging="360"/>
      </w:pPr>
      <w:rPr>
        <w:rFonts w:ascii="David" w:hAnsi="David" w:cs="David"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6B77CB"/>
    <w:multiLevelType w:val="multilevel"/>
    <w:tmpl w:val="3DB2326E"/>
    <w:lvl w:ilvl="0">
      <w:start w:val="1"/>
      <w:numFmt w:val="decimal"/>
      <w:pStyle w:val="1"/>
      <w:lvlText w:val="%1."/>
      <w:lvlJc w:val="right"/>
      <w:pPr>
        <w:tabs>
          <w:tab w:val="num" w:pos="340"/>
        </w:tabs>
        <w:ind w:left="357" w:hanging="244"/>
      </w:pPr>
      <w:rPr>
        <w:rFonts w:ascii="David" w:hAnsi="David" w:cs="David" w:hint="default"/>
      </w:rPr>
    </w:lvl>
    <w:lvl w:ilvl="1">
      <w:start w:val="1"/>
      <w:numFmt w:val="decimal"/>
      <w:lvlText w:val="%1.%2."/>
      <w:lvlJc w:val="left"/>
      <w:pPr>
        <w:tabs>
          <w:tab w:val="num" w:pos="907"/>
        </w:tabs>
        <w:ind w:left="851" w:hanging="511"/>
      </w:pPr>
      <w:rPr>
        <w:rFonts w:cs="Times New Roman" w:hint="default"/>
      </w:rPr>
    </w:lvl>
    <w:lvl w:ilvl="2">
      <w:start w:val="1"/>
      <w:numFmt w:val="decimal"/>
      <w:lvlText w:val="%1.%2.%3."/>
      <w:lvlJc w:val="left"/>
      <w:pPr>
        <w:tabs>
          <w:tab w:val="num" w:pos="1440"/>
        </w:tabs>
        <w:ind w:left="1296" w:hanging="576"/>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6F0E3022"/>
    <w:multiLevelType w:val="hybridMultilevel"/>
    <w:tmpl w:val="19066616"/>
    <w:lvl w:ilvl="0" w:tplc="AF9C9EE0">
      <w:start w:val="1"/>
      <w:numFmt w:val="hebrew1"/>
      <w:lvlText w:val="%1."/>
      <w:lvlJc w:val="left"/>
      <w:pPr>
        <w:ind w:left="1080" w:hanging="360"/>
      </w:pPr>
      <w:rPr>
        <w:rFonts w:hint="default"/>
        <w:sz w:val="26"/>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4F"/>
    <w:rsid w:val="0000642E"/>
    <w:rsid w:val="00011131"/>
    <w:rsid w:val="00094AF4"/>
    <w:rsid w:val="0013706D"/>
    <w:rsid w:val="001468D8"/>
    <w:rsid w:val="001E1D08"/>
    <w:rsid w:val="00206054"/>
    <w:rsid w:val="002A628D"/>
    <w:rsid w:val="002B029C"/>
    <w:rsid w:val="0034668A"/>
    <w:rsid w:val="0039656A"/>
    <w:rsid w:val="003E150C"/>
    <w:rsid w:val="00455926"/>
    <w:rsid w:val="00483CBB"/>
    <w:rsid w:val="005103DB"/>
    <w:rsid w:val="0053482F"/>
    <w:rsid w:val="005429BA"/>
    <w:rsid w:val="005A4830"/>
    <w:rsid w:val="005D27F0"/>
    <w:rsid w:val="006244EA"/>
    <w:rsid w:val="0065200E"/>
    <w:rsid w:val="006E7470"/>
    <w:rsid w:val="00710072"/>
    <w:rsid w:val="007D20C4"/>
    <w:rsid w:val="00814E0B"/>
    <w:rsid w:val="00954790"/>
    <w:rsid w:val="009C286D"/>
    <w:rsid w:val="009E6F92"/>
    <w:rsid w:val="009E76E4"/>
    <w:rsid w:val="00A86A71"/>
    <w:rsid w:val="00AD6FBF"/>
    <w:rsid w:val="00B44B75"/>
    <w:rsid w:val="00BC1C23"/>
    <w:rsid w:val="00C21DF3"/>
    <w:rsid w:val="00C45085"/>
    <w:rsid w:val="00C62A40"/>
    <w:rsid w:val="00C6374F"/>
    <w:rsid w:val="00C9168A"/>
    <w:rsid w:val="00D41512"/>
    <w:rsid w:val="00D76E6D"/>
    <w:rsid w:val="00DA28F3"/>
    <w:rsid w:val="00DC10B6"/>
    <w:rsid w:val="00E01D21"/>
    <w:rsid w:val="00F96F38"/>
    <w:rsid w:val="00FD5F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0EBFB88-D5F4-4846-A05A-EA258597F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AF4"/>
    <w:pPr>
      <w:bidi/>
    </w:pPr>
  </w:style>
  <w:style w:type="paragraph" w:styleId="2">
    <w:name w:val="heading 2"/>
    <w:basedOn w:val="a"/>
    <w:next w:val="a"/>
    <w:link w:val="20"/>
    <w:uiPriority w:val="99"/>
    <w:qFormat/>
    <w:rsid w:val="00D41512"/>
    <w:pPr>
      <w:keepNext/>
      <w:keepLines/>
      <w:spacing w:before="200" w:after="0" w:line="360" w:lineRule="auto"/>
      <w:outlineLvl w:val="1"/>
    </w:pPr>
    <w:rPr>
      <w:rFonts w:ascii="Cambria" w:eastAsia="Times New Roman" w:hAnsi="Cambria" w:cs="Arial"/>
      <w:b/>
      <w:bCs/>
      <w:sz w:val="25"/>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5429B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sber">
    <w:name w:val="Hesber"/>
    <w:basedOn w:val="a"/>
    <w:rsid w:val="00FD5F96"/>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styleId="a3">
    <w:name w:val="List Paragraph"/>
    <w:basedOn w:val="a"/>
    <w:uiPriority w:val="34"/>
    <w:qFormat/>
    <w:rsid w:val="005103DB"/>
    <w:pPr>
      <w:ind w:left="720"/>
      <w:contextualSpacing/>
    </w:pPr>
  </w:style>
  <w:style w:type="character" w:styleId="a4">
    <w:name w:val="annotation reference"/>
    <w:basedOn w:val="a0"/>
    <w:uiPriority w:val="99"/>
    <w:semiHidden/>
    <w:unhideWhenUsed/>
    <w:rsid w:val="00DA28F3"/>
    <w:rPr>
      <w:sz w:val="16"/>
      <w:szCs w:val="16"/>
    </w:rPr>
  </w:style>
  <w:style w:type="paragraph" w:styleId="a5">
    <w:name w:val="annotation text"/>
    <w:basedOn w:val="a"/>
    <w:link w:val="a6"/>
    <w:uiPriority w:val="99"/>
    <w:semiHidden/>
    <w:unhideWhenUsed/>
    <w:rsid w:val="00DA28F3"/>
    <w:pPr>
      <w:spacing w:line="240" w:lineRule="auto"/>
    </w:pPr>
    <w:rPr>
      <w:sz w:val="20"/>
      <w:szCs w:val="20"/>
    </w:rPr>
  </w:style>
  <w:style w:type="character" w:customStyle="1" w:styleId="a6">
    <w:name w:val="טקסט הערה תו"/>
    <w:basedOn w:val="a0"/>
    <w:link w:val="a5"/>
    <w:uiPriority w:val="99"/>
    <w:semiHidden/>
    <w:rsid w:val="00DA28F3"/>
    <w:rPr>
      <w:sz w:val="20"/>
      <w:szCs w:val="20"/>
    </w:rPr>
  </w:style>
  <w:style w:type="paragraph" w:styleId="a7">
    <w:name w:val="annotation subject"/>
    <w:basedOn w:val="a5"/>
    <w:next w:val="a5"/>
    <w:link w:val="a8"/>
    <w:uiPriority w:val="99"/>
    <w:semiHidden/>
    <w:unhideWhenUsed/>
    <w:rsid w:val="00DA28F3"/>
    <w:rPr>
      <w:b/>
      <w:bCs/>
    </w:rPr>
  </w:style>
  <w:style w:type="character" w:customStyle="1" w:styleId="a8">
    <w:name w:val="נושא הערה תו"/>
    <w:basedOn w:val="a6"/>
    <w:link w:val="a7"/>
    <w:uiPriority w:val="99"/>
    <w:semiHidden/>
    <w:rsid w:val="00DA28F3"/>
    <w:rPr>
      <w:b/>
      <w:bCs/>
      <w:sz w:val="20"/>
      <w:szCs w:val="20"/>
    </w:rPr>
  </w:style>
  <w:style w:type="paragraph" w:styleId="a9">
    <w:name w:val="Balloon Text"/>
    <w:basedOn w:val="a"/>
    <w:link w:val="aa"/>
    <w:uiPriority w:val="99"/>
    <w:semiHidden/>
    <w:unhideWhenUsed/>
    <w:rsid w:val="00DA28F3"/>
    <w:pPr>
      <w:spacing w:after="0" w:line="240" w:lineRule="auto"/>
    </w:pPr>
    <w:rPr>
      <w:rFonts w:ascii="Tahoma" w:hAnsi="Tahoma" w:cs="Tahoma"/>
      <w:sz w:val="18"/>
      <w:szCs w:val="18"/>
    </w:rPr>
  </w:style>
  <w:style w:type="character" w:customStyle="1" w:styleId="aa">
    <w:name w:val="טקסט בלונים תו"/>
    <w:basedOn w:val="a0"/>
    <w:link w:val="a9"/>
    <w:uiPriority w:val="99"/>
    <w:semiHidden/>
    <w:rsid w:val="00DA28F3"/>
    <w:rPr>
      <w:rFonts w:ascii="Tahoma" w:hAnsi="Tahoma" w:cs="Tahoma"/>
      <w:sz w:val="18"/>
      <w:szCs w:val="18"/>
    </w:rPr>
  </w:style>
  <w:style w:type="paragraph" w:styleId="ab">
    <w:name w:val="header"/>
    <w:basedOn w:val="a"/>
    <w:link w:val="ac"/>
    <w:uiPriority w:val="99"/>
    <w:unhideWhenUsed/>
    <w:rsid w:val="00D41512"/>
    <w:pPr>
      <w:tabs>
        <w:tab w:val="center" w:pos="4153"/>
        <w:tab w:val="right" w:pos="8306"/>
      </w:tabs>
      <w:spacing w:after="0" w:line="240" w:lineRule="auto"/>
    </w:pPr>
  </w:style>
  <w:style w:type="character" w:customStyle="1" w:styleId="ac">
    <w:name w:val="כותרת עליונה תו"/>
    <w:basedOn w:val="a0"/>
    <w:link w:val="ab"/>
    <w:uiPriority w:val="99"/>
    <w:rsid w:val="00D41512"/>
  </w:style>
  <w:style w:type="paragraph" w:styleId="ad">
    <w:name w:val="footer"/>
    <w:basedOn w:val="a"/>
    <w:link w:val="ae"/>
    <w:uiPriority w:val="99"/>
    <w:unhideWhenUsed/>
    <w:rsid w:val="00D41512"/>
    <w:pPr>
      <w:tabs>
        <w:tab w:val="center" w:pos="4153"/>
        <w:tab w:val="right" w:pos="8306"/>
      </w:tabs>
      <w:spacing w:after="0" w:line="240" w:lineRule="auto"/>
    </w:pPr>
  </w:style>
  <w:style w:type="character" w:customStyle="1" w:styleId="ae">
    <w:name w:val="כותרת תחתונה תו"/>
    <w:basedOn w:val="a0"/>
    <w:link w:val="ad"/>
    <w:uiPriority w:val="99"/>
    <w:rsid w:val="00D41512"/>
  </w:style>
  <w:style w:type="character" w:customStyle="1" w:styleId="20">
    <w:name w:val="כותרת 2 תו"/>
    <w:basedOn w:val="a0"/>
    <w:link w:val="2"/>
    <w:uiPriority w:val="99"/>
    <w:rsid w:val="00D41512"/>
    <w:rPr>
      <w:rFonts w:ascii="Cambria" w:eastAsia="Times New Roman" w:hAnsi="Cambria" w:cs="Arial"/>
      <w:b/>
      <w:bCs/>
      <w:sz w:val="25"/>
      <w:szCs w:val="25"/>
    </w:rPr>
  </w:style>
  <w:style w:type="paragraph" w:customStyle="1" w:styleId="1">
    <w:name w:val="ממוספר מדורג 1"/>
    <w:basedOn w:val="a"/>
    <w:link w:val="10"/>
    <w:uiPriority w:val="99"/>
    <w:rsid w:val="00D41512"/>
    <w:pPr>
      <w:numPr>
        <w:numId w:val="3"/>
      </w:numPr>
      <w:spacing w:before="120" w:after="120" w:line="348" w:lineRule="auto"/>
      <w:jc w:val="both"/>
    </w:pPr>
    <w:rPr>
      <w:rFonts w:ascii="Calibri" w:eastAsia="Times New Roman" w:hAnsi="Calibri" w:cs="Arial"/>
      <w:lang w:eastAsia="he-IL"/>
    </w:rPr>
  </w:style>
  <w:style w:type="character" w:customStyle="1" w:styleId="10">
    <w:name w:val="ממוספר מדורג 1 תו"/>
    <w:basedOn w:val="a0"/>
    <w:link w:val="1"/>
    <w:uiPriority w:val="99"/>
    <w:locked/>
    <w:rsid w:val="00D41512"/>
    <w:rPr>
      <w:rFonts w:ascii="Calibri" w:eastAsia="Times New Roman" w:hAnsi="Calibri" w:cs="Arial"/>
      <w:lang w:eastAsia="he-IL"/>
    </w:rPr>
  </w:style>
  <w:style w:type="character" w:styleId="Hyperlink">
    <w:name w:val="Hyperlink"/>
    <w:basedOn w:val="a0"/>
    <w:uiPriority w:val="99"/>
    <w:qFormat/>
    <w:rsid w:val="00D41512"/>
    <w:rPr>
      <w:rFonts w:cs="David"/>
      <w:bCs w:val="0"/>
      <w:iCs w:val="0"/>
      <w:color w:val="0000FF"/>
      <w:sz w:val="2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247318">
      <w:bodyDiv w:val="1"/>
      <w:marLeft w:val="0"/>
      <w:marRight w:val="0"/>
      <w:marTop w:val="0"/>
      <w:marBottom w:val="0"/>
      <w:divBdr>
        <w:top w:val="none" w:sz="0" w:space="0" w:color="auto"/>
        <w:left w:val="none" w:sz="0" w:space="0" w:color="auto"/>
        <w:bottom w:val="none" w:sz="0" w:space="0" w:color="auto"/>
        <w:right w:val="none" w:sz="0" w:space="0" w:color="auto"/>
      </w:divBdr>
    </w:div>
    <w:div w:id="18403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mailto:mail@acri.org.il" TargetMode="External"/><Relationship Id="rId1" Type="http://schemas.openxmlformats.org/officeDocument/2006/relationships/hyperlink" Target="http://www.acri.org.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D096DD-3529-4812-9B25-3ECA3568C0EC}">
  <ds:schemaRefs>
    <ds:schemaRef ds:uri="http://schemas.openxmlformats.org/officeDocument/2006/bibliography"/>
  </ds:schemaRefs>
</ds:datastoreItem>
</file>

<file path=customXml/itemProps2.xml><?xml version="1.0" encoding="utf-8"?>
<ds:datastoreItem xmlns:ds="http://schemas.openxmlformats.org/officeDocument/2006/customXml" ds:itemID="{57277352-CCF0-4D42-919A-E4DC8C067902}"/>
</file>

<file path=customXml/itemProps3.xml><?xml version="1.0" encoding="utf-8"?>
<ds:datastoreItem xmlns:ds="http://schemas.openxmlformats.org/officeDocument/2006/customXml" ds:itemID="{A26A0C8B-790D-4EF7-A0D1-8755A27DE2F2}"/>
</file>

<file path=customXml/itemProps4.xml><?xml version="1.0" encoding="utf-8"?>
<ds:datastoreItem xmlns:ds="http://schemas.openxmlformats.org/officeDocument/2006/customXml" ds:itemID="{C19231A2-2E36-4497-8812-73D28E1CA49E}"/>
</file>

<file path=docProps/app.xml><?xml version="1.0" encoding="utf-8"?>
<Properties xmlns="http://schemas.openxmlformats.org/officeDocument/2006/extended-properties" xmlns:vt="http://schemas.openxmlformats.org/officeDocument/2006/docPropsVTypes">
  <Template>Normal</Template>
  <TotalTime>0</TotalTime>
  <Pages>3</Pages>
  <Words>1012</Words>
  <Characters>5064</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Ronit Sela</dc:creator>
  <cp:lastModifiedBy>Debbie Gild-Hayo</cp:lastModifiedBy>
  <cp:revision>2</cp:revision>
  <dcterms:created xsi:type="dcterms:W3CDTF">2018-01-02T09:23:00Z</dcterms:created>
  <dcterms:modified xsi:type="dcterms:W3CDTF">2018-01-02T09:23:00Z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2024229</vt:r8>
  </property>
</Properties>
</file>