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7651B" w:rsidRDefault="00C7651B" w:rsidP="00C7651B">
      <w:pPr>
        <w:pStyle w:val="HeadHatzaotHok"/>
        <w:keepNext w:val="0"/>
        <w:keepLines w:val="0"/>
        <w:spacing w:line="240" w:lineRule="auto"/>
        <w:rPr>
          <w:rtl/>
        </w:rPr>
      </w:pPr>
      <w:bookmarkStart w:id="0" w:name="_GoBack"/>
      <w:bookmarkEnd w:id="0"/>
      <w:r>
        <w:rPr>
          <w:rFonts w:hint="cs"/>
          <w:rtl/>
        </w:rPr>
        <w:t xml:space="preserve">נוסח לדיון ביום 2.1.18 </w:t>
      </w:r>
    </w:p>
    <w:p w:rsidR="00C7651B" w:rsidRDefault="00C7651B" w:rsidP="00C7651B">
      <w:pPr>
        <w:pStyle w:val="HeadHatzaotHok"/>
        <w:keepNext w:val="0"/>
        <w:keepLines w:val="0"/>
        <w:spacing w:line="240" w:lineRule="auto"/>
        <w:rPr>
          <w:rtl/>
        </w:rPr>
      </w:pPr>
      <w:r>
        <w:rPr>
          <w:rFonts w:hint="cs"/>
          <w:rtl/>
        </w:rPr>
        <w:t xml:space="preserve">בוועדה המשותפת לוועדת הכלכלה ולוועדת הכנסת לדיון בהצעת חוק התקשורת (בזק ושידורים) (תיקון </w:t>
      </w:r>
      <w:r>
        <w:rPr>
          <w:rtl/>
        </w:rPr>
        <w:t>–</w:t>
      </w:r>
      <w:r>
        <w:rPr>
          <w:rFonts w:hint="cs"/>
          <w:rtl/>
        </w:rPr>
        <w:t xml:space="preserve"> </w:t>
      </w:r>
      <w:proofErr w:type="spellStart"/>
      <w:r>
        <w:rPr>
          <w:rFonts w:hint="cs"/>
          <w:rtl/>
        </w:rPr>
        <w:t>אסדרת</w:t>
      </w:r>
      <w:proofErr w:type="spellEnd"/>
      <w:r>
        <w:rPr>
          <w:rFonts w:hint="cs"/>
          <w:rtl/>
        </w:rPr>
        <w:t xml:space="preserve"> הערוצים הייעודיים)</w:t>
      </w:r>
    </w:p>
    <w:p w:rsidR="00C7651B" w:rsidRDefault="00C7651B" w:rsidP="00C7651B">
      <w:pPr>
        <w:pStyle w:val="HeadHatzaotHok"/>
        <w:keepNext w:val="0"/>
        <w:keepLines w:val="0"/>
        <w:spacing w:line="240" w:lineRule="auto"/>
        <w:rPr>
          <w:rtl/>
        </w:rPr>
      </w:pPr>
    </w:p>
    <w:p w:rsidR="006A4A63" w:rsidRPr="00C7651B" w:rsidRDefault="006A4A63" w:rsidP="006A4A63">
      <w:pPr>
        <w:pStyle w:val="HeadHatzaotHok"/>
        <w:keepNext w:val="0"/>
        <w:keepLines w:val="0"/>
        <w:rPr>
          <w:sz w:val="28"/>
          <w:szCs w:val="28"/>
          <w:rtl/>
        </w:rPr>
      </w:pPr>
      <w:r w:rsidRPr="00C7651B">
        <w:rPr>
          <w:sz w:val="28"/>
          <w:szCs w:val="28"/>
          <w:rtl/>
        </w:rPr>
        <w:t>הצעת חו</w:t>
      </w:r>
      <w:r w:rsidRPr="00C7651B">
        <w:rPr>
          <w:rFonts w:hint="cs"/>
          <w:sz w:val="28"/>
          <w:szCs w:val="28"/>
          <w:rtl/>
        </w:rPr>
        <w:t xml:space="preserve">ק הרשות </w:t>
      </w:r>
      <w:proofErr w:type="spellStart"/>
      <w:r w:rsidRPr="00C7651B">
        <w:rPr>
          <w:rFonts w:hint="cs"/>
          <w:sz w:val="28"/>
          <w:szCs w:val="28"/>
          <w:rtl/>
        </w:rPr>
        <w:t>השניה</w:t>
      </w:r>
      <w:proofErr w:type="spellEnd"/>
      <w:r w:rsidRPr="00C7651B">
        <w:rPr>
          <w:rFonts w:hint="cs"/>
          <w:sz w:val="28"/>
          <w:szCs w:val="28"/>
          <w:rtl/>
        </w:rPr>
        <w:t xml:space="preserve"> לטלוויזיה ורדיו (תיקון מס' ...) , התשע"ז-2017</w:t>
      </w:r>
    </w:p>
    <w:tbl>
      <w:tblPr>
        <w:bidiVisual/>
        <w:tblW w:w="9661" w:type="dxa"/>
        <w:tblLayout w:type="fixed"/>
        <w:tblCellMar>
          <w:top w:w="57" w:type="dxa"/>
          <w:left w:w="0" w:type="dxa"/>
          <w:bottom w:w="57" w:type="dxa"/>
          <w:right w:w="0" w:type="dxa"/>
        </w:tblCellMar>
        <w:tblLook w:val="01E0" w:firstRow="1" w:lastRow="1" w:firstColumn="1" w:lastColumn="1" w:noHBand="0" w:noVBand="0"/>
      </w:tblPr>
      <w:tblGrid>
        <w:gridCol w:w="1891"/>
        <w:gridCol w:w="624"/>
        <w:gridCol w:w="624"/>
        <w:gridCol w:w="624"/>
        <w:gridCol w:w="624"/>
        <w:gridCol w:w="624"/>
        <w:gridCol w:w="4650"/>
      </w:tblGrid>
      <w:tr w:rsidR="006A4A63" w:rsidTr="00CB6874">
        <w:trPr>
          <w:cantSplit/>
          <w:trHeight w:val="60"/>
        </w:trPr>
        <w:tc>
          <w:tcPr>
            <w:tcW w:w="1891" w:type="dxa"/>
          </w:tcPr>
          <w:p w:rsidR="006A4A63" w:rsidRDefault="006A4A63" w:rsidP="00CB6874">
            <w:pPr>
              <w:pStyle w:val="TableSideHeading"/>
              <w:keepLines w:val="0"/>
            </w:pPr>
          </w:p>
        </w:tc>
        <w:tc>
          <w:tcPr>
            <w:tcW w:w="624" w:type="dxa"/>
          </w:tcPr>
          <w:p w:rsidR="006A4A63" w:rsidRDefault="006A4A63" w:rsidP="00CB6874">
            <w:pPr>
              <w:pStyle w:val="TableText"/>
              <w:keepLines w:val="0"/>
            </w:pPr>
          </w:p>
        </w:tc>
        <w:tc>
          <w:tcPr>
            <w:tcW w:w="7146" w:type="dxa"/>
            <w:gridSpan w:val="5"/>
          </w:tcPr>
          <w:p w:rsidR="006A4A63" w:rsidRPr="00892FFA" w:rsidRDefault="006A4A63" w:rsidP="00CB6874">
            <w:pPr>
              <w:pStyle w:val="TableHead"/>
            </w:pPr>
            <w:r>
              <w:rPr>
                <w:rFonts w:hint="cs"/>
                <w:rtl/>
              </w:rPr>
              <w:t xml:space="preserve">פרק א': תיקון חוק הרשות </w:t>
            </w:r>
            <w:proofErr w:type="spellStart"/>
            <w:r>
              <w:rPr>
                <w:rFonts w:hint="cs"/>
                <w:rtl/>
              </w:rPr>
              <w:t>השניה</w:t>
            </w:r>
            <w:proofErr w:type="spellEnd"/>
            <w:r>
              <w:rPr>
                <w:rFonts w:hint="cs"/>
                <w:rtl/>
              </w:rPr>
              <w:t xml:space="preserve"> לטלוויזיה ורדיו</w:t>
            </w:r>
          </w:p>
        </w:tc>
      </w:tr>
      <w:tr w:rsidR="006A4A63" w:rsidTr="00CB6874">
        <w:trPr>
          <w:cantSplit/>
          <w:trHeight w:val="60"/>
        </w:trPr>
        <w:tc>
          <w:tcPr>
            <w:tcW w:w="1891" w:type="dxa"/>
          </w:tcPr>
          <w:p w:rsidR="006A4A63" w:rsidRDefault="006A4A63" w:rsidP="00CB6874">
            <w:pPr>
              <w:pStyle w:val="TableSideHeading"/>
              <w:keepLines w:val="0"/>
            </w:pPr>
            <w:r>
              <w:rPr>
                <w:rFonts w:hint="cs"/>
                <w:rtl/>
              </w:rPr>
              <w:t>ביטול סעיף 62ג</w:t>
            </w:r>
          </w:p>
        </w:tc>
        <w:tc>
          <w:tcPr>
            <w:tcW w:w="624" w:type="dxa"/>
          </w:tcPr>
          <w:p w:rsidR="006A4A63" w:rsidRDefault="006A4A63" w:rsidP="006A4A63">
            <w:pPr>
              <w:pStyle w:val="TableText"/>
              <w:keepLines w:val="0"/>
              <w:numPr>
                <w:ilvl w:val="0"/>
                <w:numId w:val="1"/>
              </w:numPr>
            </w:pPr>
          </w:p>
        </w:tc>
        <w:tc>
          <w:tcPr>
            <w:tcW w:w="7146" w:type="dxa"/>
            <w:gridSpan w:val="5"/>
          </w:tcPr>
          <w:p w:rsidR="006A4A63" w:rsidRPr="00C34DE2" w:rsidRDefault="006A4A63" w:rsidP="00CB6874">
            <w:pPr>
              <w:pStyle w:val="TableBlock"/>
            </w:pPr>
            <w:r>
              <w:rPr>
                <w:rFonts w:hint="cs"/>
                <w:rtl/>
              </w:rPr>
              <w:t xml:space="preserve">סעיף 62ג(א2) לחוק העיקרי </w:t>
            </w:r>
            <w:r>
              <w:rPr>
                <w:rtl/>
              </w:rPr>
              <w:t>–</w:t>
            </w:r>
            <w:r>
              <w:rPr>
                <w:rFonts w:hint="cs"/>
                <w:rtl/>
              </w:rPr>
              <w:t xml:space="preserve"> בטל;</w:t>
            </w:r>
          </w:p>
        </w:tc>
      </w:tr>
      <w:tr w:rsidR="006A4A63" w:rsidTr="00CB6874">
        <w:trPr>
          <w:cantSplit/>
          <w:trHeight w:val="60"/>
        </w:trPr>
        <w:tc>
          <w:tcPr>
            <w:tcW w:w="1891" w:type="dxa"/>
          </w:tcPr>
          <w:p w:rsidR="006A4A63" w:rsidRDefault="006A4A63" w:rsidP="00CB6874">
            <w:pPr>
              <w:pStyle w:val="TableSideHeading"/>
              <w:keepLines w:val="0"/>
            </w:pPr>
            <w:r>
              <w:rPr>
                <w:rFonts w:hint="cs"/>
                <w:rtl/>
              </w:rPr>
              <w:t>ביטול סעיף 63א(ה)</w:t>
            </w:r>
          </w:p>
        </w:tc>
        <w:tc>
          <w:tcPr>
            <w:tcW w:w="624" w:type="dxa"/>
          </w:tcPr>
          <w:p w:rsidR="006A4A63" w:rsidRDefault="006A4A63" w:rsidP="006A4A63">
            <w:pPr>
              <w:pStyle w:val="TableText"/>
              <w:keepLines w:val="0"/>
              <w:numPr>
                <w:ilvl w:val="0"/>
                <w:numId w:val="1"/>
              </w:numPr>
            </w:pPr>
          </w:p>
        </w:tc>
        <w:tc>
          <w:tcPr>
            <w:tcW w:w="7146" w:type="dxa"/>
            <w:gridSpan w:val="5"/>
          </w:tcPr>
          <w:p w:rsidR="006A4A63" w:rsidRPr="00C34DE2" w:rsidRDefault="006A4A63" w:rsidP="00CB6874">
            <w:pPr>
              <w:pStyle w:val="TableBlock"/>
            </w:pPr>
            <w:r>
              <w:rPr>
                <w:rFonts w:hint="cs"/>
                <w:rtl/>
              </w:rPr>
              <w:t xml:space="preserve">סעיף 63א(ה) לחוק העיקרי </w:t>
            </w:r>
            <w:r>
              <w:rPr>
                <w:rtl/>
              </w:rPr>
              <w:t>–</w:t>
            </w:r>
            <w:r>
              <w:rPr>
                <w:rFonts w:hint="cs"/>
                <w:rtl/>
              </w:rPr>
              <w:t xml:space="preserve"> בטל;</w:t>
            </w:r>
          </w:p>
        </w:tc>
      </w:tr>
      <w:tr w:rsidR="006A4A63" w:rsidTr="00CB6874">
        <w:trPr>
          <w:cantSplit/>
          <w:trHeight w:val="60"/>
        </w:trPr>
        <w:tc>
          <w:tcPr>
            <w:tcW w:w="1891" w:type="dxa"/>
          </w:tcPr>
          <w:p w:rsidR="006A4A63" w:rsidRDefault="006A4A63" w:rsidP="00CB6874">
            <w:pPr>
              <w:pStyle w:val="TableSideHeading"/>
              <w:keepLines w:val="0"/>
            </w:pPr>
            <w:r>
              <w:rPr>
                <w:rFonts w:hint="cs"/>
                <w:rtl/>
              </w:rPr>
              <w:t>הוספת סימן ח'</w:t>
            </w:r>
          </w:p>
        </w:tc>
        <w:tc>
          <w:tcPr>
            <w:tcW w:w="624" w:type="dxa"/>
          </w:tcPr>
          <w:p w:rsidR="006A4A63" w:rsidRDefault="006A4A63" w:rsidP="006A4A63">
            <w:pPr>
              <w:pStyle w:val="TableText"/>
              <w:keepLines w:val="0"/>
              <w:numPr>
                <w:ilvl w:val="0"/>
                <w:numId w:val="1"/>
              </w:numPr>
            </w:pPr>
          </w:p>
        </w:tc>
        <w:tc>
          <w:tcPr>
            <w:tcW w:w="7146" w:type="dxa"/>
            <w:gridSpan w:val="5"/>
          </w:tcPr>
          <w:p w:rsidR="006A4A63" w:rsidRPr="00C34DE2" w:rsidRDefault="006A4A63" w:rsidP="00CB6874">
            <w:pPr>
              <w:pStyle w:val="TableBlock"/>
              <w:keepLines w:val="0"/>
            </w:pPr>
            <w:r>
              <w:rPr>
                <w:rFonts w:hint="cs"/>
                <w:rtl/>
              </w:rPr>
              <w:t>אחרי סעיף 71ה יבוא:</w:t>
            </w:r>
          </w:p>
        </w:tc>
      </w:tr>
      <w:tr w:rsidR="006A4A63" w:rsidTr="00CB6874">
        <w:trPr>
          <w:cantSplit/>
          <w:trHeight w:val="60"/>
        </w:trPr>
        <w:tc>
          <w:tcPr>
            <w:tcW w:w="1891" w:type="dxa"/>
          </w:tcPr>
          <w:p w:rsidR="006A4A63" w:rsidRDefault="006A4A63" w:rsidP="00CB6874">
            <w:pPr>
              <w:pStyle w:val="TableSideHeading"/>
            </w:pPr>
          </w:p>
        </w:tc>
        <w:tc>
          <w:tcPr>
            <w:tcW w:w="624" w:type="dxa"/>
          </w:tcPr>
          <w:p w:rsidR="006A4A63" w:rsidRDefault="006A4A63" w:rsidP="00CB6874">
            <w:pPr>
              <w:pStyle w:val="TableText"/>
            </w:pPr>
          </w:p>
        </w:tc>
        <w:tc>
          <w:tcPr>
            <w:tcW w:w="7146" w:type="dxa"/>
            <w:gridSpan w:val="5"/>
          </w:tcPr>
          <w:p w:rsidR="006A4A63" w:rsidRPr="00C34DE2" w:rsidRDefault="006A4A63" w:rsidP="00CB6874">
            <w:pPr>
              <w:pStyle w:val="TableHead"/>
            </w:pPr>
            <w:r>
              <w:rPr>
                <w:rFonts w:hint="cs"/>
                <w:rtl/>
              </w:rPr>
              <w:t>"סימן ח': הוראות לעניין בעלי רישיונות לשידורי טלוויזיה</w:t>
            </w:r>
          </w:p>
        </w:tc>
      </w:tr>
      <w:tr w:rsidR="006A4A63" w:rsidTr="00CB6874">
        <w:trPr>
          <w:cantSplit/>
          <w:trHeight w:val="60"/>
        </w:trPr>
        <w:tc>
          <w:tcPr>
            <w:tcW w:w="1891" w:type="dxa"/>
          </w:tcPr>
          <w:p w:rsidR="006A4A63" w:rsidRDefault="006A4A63" w:rsidP="00CB6874">
            <w:pPr>
              <w:pStyle w:val="TableSideHeading"/>
              <w:keepLines w:val="0"/>
            </w:pPr>
          </w:p>
        </w:tc>
        <w:tc>
          <w:tcPr>
            <w:tcW w:w="624" w:type="dxa"/>
          </w:tcPr>
          <w:p w:rsidR="006A4A63" w:rsidRDefault="006A4A63" w:rsidP="00CB6874">
            <w:pPr>
              <w:pStyle w:val="TableText"/>
              <w:keepLines w:val="0"/>
            </w:pPr>
          </w:p>
        </w:tc>
        <w:tc>
          <w:tcPr>
            <w:tcW w:w="1872" w:type="dxa"/>
            <w:gridSpan w:val="3"/>
          </w:tcPr>
          <w:p w:rsidR="006A4A63" w:rsidRDefault="006A4A63" w:rsidP="00CB6874">
            <w:pPr>
              <w:pStyle w:val="TableInnerSideHeading"/>
            </w:pPr>
            <w:r>
              <w:rPr>
                <w:rFonts w:hint="cs"/>
                <w:rtl/>
              </w:rPr>
              <w:t>הגדרות</w:t>
            </w:r>
          </w:p>
        </w:tc>
        <w:tc>
          <w:tcPr>
            <w:tcW w:w="624" w:type="dxa"/>
          </w:tcPr>
          <w:p w:rsidR="006A4A63" w:rsidRDefault="006A4A63" w:rsidP="00CB6874">
            <w:pPr>
              <w:pStyle w:val="TableText"/>
            </w:pPr>
            <w:r>
              <w:rPr>
                <w:rFonts w:hint="cs"/>
                <w:rtl/>
              </w:rPr>
              <w:t>71ו.</w:t>
            </w:r>
          </w:p>
        </w:tc>
        <w:tc>
          <w:tcPr>
            <w:tcW w:w="4650" w:type="dxa"/>
          </w:tcPr>
          <w:p w:rsidR="006A4A63" w:rsidRDefault="006A4A63" w:rsidP="00CB6874">
            <w:pPr>
              <w:pStyle w:val="TableBlock"/>
            </w:pPr>
            <w:r>
              <w:rPr>
                <w:rFonts w:hint="cs"/>
                <w:rtl/>
              </w:rPr>
              <w:t xml:space="preserve">בסימן זה - </w:t>
            </w:r>
          </w:p>
        </w:tc>
      </w:tr>
      <w:tr w:rsidR="006A4A63" w:rsidTr="00CB6874">
        <w:trPr>
          <w:cantSplit/>
          <w:trHeight w:val="60"/>
        </w:trPr>
        <w:tc>
          <w:tcPr>
            <w:tcW w:w="1891" w:type="dxa"/>
          </w:tcPr>
          <w:p w:rsidR="006A4A63" w:rsidRDefault="006A4A63" w:rsidP="00CB6874">
            <w:pPr>
              <w:pStyle w:val="TableSideHeading"/>
            </w:pPr>
          </w:p>
        </w:tc>
        <w:tc>
          <w:tcPr>
            <w:tcW w:w="624" w:type="dxa"/>
          </w:tcPr>
          <w:p w:rsidR="006A4A63" w:rsidRDefault="006A4A63" w:rsidP="00CB6874">
            <w:pPr>
              <w:pStyle w:val="TableText"/>
            </w:pPr>
          </w:p>
        </w:tc>
        <w:tc>
          <w:tcPr>
            <w:tcW w:w="624" w:type="dxa"/>
          </w:tcPr>
          <w:p w:rsidR="006A4A63" w:rsidRDefault="006A4A63" w:rsidP="00CB6874">
            <w:pPr>
              <w:pStyle w:val="TableText"/>
            </w:pPr>
          </w:p>
        </w:tc>
        <w:tc>
          <w:tcPr>
            <w:tcW w:w="624" w:type="dxa"/>
          </w:tcPr>
          <w:p w:rsidR="006A4A63" w:rsidRDefault="006A4A63" w:rsidP="00CB6874">
            <w:pPr>
              <w:pStyle w:val="TableText"/>
            </w:pPr>
          </w:p>
        </w:tc>
        <w:tc>
          <w:tcPr>
            <w:tcW w:w="624" w:type="dxa"/>
          </w:tcPr>
          <w:p w:rsidR="006A4A63" w:rsidRDefault="006A4A63" w:rsidP="00CB6874">
            <w:pPr>
              <w:pStyle w:val="TableText"/>
            </w:pPr>
          </w:p>
        </w:tc>
        <w:tc>
          <w:tcPr>
            <w:tcW w:w="624" w:type="dxa"/>
          </w:tcPr>
          <w:p w:rsidR="006A4A63" w:rsidRDefault="006A4A63" w:rsidP="00CB6874">
            <w:pPr>
              <w:pStyle w:val="TableText"/>
            </w:pPr>
          </w:p>
        </w:tc>
        <w:tc>
          <w:tcPr>
            <w:tcW w:w="4650" w:type="dxa"/>
          </w:tcPr>
          <w:p w:rsidR="006A4A63" w:rsidRDefault="006A4A63" w:rsidP="00CB6874">
            <w:pPr>
              <w:pStyle w:val="TableBlock"/>
            </w:pPr>
            <w:r>
              <w:rPr>
                <w:rtl/>
              </w:rPr>
              <w:t>"</w:t>
            </w:r>
            <w:r>
              <w:rPr>
                <w:rFonts w:hint="cs"/>
                <w:rtl/>
              </w:rPr>
              <w:t xml:space="preserve">הכנסות משידורי פרסומת" </w:t>
            </w:r>
            <w:r>
              <w:rPr>
                <w:rtl/>
              </w:rPr>
              <w:t>–</w:t>
            </w:r>
            <w:r>
              <w:rPr>
                <w:rFonts w:hint="cs"/>
                <w:rtl/>
              </w:rPr>
              <w:t xml:space="preserve"> כל ההכנסות המתקבלות אצל בעל רישיון לשידורי טלוויזיה, בתמורה לשידור מסרים פרסומיים, ובכלל כך בדרך של תשדיר פרסומת, הודעת חסות, תשדיר לשירות הציבור וכל דרך אחרת.</w:t>
            </w:r>
          </w:p>
        </w:tc>
      </w:tr>
      <w:tr w:rsidR="006A4A63" w:rsidTr="00CB6874">
        <w:trPr>
          <w:cantSplit/>
          <w:trHeight w:val="60"/>
        </w:trPr>
        <w:tc>
          <w:tcPr>
            <w:tcW w:w="1891" w:type="dxa"/>
          </w:tcPr>
          <w:p w:rsidR="006A4A63" w:rsidRDefault="006A4A63" w:rsidP="00CB6874">
            <w:pPr>
              <w:pStyle w:val="TableSideHeading"/>
            </w:pPr>
          </w:p>
        </w:tc>
        <w:tc>
          <w:tcPr>
            <w:tcW w:w="624" w:type="dxa"/>
          </w:tcPr>
          <w:p w:rsidR="006A4A63" w:rsidRDefault="006A4A63" w:rsidP="00CB6874">
            <w:pPr>
              <w:pStyle w:val="TableText"/>
            </w:pPr>
          </w:p>
        </w:tc>
        <w:tc>
          <w:tcPr>
            <w:tcW w:w="624" w:type="dxa"/>
          </w:tcPr>
          <w:p w:rsidR="006A4A63" w:rsidRDefault="006A4A63" w:rsidP="00CB6874">
            <w:pPr>
              <w:pStyle w:val="TableText"/>
            </w:pPr>
          </w:p>
        </w:tc>
        <w:tc>
          <w:tcPr>
            <w:tcW w:w="624" w:type="dxa"/>
          </w:tcPr>
          <w:p w:rsidR="006A4A63" w:rsidRDefault="006A4A63" w:rsidP="00CB6874">
            <w:pPr>
              <w:pStyle w:val="TableText"/>
            </w:pPr>
          </w:p>
        </w:tc>
        <w:tc>
          <w:tcPr>
            <w:tcW w:w="624" w:type="dxa"/>
          </w:tcPr>
          <w:p w:rsidR="006A4A63" w:rsidRDefault="006A4A63" w:rsidP="00CB6874">
            <w:pPr>
              <w:pStyle w:val="TableText"/>
            </w:pPr>
          </w:p>
        </w:tc>
        <w:tc>
          <w:tcPr>
            <w:tcW w:w="624" w:type="dxa"/>
          </w:tcPr>
          <w:p w:rsidR="006A4A63" w:rsidRDefault="006A4A63" w:rsidP="00CB6874">
            <w:pPr>
              <w:pStyle w:val="TableText"/>
            </w:pPr>
          </w:p>
        </w:tc>
        <w:tc>
          <w:tcPr>
            <w:tcW w:w="4650" w:type="dxa"/>
          </w:tcPr>
          <w:p w:rsidR="006A4A63" w:rsidRDefault="006A4A63" w:rsidP="00CB6874">
            <w:pPr>
              <w:pStyle w:val="TableBlock"/>
            </w:pPr>
            <w:r>
              <w:rPr>
                <w:rtl/>
              </w:rPr>
              <w:t>"</w:t>
            </w:r>
            <w:r>
              <w:rPr>
                <w:rFonts w:hint="cs"/>
                <w:rtl/>
              </w:rPr>
              <w:t xml:space="preserve">חובות הוצאה לתפעול חברת חדשות" </w:t>
            </w:r>
            <w:r>
              <w:rPr>
                <w:rtl/>
              </w:rPr>
              <w:t>–</w:t>
            </w:r>
            <w:r>
              <w:rPr>
                <w:rFonts w:hint="cs"/>
                <w:rtl/>
              </w:rPr>
              <w:t xml:space="preserve"> חובת ההוצאה לצורך התפעול השוטף של חברת החדשות כמפורט בסעיף 3 לתוספת השנייה;</w:t>
            </w:r>
          </w:p>
        </w:tc>
      </w:tr>
      <w:tr w:rsidR="006A4A63" w:rsidTr="00CB6874">
        <w:trPr>
          <w:cantSplit/>
          <w:trHeight w:val="60"/>
        </w:trPr>
        <w:tc>
          <w:tcPr>
            <w:tcW w:w="1891" w:type="dxa"/>
          </w:tcPr>
          <w:p w:rsidR="006A4A63" w:rsidRDefault="006A4A63" w:rsidP="00CB6874">
            <w:pPr>
              <w:pStyle w:val="TableSideHeading"/>
            </w:pPr>
          </w:p>
        </w:tc>
        <w:tc>
          <w:tcPr>
            <w:tcW w:w="624" w:type="dxa"/>
          </w:tcPr>
          <w:p w:rsidR="006A4A63" w:rsidRDefault="006A4A63" w:rsidP="00CB6874">
            <w:pPr>
              <w:pStyle w:val="TableText"/>
            </w:pPr>
          </w:p>
        </w:tc>
        <w:tc>
          <w:tcPr>
            <w:tcW w:w="624" w:type="dxa"/>
          </w:tcPr>
          <w:p w:rsidR="006A4A63" w:rsidRDefault="006A4A63" w:rsidP="00CB6874">
            <w:pPr>
              <w:pStyle w:val="TableText"/>
            </w:pPr>
          </w:p>
        </w:tc>
        <w:tc>
          <w:tcPr>
            <w:tcW w:w="624" w:type="dxa"/>
          </w:tcPr>
          <w:p w:rsidR="006A4A63" w:rsidRDefault="006A4A63" w:rsidP="00CB6874">
            <w:pPr>
              <w:pStyle w:val="TableText"/>
            </w:pPr>
          </w:p>
        </w:tc>
        <w:tc>
          <w:tcPr>
            <w:tcW w:w="624" w:type="dxa"/>
          </w:tcPr>
          <w:p w:rsidR="006A4A63" w:rsidRDefault="006A4A63" w:rsidP="00CB6874">
            <w:pPr>
              <w:pStyle w:val="TableText"/>
            </w:pPr>
          </w:p>
        </w:tc>
        <w:tc>
          <w:tcPr>
            <w:tcW w:w="624" w:type="dxa"/>
          </w:tcPr>
          <w:p w:rsidR="006A4A63" w:rsidRDefault="006A4A63" w:rsidP="00CB6874">
            <w:pPr>
              <w:pStyle w:val="TableText"/>
            </w:pPr>
          </w:p>
        </w:tc>
        <w:tc>
          <w:tcPr>
            <w:tcW w:w="4650" w:type="dxa"/>
          </w:tcPr>
          <w:p w:rsidR="006A4A63" w:rsidRDefault="006A4A63" w:rsidP="00CB6874">
            <w:pPr>
              <w:pStyle w:val="TableBlock"/>
              <w:rPr>
                <w:rtl/>
              </w:rPr>
            </w:pPr>
            <w:r>
              <w:rPr>
                <w:rtl/>
              </w:rPr>
              <w:t>"</w:t>
            </w:r>
            <w:r>
              <w:rPr>
                <w:rFonts w:hint="cs"/>
                <w:rtl/>
              </w:rPr>
              <w:t xml:space="preserve">חובות סוגה עילית" </w:t>
            </w:r>
            <w:r>
              <w:rPr>
                <w:rtl/>
              </w:rPr>
              <w:t>–</w:t>
            </w:r>
            <w:r>
              <w:rPr>
                <w:rFonts w:hint="cs"/>
                <w:rtl/>
              </w:rPr>
              <w:t xml:space="preserve"> חובות ההוצאה לשם הפקת סוגה עילית כמפורט בסעיף 5 לתוספת השנייה;</w:t>
            </w:r>
          </w:p>
        </w:tc>
      </w:tr>
      <w:tr w:rsidR="006A4A63" w:rsidTr="00CB6874">
        <w:trPr>
          <w:cantSplit/>
          <w:trHeight w:val="60"/>
        </w:trPr>
        <w:tc>
          <w:tcPr>
            <w:tcW w:w="1891" w:type="dxa"/>
          </w:tcPr>
          <w:p w:rsidR="006A4A63" w:rsidRDefault="006A4A63" w:rsidP="00CB6874">
            <w:pPr>
              <w:pStyle w:val="TableSideHeading"/>
            </w:pPr>
          </w:p>
        </w:tc>
        <w:tc>
          <w:tcPr>
            <w:tcW w:w="624" w:type="dxa"/>
          </w:tcPr>
          <w:p w:rsidR="006A4A63" w:rsidRDefault="006A4A63" w:rsidP="00CB6874">
            <w:pPr>
              <w:pStyle w:val="TableText"/>
            </w:pPr>
          </w:p>
        </w:tc>
        <w:tc>
          <w:tcPr>
            <w:tcW w:w="624" w:type="dxa"/>
          </w:tcPr>
          <w:p w:rsidR="006A4A63" w:rsidRDefault="006A4A63" w:rsidP="00CB6874">
            <w:pPr>
              <w:pStyle w:val="TableText"/>
            </w:pPr>
          </w:p>
        </w:tc>
        <w:tc>
          <w:tcPr>
            <w:tcW w:w="624" w:type="dxa"/>
          </w:tcPr>
          <w:p w:rsidR="006A4A63" w:rsidRDefault="006A4A63" w:rsidP="00CB6874">
            <w:pPr>
              <w:pStyle w:val="TableText"/>
            </w:pPr>
          </w:p>
        </w:tc>
        <w:tc>
          <w:tcPr>
            <w:tcW w:w="624" w:type="dxa"/>
          </w:tcPr>
          <w:p w:rsidR="006A4A63" w:rsidRDefault="006A4A63" w:rsidP="00CB6874">
            <w:pPr>
              <w:pStyle w:val="TableText"/>
            </w:pPr>
          </w:p>
        </w:tc>
        <w:tc>
          <w:tcPr>
            <w:tcW w:w="624" w:type="dxa"/>
          </w:tcPr>
          <w:p w:rsidR="006A4A63" w:rsidRDefault="006A4A63" w:rsidP="00CB6874">
            <w:pPr>
              <w:pStyle w:val="TableText"/>
            </w:pPr>
          </w:p>
        </w:tc>
        <w:tc>
          <w:tcPr>
            <w:tcW w:w="4650" w:type="dxa"/>
          </w:tcPr>
          <w:p w:rsidR="006A4A63" w:rsidRDefault="006A4A63" w:rsidP="00CB6874">
            <w:pPr>
              <w:pStyle w:val="TableBlock"/>
              <w:rPr>
                <w:rtl/>
              </w:rPr>
            </w:pPr>
            <w:r>
              <w:rPr>
                <w:rtl/>
              </w:rPr>
              <w:t>"</w:t>
            </w:r>
            <w:r>
              <w:rPr>
                <w:rFonts w:hint="cs"/>
                <w:rtl/>
              </w:rPr>
              <w:t xml:space="preserve">חובות שידור הפקות מקומיות" </w:t>
            </w:r>
            <w:r>
              <w:rPr>
                <w:rtl/>
              </w:rPr>
              <w:t>–</w:t>
            </w:r>
            <w:r>
              <w:rPr>
                <w:rFonts w:hint="cs"/>
                <w:rtl/>
              </w:rPr>
              <w:t xml:space="preserve"> החובות לפי סעיפים 59 ו-60;</w:t>
            </w:r>
          </w:p>
        </w:tc>
      </w:tr>
      <w:tr w:rsidR="006A4A63" w:rsidTr="00CB6874">
        <w:trPr>
          <w:cantSplit/>
          <w:trHeight w:val="60"/>
        </w:trPr>
        <w:tc>
          <w:tcPr>
            <w:tcW w:w="1891" w:type="dxa"/>
          </w:tcPr>
          <w:p w:rsidR="006A4A63" w:rsidRDefault="006A4A63" w:rsidP="00CB6874">
            <w:pPr>
              <w:pStyle w:val="TableSideHeading"/>
            </w:pPr>
          </w:p>
        </w:tc>
        <w:tc>
          <w:tcPr>
            <w:tcW w:w="624" w:type="dxa"/>
          </w:tcPr>
          <w:p w:rsidR="006A4A63" w:rsidRDefault="006A4A63" w:rsidP="00CB6874">
            <w:pPr>
              <w:pStyle w:val="TableText"/>
            </w:pPr>
          </w:p>
        </w:tc>
        <w:tc>
          <w:tcPr>
            <w:tcW w:w="624" w:type="dxa"/>
          </w:tcPr>
          <w:p w:rsidR="006A4A63" w:rsidRDefault="006A4A63" w:rsidP="00CB6874">
            <w:pPr>
              <w:pStyle w:val="TableText"/>
            </w:pPr>
          </w:p>
        </w:tc>
        <w:tc>
          <w:tcPr>
            <w:tcW w:w="624" w:type="dxa"/>
          </w:tcPr>
          <w:p w:rsidR="006A4A63" w:rsidRDefault="006A4A63" w:rsidP="00CB6874">
            <w:pPr>
              <w:pStyle w:val="TableText"/>
            </w:pPr>
          </w:p>
        </w:tc>
        <w:tc>
          <w:tcPr>
            <w:tcW w:w="624" w:type="dxa"/>
          </w:tcPr>
          <w:p w:rsidR="006A4A63" w:rsidRDefault="006A4A63" w:rsidP="00CB6874">
            <w:pPr>
              <w:pStyle w:val="TableText"/>
            </w:pPr>
          </w:p>
        </w:tc>
        <w:tc>
          <w:tcPr>
            <w:tcW w:w="624" w:type="dxa"/>
          </w:tcPr>
          <w:p w:rsidR="006A4A63" w:rsidRDefault="006A4A63" w:rsidP="00CB6874">
            <w:pPr>
              <w:pStyle w:val="TableText"/>
            </w:pPr>
          </w:p>
        </w:tc>
        <w:tc>
          <w:tcPr>
            <w:tcW w:w="4650" w:type="dxa"/>
          </w:tcPr>
          <w:p w:rsidR="006A4A63" w:rsidRDefault="006A4A63" w:rsidP="00CB6874">
            <w:pPr>
              <w:pStyle w:val="TableBlock"/>
              <w:rPr>
                <w:rtl/>
              </w:rPr>
            </w:pPr>
            <w:r>
              <w:rPr>
                <w:rtl/>
              </w:rPr>
              <w:t>"</w:t>
            </w:r>
            <w:r>
              <w:rPr>
                <w:rFonts w:hint="cs"/>
                <w:rtl/>
              </w:rPr>
              <w:t xml:space="preserve">חובות שידור חדשות באמצעות חברת חדשות" </w:t>
            </w:r>
            <w:r>
              <w:rPr>
                <w:rtl/>
              </w:rPr>
              <w:t>–</w:t>
            </w:r>
            <w:r>
              <w:rPr>
                <w:rFonts w:hint="cs"/>
                <w:rtl/>
              </w:rPr>
              <w:t xml:space="preserve"> החובות  לפי סעיף 63א(ג) ;</w:t>
            </w:r>
          </w:p>
        </w:tc>
      </w:tr>
      <w:tr w:rsidR="006A4A63" w:rsidTr="00CB6874">
        <w:trPr>
          <w:cantSplit/>
          <w:trHeight w:val="60"/>
        </w:trPr>
        <w:tc>
          <w:tcPr>
            <w:tcW w:w="1891" w:type="dxa"/>
          </w:tcPr>
          <w:p w:rsidR="006A4A63" w:rsidRDefault="006A4A63" w:rsidP="00CB6874">
            <w:pPr>
              <w:pStyle w:val="TableSideHeading"/>
            </w:pPr>
          </w:p>
        </w:tc>
        <w:tc>
          <w:tcPr>
            <w:tcW w:w="624" w:type="dxa"/>
          </w:tcPr>
          <w:p w:rsidR="006A4A63" w:rsidRDefault="006A4A63" w:rsidP="00CB6874">
            <w:pPr>
              <w:pStyle w:val="TableText"/>
            </w:pPr>
          </w:p>
        </w:tc>
        <w:tc>
          <w:tcPr>
            <w:tcW w:w="624" w:type="dxa"/>
          </w:tcPr>
          <w:p w:rsidR="006A4A63" w:rsidRDefault="006A4A63" w:rsidP="00CB6874">
            <w:pPr>
              <w:pStyle w:val="TableText"/>
            </w:pPr>
          </w:p>
        </w:tc>
        <w:tc>
          <w:tcPr>
            <w:tcW w:w="624" w:type="dxa"/>
          </w:tcPr>
          <w:p w:rsidR="006A4A63" w:rsidRDefault="006A4A63" w:rsidP="00CB6874">
            <w:pPr>
              <w:pStyle w:val="TableText"/>
            </w:pPr>
          </w:p>
        </w:tc>
        <w:tc>
          <w:tcPr>
            <w:tcW w:w="624" w:type="dxa"/>
          </w:tcPr>
          <w:p w:rsidR="006A4A63" w:rsidRDefault="006A4A63" w:rsidP="00CB6874">
            <w:pPr>
              <w:pStyle w:val="TableText"/>
            </w:pPr>
          </w:p>
        </w:tc>
        <w:tc>
          <w:tcPr>
            <w:tcW w:w="624" w:type="dxa"/>
          </w:tcPr>
          <w:p w:rsidR="006A4A63" w:rsidRDefault="006A4A63" w:rsidP="00CB6874">
            <w:pPr>
              <w:pStyle w:val="TableText"/>
            </w:pPr>
          </w:p>
        </w:tc>
        <w:tc>
          <w:tcPr>
            <w:tcW w:w="4650" w:type="dxa"/>
          </w:tcPr>
          <w:p w:rsidR="006A4A63" w:rsidRDefault="006A4A63" w:rsidP="00CB6874">
            <w:pPr>
              <w:pStyle w:val="TableBlock"/>
              <w:rPr>
                <w:rtl/>
              </w:rPr>
            </w:pPr>
            <w:r>
              <w:rPr>
                <w:rtl/>
              </w:rPr>
              <w:t>"</w:t>
            </w:r>
            <w:r>
              <w:rPr>
                <w:rFonts w:hint="cs"/>
                <w:rtl/>
              </w:rPr>
              <w:t xml:space="preserve">נתח שוק" </w:t>
            </w:r>
            <w:r>
              <w:rPr>
                <w:rtl/>
              </w:rPr>
              <w:t>–</w:t>
            </w:r>
            <w:r>
              <w:rPr>
                <w:rFonts w:hint="cs"/>
                <w:rtl/>
              </w:rPr>
              <w:t xml:space="preserve"> שיעור הכנסותיו השנתיות של בעל רישיון לשידורי טלוויזיה משידורי פרסומת, מתוך כלל ההכנסות משידורי פרסומת של כלל בעלי הרישיונות לשידורי טלוויזיה, באותה שנת כספים, כפי שפורסם בידי המנהל לפי </w:t>
            </w:r>
            <w:r w:rsidRPr="002702E3">
              <w:rPr>
                <w:rFonts w:hint="eastAsia"/>
                <w:rtl/>
              </w:rPr>
              <w:t>סעיף</w:t>
            </w:r>
            <w:r w:rsidRPr="002702E3">
              <w:rPr>
                <w:rtl/>
              </w:rPr>
              <w:t xml:space="preserve"> 71ז;</w:t>
            </w:r>
          </w:p>
        </w:tc>
      </w:tr>
      <w:tr w:rsidR="006A4A63" w:rsidTr="00CB6874">
        <w:trPr>
          <w:cantSplit/>
          <w:trHeight w:val="60"/>
        </w:trPr>
        <w:tc>
          <w:tcPr>
            <w:tcW w:w="1891" w:type="dxa"/>
          </w:tcPr>
          <w:p w:rsidR="006A4A63" w:rsidRDefault="006A4A63" w:rsidP="00CB6874">
            <w:pPr>
              <w:pStyle w:val="TableSideHeading"/>
              <w:keepLines w:val="0"/>
            </w:pPr>
          </w:p>
        </w:tc>
        <w:tc>
          <w:tcPr>
            <w:tcW w:w="624" w:type="dxa"/>
          </w:tcPr>
          <w:p w:rsidR="006A4A63" w:rsidRDefault="006A4A63" w:rsidP="00CB6874">
            <w:pPr>
              <w:pStyle w:val="TableText"/>
              <w:keepLines w:val="0"/>
            </w:pPr>
          </w:p>
        </w:tc>
        <w:tc>
          <w:tcPr>
            <w:tcW w:w="1872" w:type="dxa"/>
            <w:gridSpan w:val="3"/>
          </w:tcPr>
          <w:p w:rsidR="006A4A63" w:rsidRDefault="006A4A63" w:rsidP="00CB6874">
            <w:pPr>
              <w:pStyle w:val="TableInnerSideHeading"/>
            </w:pPr>
            <w:r>
              <w:rPr>
                <w:rFonts w:hint="cs"/>
                <w:rtl/>
              </w:rPr>
              <w:t>קביעה ופרסום של נתח שוק</w:t>
            </w:r>
          </w:p>
        </w:tc>
        <w:tc>
          <w:tcPr>
            <w:tcW w:w="624" w:type="dxa"/>
          </w:tcPr>
          <w:p w:rsidR="006A4A63" w:rsidRPr="00301739" w:rsidRDefault="006A4A63" w:rsidP="00CB6874">
            <w:pPr>
              <w:pStyle w:val="TableText"/>
            </w:pPr>
            <w:r>
              <w:rPr>
                <w:rFonts w:hint="cs"/>
                <w:rtl/>
              </w:rPr>
              <w:t>71ז.</w:t>
            </w:r>
          </w:p>
        </w:tc>
        <w:tc>
          <w:tcPr>
            <w:tcW w:w="4650" w:type="dxa"/>
          </w:tcPr>
          <w:p w:rsidR="006A4A63" w:rsidRDefault="006A4A63" w:rsidP="006A4A63">
            <w:pPr>
              <w:pStyle w:val="TableBlock"/>
              <w:numPr>
                <w:ilvl w:val="0"/>
                <w:numId w:val="5"/>
              </w:numPr>
              <w:tabs>
                <w:tab w:val="left" w:pos="624"/>
              </w:tabs>
            </w:pPr>
            <w:r>
              <w:rPr>
                <w:rFonts w:hint="cs"/>
                <w:rtl/>
              </w:rPr>
              <w:t xml:space="preserve">נתח השוק של בעל רישיון ייקבע בידי המנהל מידי שנה מיום שקיבל את הרישיון, ויפורסם באתר האינטרנט של הרשות עד </w:t>
            </w:r>
            <w:r w:rsidRPr="00E730BA">
              <w:rPr>
                <w:rFonts w:hint="eastAsia"/>
                <w:rtl/>
              </w:rPr>
              <w:t>ליום</w:t>
            </w:r>
            <w:r w:rsidRPr="00E730BA">
              <w:rPr>
                <w:rtl/>
              </w:rPr>
              <w:t xml:space="preserve"> 1 </w:t>
            </w:r>
            <w:r w:rsidRPr="00E730BA">
              <w:rPr>
                <w:rFonts w:hint="eastAsia"/>
                <w:rtl/>
              </w:rPr>
              <w:t>ביוני</w:t>
            </w:r>
            <w:r w:rsidRPr="00E730BA">
              <w:rPr>
                <w:rtl/>
              </w:rPr>
              <w:t xml:space="preserve"> בכל שנה. </w:t>
            </w:r>
            <w:r w:rsidRPr="00E730BA">
              <w:rPr>
                <w:rFonts w:hint="eastAsia"/>
                <w:rtl/>
              </w:rPr>
              <w:t>הפרסום</w:t>
            </w:r>
            <w:r w:rsidRPr="00E730BA">
              <w:rPr>
                <w:rtl/>
              </w:rPr>
              <w:t xml:space="preserve"> האמור </w:t>
            </w:r>
            <w:r w:rsidRPr="00E730BA">
              <w:rPr>
                <w:rFonts w:hint="eastAsia"/>
                <w:rtl/>
              </w:rPr>
              <w:t>יתייחס</w:t>
            </w:r>
            <w:r w:rsidRPr="00E730BA">
              <w:rPr>
                <w:rtl/>
              </w:rPr>
              <w:t xml:space="preserve"> </w:t>
            </w:r>
            <w:r w:rsidRPr="00E730BA">
              <w:rPr>
                <w:rFonts w:hint="eastAsia"/>
                <w:rtl/>
              </w:rPr>
              <w:t>להכנסות</w:t>
            </w:r>
            <w:r w:rsidRPr="00E730BA">
              <w:rPr>
                <w:rtl/>
              </w:rPr>
              <w:t xml:space="preserve"> </w:t>
            </w:r>
            <w:r w:rsidRPr="00E730BA">
              <w:rPr>
                <w:rFonts w:hint="eastAsia"/>
                <w:rtl/>
              </w:rPr>
              <w:t>בשנ</w:t>
            </w:r>
            <w:r>
              <w:rPr>
                <w:rFonts w:hint="cs"/>
                <w:rtl/>
              </w:rPr>
              <w:t xml:space="preserve">ת הכספים </w:t>
            </w:r>
            <w:r w:rsidRPr="00E730BA">
              <w:rPr>
                <w:rFonts w:hint="eastAsia"/>
                <w:rtl/>
              </w:rPr>
              <w:t>הקודמת</w:t>
            </w:r>
            <w:r w:rsidRPr="00E730BA">
              <w:rPr>
                <w:rtl/>
              </w:rPr>
              <w:t>.</w:t>
            </w:r>
          </w:p>
        </w:tc>
      </w:tr>
      <w:tr w:rsidR="006A4A63" w:rsidTr="00CB6874">
        <w:trPr>
          <w:cantSplit/>
          <w:trHeight w:val="60"/>
        </w:trPr>
        <w:tc>
          <w:tcPr>
            <w:tcW w:w="1891" w:type="dxa"/>
          </w:tcPr>
          <w:p w:rsidR="006A4A63" w:rsidRDefault="006A4A63" w:rsidP="00CB6874">
            <w:pPr>
              <w:pStyle w:val="TableSideHeading"/>
            </w:pPr>
          </w:p>
        </w:tc>
        <w:tc>
          <w:tcPr>
            <w:tcW w:w="624" w:type="dxa"/>
          </w:tcPr>
          <w:p w:rsidR="006A4A63" w:rsidRDefault="006A4A63" w:rsidP="00CB6874">
            <w:pPr>
              <w:pStyle w:val="TableText"/>
            </w:pPr>
          </w:p>
        </w:tc>
        <w:tc>
          <w:tcPr>
            <w:tcW w:w="624" w:type="dxa"/>
          </w:tcPr>
          <w:p w:rsidR="006A4A63" w:rsidRDefault="006A4A63" w:rsidP="00CB6874">
            <w:pPr>
              <w:pStyle w:val="TableText"/>
            </w:pPr>
          </w:p>
        </w:tc>
        <w:tc>
          <w:tcPr>
            <w:tcW w:w="624" w:type="dxa"/>
          </w:tcPr>
          <w:p w:rsidR="006A4A63" w:rsidRDefault="006A4A63" w:rsidP="00CB6874">
            <w:pPr>
              <w:pStyle w:val="TableText"/>
            </w:pPr>
          </w:p>
        </w:tc>
        <w:tc>
          <w:tcPr>
            <w:tcW w:w="624" w:type="dxa"/>
          </w:tcPr>
          <w:p w:rsidR="006A4A63" w:rsidRDefault="006A4A63" w:rsidP="00CB6874">
            <w:pPr>
              <w:pStyle w:val="TableText"/>
            </w:pPr>
          </w:p>
        </w:tc>
        <w:tc>
          <w:tcPr>
            <w:tcW w:w="624" w:type="dxa"/>
          </w:tcPr>
          <w:p w:rsidR="006A4A63" w:rsidRDefault="006A4A63" w:rsidP="00CB6874">
            <w:pPr>
              <w:pStyle w:val="TableText"/>
            </w:pPr>
          </w:p>
        </w:tc>
        <w:tc>
          <w:tcPr>
            <w:tcW w:w="4650" w:type="dxa"/>
          </w:tcPr>
          <w:p w:rsidR="006A4A63" w:rsidRPr="001B012A" w:rsidRDefault="006A4A63" w:rsidP="006A4A63">
            <w:pPr>
              <w:pStyle w:val="TableBlock"/>
              <w:numPr>
                <w:ilvl w:val="0"/>
                <w:numId w:val="5"/>
              </w:numPr>
              <w:tabs>
                <w:tab w:val="left" w:pos="624"/>
              </w:tabs>
            </w:pPr>
            <w:r>
              <w:rPr>
                <w:rFonts w:hint="cs"/>
                <w:rtl/>
              </w:rPr>
              <w:t>מבלי לגרוע מהאמור בסעיף 108, בעל רישיון לשידורי טלוויזיה, ימסור למנהל כל מידע הנדרש לצורך יישום סעיף זה, בהתאם למתכונת שקבעה.</w:t>
            </w:r>
          </w:p>
        </w:tc>
      </w:tr>
      <w:tr w:rsidR="006A4A63" w:rsidTr="00CB6874">
        <w:trPr>
          <w:cantSplit/>
          <w:trHeight w:val="60"/>
        </w:trPr>
        <w:tc>
          <w:tcPr>
            <w:tcW w:w="1891" w:type="dxa"/>
          </w:tcPr>
          <w:p w:rsidR="006A4A63" w:rsidRDefault="006A4A63" w:rsidP="00CB6874">
            <w:pPr>
              <w:pStyle w:val="TableSideHeading"/>
              <w:keepLines w:val="0"/>
            </w:pPr>
          </w:p>
        </w:tc>
        <w:tc>
          <w:tcPr>
            <w:tcW w:w="624" w:type="dxa"/>
          </w:tcPr>
          <w:p w:rsidR="006A4A63" w:rsidRDefault="006A4A63" w:rsidP="00CB6874">
            <w:pPr>
              <w:pStyle w:val="TableText"/>
              <w:keepLines w:val="0"/>
            </w:pPr>
          </w:p>
        </w:tc>
        <w:tc>
          <w:tcPr>
            <w:tcW w:w="1872" w:type="dxa"/>
            <w:gridSpan w:val="3"/>
          </w:tcPr>
          <w:p w:rsidR="006A4A63" w:rsidRDefault="006A4A63" w:rsidP="00CB6874">
            <w:pPr>
              <w:pStyle w:val="TableInnerSideHeading"/>
            </w:pPr>
            <w:r>
              <w:rPr>
                <w:rFonts w:hint="cs"/>
                <w:rtl/>
              </w:rPr>
              <w:t>אסדרה בהתאם לנתח שוק</w:t>
            </w:r>
          </w:p>
        </w:tc>
        <w:tc>
          <w:tcPr>
            <w:tcW w:w="624" w:type="dxa"/>
          </w:tcPr>
          <w:p w:rsidR="006A4A63" w:rsidRDefault="006A4A63" w:rsidP="00CB6874">
            <w:pPr>
              <w:pStyle w:val="TableText"/>
            </w:pPr>
            <w:r>
              <w:rPr>
                <w:rFonts w:hint="cs"/>
                <w:rtl/>
              </w:rPr>
              <w:t>71ח.</w:t>
            </w:r>
          </w:p>
        </w:tc>
        <w:tc>
          <w:tcPr>
            <w:tcW w:w="4650" w:type="dxa"/>
          </w:tcPr>
          <w:p w:rsidR="006A4A63" w:rsidRDefault="006A4A63" w:rsidP="006A4A63">
            <w:pPr>
              <w:pStyle w:val="TableBlock"/>
              <w:numPr>
                <w:ilvl w:val="0"/>
                <w:numId w:val="2"/>
              </w:numPr>
              <w:tabs>
                <w:tab w:val="left" w:pos="624"/>
              </w:tabs>
            </w:pPr>
            <w:r>
              <w:rPr>
                <w:rFonts w:hint="cs"/>
                <w:rtl/>
              </w:rPr>
              <w:t xml:space="preserve">על אף האמור בסעיפים 59, 60, 63א(ג) ובסעיפים 3 ו-5 לתוספת </w:t>
            </w:r>
            <w:proofErr w:type="spellStart"/>
            <w:r>
              <w:rPr>
                <w:rFonts w:hint="cs"/>
                <w:rtl/>
              </w:rPr>
              <w:t>השניה</w:t>
            </w:r>
            <w:proofErr w:type="spellEnd"/>
            <w:r>
              <w:rPr>
                <w:rFonts w:hint="cs"/>
                <w:rtl/>
              </w:rPr>
              <w:t>, בעל רישיון, יהיה פטור משידורי חדשות, מחובת הוצאה לתפעול חברת חדשות, מחובות שידור הפקות מקומיות ומחובות סוגה עילית ממועד קבלת הרישיון ועד לשנה העוקבת לשנה שבה נקבע כי נתח השוק שלו עלה על 10 אחוזים בממוצע המשקלל שלוש שנים רצופות; בחינת הממוצע המשקלל נתח שוק של עשרה אחוזים כאמור, תחל רק בשנה העוקבת לשנה הראשונה בה עמד נתח השוק שלו על עשרה אחוזים לפחות.</w:t>
            </w:r>
          </w:p>
        </w:tc>
      </w:tr>
      <w:tr w:rsidR="006A4A63" w:rsidTr="00CB6874">
        <w:trPr>
          <w:cantSplit/>
          <w:trHeight w:val="60"/>
        </w:trPr>
        <w:tc>
          <w:tcPr>
            <w:tcW w:w="1891" w:type="dxa"/>
          </w:tcPr>
          <w:p w:rsidR="006A4A63" w:rsidRDefault="006A4A63" w:rsidP="00CB6874">
            <w:pPr>
              <w:pStyle w:val="TableSideHeading"/>
            </w:pPr>
          </w:p>
        </w:tc>
        <w:tc>
          <w:tcPr>
            <w:tcW w:w="624" w:type="dxa"/>
          </w:tcPr>
          <w:p w:rsidR="006A4A63" w:rsidRDefault="006A4A63" w:rsidP="00CB6874">
            <w:pPr>
              <w:pStyle w:val="TableText"/>
            </w:pPr>
          </w:p>
        </w:tc>
        <w:tc>
          <w:tcPr>
            <w:tcW w:w="624" w:type="dxa"/>
          </w:tcPr>
          <w:p w:rsidR="006A4A63" w:rsidRDefault="006A4A63" w:rsidP="00CB6874">
            <w:pPr>
              <w:pStyle w:val="TableText"/>
            </w:pPr>
          </w:p>
        </w:tc>
        <w:tc>
          <w:tcPr>
            <w:tcW w:w="624" w:type="dxa"/>
          </w:tcPr>
          <w:p w:rsidR="006A4A63" w:rsidRDefault="006A4A63" w:rsidP="00CB6874">
            <w:pPr>
              <w:pStyle w:val="TableText"/>
            </w:pPr>
          </w:p>
        </w:tc>
        <w:tc>
          <w:tcPr>
            <w:tcW w:w="624" w:type="dxa"/>
          </w:tcPr>
          <w:p w:rsidR="006A4A63" w:rsidRDefault="006A4A63" w:rsidP="00CB6874">
            <w:pPr>
              <w:pStyle w:val="TableText"/>
            </w:pPr>
          </w:p>
        </w:tc>
        <w:tc>
          <w:tcPr>
            <w:tcW w:w="624" w:type="dxa"/>
          </w:tcPr>
          <w:p w:rsidR="006A4A63" w:rsidRDefault="006A4A63" w:rsidP="00CB6874">
            <w:pPr>
              <w:pStyle w:val="TableText"/>
            </w:pPr>
          </w:p>
        </w:tc>
        <w:tc>
          <w:tcPr>
            <w:tcW w:w="4650" w:type="dxa"/>
          </w:tcPr>
          <w:p w:rsidR="006A4A63" w:rsidRDefault="006A4A63" w:rsidP="006A4A63">
            <w:pPr>
              <w:pStyle w:val="TableBlock"/>
              <w:numPr>
                <w:ilvl w:val="0"/>
                <w:numId w:val="2"/>
              </w:numPr>
              <w:tabs>
                <w:tab w:val="left" w:pos="624"/>
              </w:tabs>
            </w:pPr>
            <w:r>
              <w:rPr>
                <w:rFonts w:hint="cs"/>
                <w:rtl/>
              </w:rPr>
              <w:t>בעל רישיון שנתח השוק שלו היה עשרה אחוזים או יותר, בממוצע המשקלל שלוש שנים רצופות, אך בכל אחת מאותן שנים היה נתח השוק שלו נמוך מחמישה עשר אחוזים, יהיה חייב, החל מתום השנה העוקבת לשנה בה נקבע נתח השוק האמור, בחובת שידור חדשות באמצעות חברת חדשות, אך יהיה פטור מחובת הוצאה לתפעול חברת חדשות, וכן יהיה פטור מחובות שידור הפקות מקומיות ומחובות סוגה עילית.</w:t>
            </w:r>
          </w:p>
        </w:tc>
      </w:tr>
      <w:tr w:rsidR="006A4A63" w:rsidTr="00CB6874">
        <w:trPr>
          <w:cantSplit/>
          <w:trHeight w:val="60"/>
        </w:trPr>
        <w:tc>
          <w:tcPr>
            <w:tcW w:w="1891" w:type="dxa"/>
          </w:tcPr>
          <w:p w:rsidR="006A4A63" w:rsidRDefault="006A4A63" w:rsidP="00CB6874">
            <w:pPr>
              <w:pStyle w:val="TableSideHeading"/>
            </w:pPr>
          </w:p>
        </w:tc>
        <w:tc>
          <w:tcPr>
            <w:tcW w:w="624" w:type="dxa"/>
          </w:tcPr>
          <w:p w:rsidR="006A4A63" w:rsidRDefault="006A4A63" w:rsidP="00CB6874">
            <w:pPr>
              <w:pStyle w:val="TableText"/>
            </w:pPr>
          </w:p>
        </w:tc>
        <w:tc>
          <w:tcPr>
            <w:tcW w:w="624" w:type="dxa"/>
          </w:tcPr>
          <w:p w:rsidR="006A4A63" w:rsidRDefault="006A4A63" w:rsidP="00CB6874">
            <w:pPr>
              <w:pStyle w:val="TableText"/>
            </w:pPr>
          </w:p>
        </w:tc>
        <w:tc>
          <w:tcPr>
            <w:tcW w:w="624" w:type="dxa"/>
          </w:tcPr>
          <w:p w:rsidR="006A4A63" w:rsidRDefault="006A4A63" w:rsidP="00CB6874">
            <w:pPr>
              <w:pStyle w:val="TableText"/>
            </w:pPr>
          </w:p>
        </w:tc>
        <w:tc>
          <w:tcPr>
            <w:tcW w:w="624" w:type="dxa"/>
          </w:tcPr>
          <w:p w:rsidR="006A4A63" w:rsidRDefault="006A4A63" w:rsidP="00CB6874">
            <w:pPr>
              <w:pStyle w:val="TableText"/>
            </w:pPr>
          </w:p>
        </w:tc>
        <w:tc>
          <w:tcPr>
            <w:tcW w:w="624" w:type="dxa"/>
          </w:tcPr>
          <w:p w:rsidR="006A4A63" w:rsidRDefault="006A4A63" w:rsidP="00CB6874">
            <w:pPr>
              <w:pStyle w:val="TableText"/>
            </w:pPr>
          </w:p>
        </w:tc>
        <w:tc>
          <w:tcPr>
            <w:tcW w:w="4650" w:type="dxa"/>
          </w:tcPr>
          <w:p w:rsidR="006A4A63" w:rsidRDefault="006A4A63" w:rsidP="006A4A63">
            <w:pPr>
              <w:pStyle w:val="TableBlock"/>
              <w:numPr>
                <w:ilvl w:val="0"/>
                <w:numId w:val="2"/>
              </w:numPr>
              <w:tabs>
                <w:tab w:val="left" w:pos="624"/>
              </w:tabs>
              <w:rPr>
                <w:rtl/>
              </w:rPr>
            </w:pPr>
            <w:r>
              <w:rPr>
                <w:rFonts w:hint="cs"/>
                <w:rtl/>
              </w:rPr>
              <w:t>בעל רישיון שנתח השוק שלו היה למעלה מחמישה עשר אחוזים, אך לא יותר מעשרים אחוזים, יהיה פטור מחובת שידור הפקות מקומיות ומחובות סוגה עילית אך יהיה חייב, החל מתום השנה העוקבת לשנה בה נקבע נתח השוק האמור, בחובת שידור חדשות באמצעות חברת חדשות וכן בחובת הוצאה לתפעול חברת חדשות.</w:t>
            </w:r>
          </w:p>
        </w:tc>
      </w:tr>
      <w:tr w:rsidR="006A4A63" w:rsidTr="00CB6874">
        <w:trPr>
          <w:cantSplit/>
          <w:trHeight w:val="60"/>
        </w:trPr>
        <w:tc>
          <w:tcPr>
            <w:tcW w:w="1891" w:type="dxa"/>
          </w:tcPr>
          <w:p w:rsidR="006A4A63" w:rsidRDefault="006A4A63" w:rsidP="00CB6874">
            <w:pPr>
              <w:pStyle w:val="TableSideHeading"/>
            </w:pPr>
          </w:p>
        </w:tc>
        <w:tc>
          <w:tcPr>
            <w:tcW w:w="624" w:type="dxa"/>
          </w:tcPr>
          <w:p w:rsidR="006A4A63" w:rsidRDefault="006A4A63" w:rsidP="00CB6874">
            <w:pPr>
              <w:pStyle w:val="TableText"/>
            </w:pPr>
          </w:p>
        </w:tc>
        <w:tc>
          <w:tcPr>
            <w:tcW w:w="624" w:type="dxa"/>
          </w:tcPr>
          <w:p w:rsidR="006A4A63" w:rsidRDefault="006A4A63" w:rsidP="00CB6874">
            <w:pPr>
              <w:pStyle w:val="TableText"/>
            </w:pPr>
          </w:p>
        </w:tc>
        <w:tc>
          <w:tcPr>
            <w:tcW w:w="624" w:type="dxa"/>
          </w:tcPr>
          <w:p w:rsidR="006A4A63" w:rsidRDefault="006A4A63" w:rsidP="00CB6874">
            <w:pPr>
              <w:pStyle w:val="TableText"/>
            </w:pPr>
          </w:p>
        </w:tc>
        <w:tc>
          <w:tcPr>
            <w:tcW w:w="624" w:type="dxa"/>
          </w:tcPr>
          <w:p w:rsidR="006A4A63" w:rsidRDefault="006A4A63" w:rsidP="00CB6874">
            <w:pPr>
              <w:pStyle w:val="TableText"/>
            </w:pPr>
          </w:p>
        </w:tc>
        <w:tc>
          <w:tcPr>
            <w:tcW w:w="624" w:type="dxa"/>
          </w:tcPr>
          <w:p w:rsidR="006A4A63" w:rsidRDefault="006A4A63" w:rsidP="00CB6874">
            <w:pPr>
              <w:pStyle w:val="TableText"/>
            </w:pPr>
          </w:p>
        </w:tc>
        <w:tc>
          <w:tcPr>
            <w:tcW w:w="4650" w:type="dxa"/>
          </w:tcPr>
          <w:p w:rsidR="006A4A63" w:rsidRDefault="006A4A63" w:rsidP="006A4A63">
            <w:pPr>
              <w:pStyle w:val="TableBlock"/>
              <w:numPr>
                <w:ilvl w:val="0"/>
                <w:numId w:val="2"/>
              </w:numPr>
              <w:tabs>
                <w:tab w:val="left" w:pos="624"/>
              </w:tabs>
              <w:rPr>
                <w:rtl/>
              </w:rPr>
            </w:pPr>
            <w:r>
              <w:rPr>
                <w:rFonts w:hint="cs"/>
                <w:rtl/>
              </w:rPr>
              <w:t xml:space="preserve">בעל רישיון שנתח השוק שלו היה למעלה מעשרים אחוזים החל מהשנה העוקבת לפרסום כאמור </w:t>
            </w:r>
            <w:r w:rsidRPr="00E730BA">
              <w:rPr>
                <w:rFonts w:hint="eastAsia"/>
                <w:rtl/>
              </w:rPr>
              <w:t>בסעיף</w:t>
            </w:r>
            <w:r>
              <w:rPr>
                <w:rFonts w:hint="cs"/>
                <w:rtl/>
              </w:rPr>
              <w:t xml:space="preserve"> 71ז יחולו עליו כל החובות הקבועות בסעיפים 59, 60, 63א(ג) ובסעיפים 3 ו-5 לתוספת </w:t>
            </w:r>
            <w:proofErr w:type="spellStart"/>
            <w:r>
              <w:rPr>
                <w:rFonts w:hint="cs"/>
                <w:rtl/>
              </w:rPr>
              <w:t>השניה</w:t>
            </w:r>
            <w:proofErr w:type="spellEnd"/>
            <w:r>
              <w:rPr>
                <w:rFonts w:hint="cs"/>
                <w:rtl/>
              </w:rPr>
              <w:t>.</w:t>
            </w:r>
          </w:p>
        </w:tc>
      </w:tr>
      <w:tr w:rsidR="006A4A63" w:rsidTr="00CB6874">
        <w:trPr>
          <w:cantSplit/>
          <w:trHeight w:val="60"/>
        </w:trPr>
        <w:tc>
          <w:tcPr>
            <w:tcW w:w="1891" w:type="dxa"/>
          </w:tcPr>
          <w:p w:rsidR="006A4A63" w:rsidRDefault="006A4A63" w:rsidP="00CB6874">
            <w:pPr>
              <w:pStyle w:val="TableSideHeading"/>
            </w:pPr>
          </w:p>
        </w:tc>
        <w:tc>
          <w:tcPr>
            <w:tcW w:w="624" w:type="dxa"/>
          </w:tcPr>
          <w:p w:rsidR="006A4A63" w:rsidRDefault="006A4A63" w:rsidP="00CB6874">
            <w:pPr>
              <w:pStyle w:val="TableText"/>
            </w:pPr>
          </w:p>
        </w:tc>
        <w:tc>
          <w:tcPr>
            <w:tcW w:w="624" w:type="dxa"/>
          </w:tcPr>
          <w:p w:rsidR="006A4A63" w:rsidRDefault="006A4A63" w:rsidP="00CB6874">
            <w:pPr>
              <w:pStyle w:val="TableText"/>
            </w:pPr>
          </w:p>
        </w:tc>
        <w:tc>
          <w:tcPr>
            <w:tcW w:w="624" w:type="dxa"/>
          </w:tcPr>
          <w:p w:rsidR="006A4A63" w:rsidRDefault="006A4A63" w:rsidP="00CB6874">
            <w:pPr>
              <w:pStyle w:val="TableText"/>
            </w:pPr>
          </w:p>
        </w:tc>
        <w:tc>
          <w:tcPr>
            <w:tcW w:w="624" w:type="dxa"/>
          </w:tcPr>
          <w:p w:rsidR="006A4A63" w:rsidRDefault="006A4A63" w:rsidP="00CB6874">
            <w:pPr>
              <w:pStyle w:val="TableText"/>
            </w:pPr>
          </w:p>
        </w:tc>
        <w:tc>
          <w:tcPr>
            <w:tcW w:w="624" w:type="dxa"/>
          </w:tcPr>
          <w:p w:rsidR="006A4A63" w:rsidRDefault="006A4A63" w:rsidP="00CB6874">
            <w:pPr>
              <w:pStyle w:val="TableText"/>
            </w:pPr>
          </w:p>
        </w:tc>
        <w:tc>
          <w:tcPr>
            <w:tcW w:w="4650" w:type="dxa"/>
          </w:tcPr>
          <w:p w:rsidR="006A4A63" w:rsidRDefault="006A4A63" w:rsidP="006A4A63">
            <w:pPr>
              <w:pStyle w:val="TableBlock"/>
              <w:numPr>
                <w:ilvl w:val="0"/>
                <w:numId w:val="2"/>
              </w:numPr>
              <w:tabs>
                <w:tab w:val="left" w:pos="624"/>
              </w:tabs>
              <w:rPr>
                <w:rtl/>
              </w:rPr>
            </w:pPr>
            <w:r>
              <w:rPr>
                <w:rFonts w:hint="cs"/>
                <w:rtl/>
              </w:rPr>
              <w:t>על בעל רישיון שבחר לשדר שידורי חדשות על אף שהוא פטור מכך לפי סעיף קטן (א), ועל בעל רישיון שחל עליו האמור בסעיף קטן (ב), יחולו חלק מהוראות לפי חוק זה הנוגעות לשידורי חדשות.  (פרוט לחובות יקבע בדיוני הועדה).</w:t>
            </w:r>
          </w:p>
        </w:tc>
      </w:tr>
      <w:tr w:rsidR="006A4A63" w:rsidTr="00CB6874">
        <w:trPr>
          <w:cantSplit/>
          <w:trHeight w:val="60"/>
        </w:trPr>
        <w:tc>
          <w:tcPr>
            <w:tcW w:w="1891" w:type="dxa"/>
          </w:tcPr>
          <w:p w:rsidR="006A4A63" w:rsidRDefault="006A4A63" w:rsidP="00CB6874">
            <w:pPr>
              <w:pStyle w:val="TableSideHeading"/>
              <w:rPr>
                <w:rtl/>
              </w:rPr>
            </w:pPr>
            <w:r>
              <w:rPr>
                <w:rFonts w:hint="cs"/>
                <w:rtl/>
              </w:rPr>
              <w:t>תיקון סעיף 83</w:t>
            </w:r>
          </w:p>
        </w:tc>
        <w:tc>
          <w:tcPr>
            <w:tcW w:w="624" w:type="dxa"/>
          </w:tcPr>
          <w:p w:rsidR="006A4A63" w:rsidRDefault="006A4A63" w:rsidP="006A4A63">
            <w:pPr>
              <w:pStyle w:val="TableText"/>
              <w:keepLines w:val="0"/>
              <w:numPr>
                <w:ilvl w:val="0"/>
                <w:numId w:val="1"/>
              </w:numPr>
            </w:pPr>
          </w:p>
        </w:tc>
        <w:tc>
          <w:tcPr>
            <w:tcW w:w="7146" w:type="dxa"/>
            <w:gridSpan w:val="5"/>
          </w:tcPr>
          <w:p w:rsidR="006A4A63" w:rsidRDefault="006A4A63" w:rsidP="00CB6874">
            <w:pPr>
              <w:pStyle w:val="TableBlock"/>
              <w:rPr>
                <w:rtl/>
              </w:rPr>
            </w:pPr>
            <w:r>
              <w:rPr>
                <w:rFonts w:hint="cs"/>
                <w:rtl/>
              </w:rPr>
              <w:t>בסעיף 83 בסעיף קטן (א) אחרי המילים "עבור שידורו תמורה כספית", יבוא:</w:t>
            </w:r>
          </w:p>
        </w:tc>
      </w:tr>
      <w:tr w:rsidR="006A4A63" w:rsidTr="00CB6874">
        <w:trPr>
          <w:cantSplit/>
          <w:trHeight w:val="60"/>
        </w:trPr>
        <w:tc>
          <w:tcPr>
            <w:tcW w:w="1891" w:type="dxa"/>
          </w:tcPr>
          <w:p w:rsidR="006A4A63" w:rsidRDefault="006A4A63" w:rsidP="00CB6874">
            <w:pPr>
              <w:pStyle w:val="TableSideHeading"/>
              <w:rPr>
                <w:rtl/>
              </w:rPr>
            </w:pPr>
          </w:p>
        </w:tc>
        <w:tc>
          <w:tcPr>
            <w:tcW w:w="624" w:type="dxa"/>
          </w:tcPr>
          <w:p w:rsidR="006A4A63" w:rsidRDefault="006A4A63" w:rsidP="00CB6874">
            <w:pPr>
              <w:pStyle w:val="TableText"/>
              <w:keepLines w:val="0"/>
              <w:tabs>
                <w:tab w:val="clear" w:pos="624"/>
              </w:tabs>
            </w:pPr>
          </w:p>
        </w:tc>
        <w:tc>
          <w:tcPr>
            <w:tcW w:w="7146" w:type="dxa"/>
            <w:gridSpan w:val="5"/>
          </w:tcPr>
          <w:p w:rsidR="006A4A63" w:rsidRDefault="006A4A63" w:rsidP="00CB6874">
            <w:pPr>
              <w:pStyle w:val="TableBlock"/>
              <w:rPr>
                <w:rtl/>
              </w:rPr>
            </w:pPr>
            <w:r>
              <w:rPr>
                <w:rFonts w:hint="cs"/>
                <w:rtl/>
              </w:rPr>
              <w:t>" אלא במועד, בתנאים ובאופן שתקבע המועצה בכללים אשר יכללו בין היתר, דרכים ליידוע הצופים על קיומו של תוכן פרסומי בתכנית ועל זהות המממן את התכנית."</w:t>
            </w:r>
          </w:p>
        </w:tc>
      </w:tr>
      <w:tr w:rsidR="006A4A63" w:rsidTr="00CB6874">
        <w:trPr>
          <w:cantSplit/>
          <w:trHeight w:val="60"/>
        </w:trPr>
        <w:tc>
          <w:tcPr>
            <w:tcW w:w="1891" w:type="dxa"/>
          </w:tcPr>
          <w:p w:rsidR="006A4A63" w:rsidRDefault="006A4A63" w:rsidP="00CB6874">
            <w:pPr>
              <w:pStyle w:val="TableSideHeading"/>
            </w:pPr>
            <w:r>
              <w:rPr>
                <w:rFonts w:hint="cs"/>
                <w:rtl/>
              </w:rPr>
              <w:t>תיקון סעיף 95</w:t>
            </w:r>
          </w:p>
        </w:tc>
        <w:tc>
          <w:tcPr>
            <w:tcW w:w="624" w:type="dxa"/>
          </w:tcPr>
          <w:p w:rsidR="006A4A63" w:rsidRDefault="006A4A63" w:rsidP="006A4A63">
            <w:pPr>
              <w:pStyle w:val="TableText"/>
              <w:keepLines w:val="0"/>
              <w:numPr>
                <w:ilvl w:val="0"/>
                <w:numId w:val="1"/>
              </w:numPr>
            </w:pPr>
          </w:p>
        </w:tc>
        <w:tc>
          <w:tcPr>
            <w:tcW w:w="7146" w:type="dxa"/>
            <w:gridSpan w:val="5"/>
          </w:tcPr>
          <w:p w:rsidR="006A4A63" w:rsidRPr="00C34DE2" w:rsidRDefault="006A4A63" w:rsidP="00CB6874">
            <w:pPr>
              <w:pStyle w:val="TableBlock"/>
            </w:pPr>
            <w:r>
              <w:rPr>
                <w:rFonts w:hint="cs"/>
                <w:rtl/>
              </w:rPr>
              <w:t>בסעיף 95 אחרי סעיף קטן (ב) יבוא:</w:t>
            </w:r>
          </w:p>
        </w:tc>
      </w:tr>
      <w:tr w:rsidR="006A4A63" w:rsidTr="00CB6874">
        <w:trPr>
          <w:cantSplit/>
          <w:trHeight w:val="60"/>
        </w:trPr>
        <w:tc>
          <w:tcPr>
            <w:tcW w:w="1891" w:type="dxa"/>
          </w:tcPr>
          <w:p w:rsidR="006A4A63" w:rsidRDefault="006A4A63" w:rsidP="00CB6874">
            <w:pPr>
              <w:pStyle w:val="TableSideHeading"/>
            </w:pPr>
          </w:p>
        </w:tc>
        <w:tc>
          <w:tcPr>
            <w:tcW w:w="624" w:type="dxa"/>
          </w:tcPr>
          <w:p w:rsidR="006A4A63" w:rsidRDefault="006A4A63" w:rsidP="00CB6874">
            <w:pPr>
              <w:pStyle w:val="TableText"/>
            </w:pPr>
          </w:p>
        </w:tc>
        <w:tc>
          <w:tcPr>
            <w:tcW w:w="624" w:type="dxa"/>
          </w:tcPr>
          <w:p w:rsidR="006A4A63" w:rsidRDefault="006A4A63" w:rsidP="00CB6874">
            <w:pPr>
              <w:pStyle w:val="TableText"/>
            </w:pPr>
          </w:p>
        </w:tc>
        <w:tc>
          <w:tcPr>
            <w:tcW w:w="6522" w:type="dxa"/>
            <w:gridSpan w:val="4"/>
          </w:tcPr>
          <w:p w:rsidR="006A4A63" w:rsidRDefault="006A4A63" w:rsidP="00CB6874">
            <w:pPr>
              <w:pStyle w:val="TableBlock"/>
            </w:pPr>
            <w:r>
              <w:rPr>
                <w:rFonts w:hint="cs"/>
                <w:rtl/>
              </w:rPr>
              <w:t>"(ג) בעל רישיון לשידורי טלוויזיה שפעל בניגוד לסעיף 71ז(ב) דינו- מאסר שנה".</w:t>
            </w:r>
          </w:p>
        </w:tc>
      </w:tr>
      <w:tr w:rsidR="006A4A63" w:rsidTr="00CB6874">
        <w:trPr>
          <w:cantSplit/>
          <w:trHeight w:val="60"/>
        </w:trPr>
        <w:tc>
          <w:tcPr>
            <w:tcW w:w="1891" w:type="dxa"/>
          </w:tcPr>
          <w:p w:rsidR="006A4A63" w:rsidRDefault="006A4A63" w:rsidP="00CB6874">
            <w:pPr>
              <w:pStyle w:val="TableSideHeading"/>
              <w:keepLines w:val="0"/>
            </w:pPr>
          </w:p>
        </w:tc>
        <w:tc>
          <w:tcPr>
            <w:tcW w:w="624" w:type="dxa"/>
          </w:tcPr>
          <w:p w:rsidR="006A4A63" w:rsidRDefault="006A4A63" w:rsidP="00CB6874">
            <w:pPr>
              <w:pStyle w:val="TableText"/>
              <w:keepLines w:val="0"/>
            </w:pPr>
          </w:p>
        </w:tc>
        <w:tc>
          <w:tcPr>
            <w:tcW w:w="7146" w:type="dxa"/>
            <w:gridSpan w:val="5"/>
          </w:tcPr>
          <w:p w:rsidR="006A4A63" w:rsidRPr="00892FFA" w:rsidRDefault="006A4A63" w:rsidP="00CB6874">
            <w:pPr>
              <w:pStyle w:val="TableHead"/>
              <w:keepLines w:val="0"/>
            </w:pPr>
            <w:r>
              <w:rPr>
                <w:rFonts w:hint="cs"/>
                <w:rtl/>
              </w:rPr>
              <w:t>פרק ב': תיקונים עקיפים</w:t>
            </w:r>
          </w:p>
        </w:tc>
      </w:tr>
      <w:tr w:rsidR="006A4A63" w:rsidTr="00CB6874">
        <w:trPr>
          <w:cantSplit/>
          <w:trHeight w:val="60"/>
        </w:trPr>
        <w:tc>
          <w:tcPr>
            <w:tcW w:w="1891" w:type="dxa"/>
          </w:tcPr>
          <w:p w:rsidR="006A4A63" w:rsidRDefault="006A4A63" w:rsidP="00CB6874">
            <w:pPr>
              <w:pStyle w:val="TableSideHeading"/>
            </w:pPr>
            <w:r>
              <w:rPr>
                <w:rFonts w:hint="cs"/>
                <w:rtl/>
              </w:rPr>
              <w:t>תיקון לחוק התקשורת</w:t>
            </w:r>
          </w:p>
        </w:tc>
        <w:tc>
          <w:tcPr>
            <w:tcW w:w="624" w:type="dxa"/>
          </w:tcPr>
          <w:p w:rsidR="006A4A63" w:rsidRDefault="006A4A63" w:rsidP="006A4A63">
            <w:pPr>
              <w:pStyle w:val="TableText"/>
              <w:keepLines w:val="0"/>
              <w:numPr>
                <w:ilvl w:val="0"/>
                <w:numId w:val="1"/>
              </w:numPr>
            </w:pPr>
          </w:p>
        </w:tc>
        <w:tc>
          <w:tcPr>
            <w:tcW w:w="7146" w:type="dxa"/>
            <w:gridSpan w:val="5"/>
          </w:tcPr>
          <w:p w:rsidR="006A4A63" w:rsidRDefault="006A4A63" w:rsidP="00CB6874">
            <w:pPr>
              <w:pStyle w:val="TableBlock"/>
              <w:tabs>
                <w:tab w:val="clear" w:pos="624"/>
              </w:tabs>
              <w:rPr>
                <w:rtl/>
              </w:rPr>
            </w:pPr>
            <w:r>
              <w:rPr>
                <w:rFonts w:hint="cs"/>
                <w:rtl/>
              </w:rPr>
              <w:t xml:space="preserve">בחוק התקשורת (בזק ושידורים), </w:t>
            </w:r>
            <w:proofErr w:type="spellStart"/>
            <w:r>
              <w:rPr>
                <w:rFonts w:hint="cs"/>
                <w:rtl/>
              </w:rPr>
              <w:t>התשמ"ב</w:t>
            </w:r>
            <w:proofErr w:type="spellEnd"/>
            <w:r>
              <w:rPr>
                <w:rFonts w:hint="cs"/>
                <w:rtl/>
              </w:rPr>
              <w:t>- 1982-</w:t>
            </w:r>
          </w:p>
        </w:tc>
      </w:tr>
      <w:tr w:rsidR="006A4A63" w:rsidTr="00CB6874">
        <w:trPr>
          <w:cantSplit/>
          <w:trHeight w:val="60"/>
        </w:trPr>
        <w:tc>
          <w:tcPr>
            <w:tcW w:w="1891" w:type="dxa"/>
          </w:tcPr>
          <w:p w:rsidR="006A4A63" w:rsidRDefault="006A4A63" w:rsidP="00CB6874">
            <w:pPr>
              <w:pStyle w:val="TableSideHeading"/>
            </w:pPr>
          </w:p>
        </w:tc>
        <w:tc>
          <w:tcPr>
            <w:tcW w:w="624" w:type="dxa"/>
          </w:tcPr>
          <w:p w:rsidR="006A4A63" w:rsidRDefault="006A4A63" w:rsidP="00CB6874">
            <w:pPr>
              <w:pStyle w:val="TableText"/>
            </w:pPr>
          </w:p>
        </w:tc>
        <w:tc>
          <w:tcPr>
            <w:tcW w:w="624" w:type="dxa"/>
          </w:tcPr>
          <w:p w:rsidR="006A4A63" w:rsidRDefault="006A4A63" w:rsidP="00CB6874">
            <w:pPr>
              <w:pStyle w:val="TableText"/>
            </w:pPr>
          </w:p>
        </w:tc>
        <w:tc>
          <w:tcPr>
            <w:tcW w:w="6522" w:type="dxa"/>
            <w:gridSpan w:val="4"/>
          </w:tcPr>
          <w:p w:rsidR="006A4A63" w:rsidRDefault="006A4A63" w:rsidP="006A4A63">
            <w:pPr>
              <w:pStyle w:val="TableBlock"/>
              <w:numPr>
                <w:ilvl w:val="0"/>
                <w:numId w:val="4"/>
              </w:numPr>
              <w:tabs>
                <w:tab w:val="left" w:pos="624"/>
              </w:tabs>
            </w:pPr>
            <w:r>
              <w:rPr>
                <w:rFonts w:hint="cs"/>
                <w:rtl/>
              </w:rPr>
              <w:t xml:space="preserve">בסעיף 6לד סעיפים קטנים (א1) ו-(א3)- בטלים. </w:t>
            </w:r>
          </w:p>
        </w:tc>
      </w:tr>
      <w:tr w:rsidR="006A4A63" w:rsidTr="00CB6874">
        <w:trPr>
          <w:cantSplit/>
          <w:trHeight w:val="60"/>
        </w:trPr>
        <w:tc>
          <w:tcPr>
            <w:tcW w:w="1891" w:type="dxa"/>
          </w:tcPr>
          <w:p w:rsidR="006A4A63" w:rsidRDefault="006A4A63" w:rsidP="00CB6874">
            <w:pPr>
              <w:pStyle w:val="TableSideHeading"/>
            </w:pPr>
          </w:p>
        </w:tc>
        <w:tc>
          <w:tcPr>
            <w:tcW w:w="624" w:type="dxa"/>
          </w:tcPr>
          <w:p w:rsidR="006A4A63" w:rsidRDefault="006A4A63" w:rsidP="00CB6874">
            <w:pPr>
              <w:pStyle w:val="TableText"/>
            </w:pPr>
          </w:p>
        </w:tc>
        <w:tc>
          <w:tcPr>
            <w:tcW w:w="624" w:type="dxa"/>
          </w:tcPr>
          <w:p w:rsidR="006A4A63" w:rsidRDefault="006A4A63" w:rsidP="00CB6874">
            <w:pPr>
              <w:pStyle w:val="TableText"/>
            </w:pPr>
          </w:p>
        </w:tc>
        <w:tc>
          <w:tcPr>
            <w:tcW w:w="6522" w:type="dxa"/>
            <w:gridSpan w:val="4"/>
          </w:tcPr>
          <w:p w:rsidR="006A4A63" w:rsidRDefault="006A4A63" w:rsidP="006A4A63">
            <w:pPr>
              <w:pStyle w:val="TableBlock"/>
              <w:numPr>
                <w:ilvl w:val="0"/>
                <w:numId w:val="4"/>
              </w:numPr>
              <w:tabs>
                <w:tab w:val="left" w:pos="624"/>
              </w:tabs>
            </w:pPr>
            <w:r>
              <w:rPr>
                <w:rFonts w:hint="cs"/>
                <w:rtl/>
              </w:rPr>
              <w:t>סעיף 6לד1- בטל.</w:t>
            </w:r>
          </w:p>
          <w:p w:rsidR="00A6450F" w:rsidRDefault="00A6450F" w:rsidP="00A6450F">
            <w:pPr>
              <w:pStyle w:val="TableBlock"/>
              <w:tabs>
                <w:tab w:val="clear" w:pos="624"/>
              </w:tabs>
              <w:rPr>
                <w:rtl/>
              </w:rPr>
            </w:pPr>
          </w:p>
          <w:p w:rsidR="00A6450F" w:rsidRDefault="00A6450F" w:rsidP="00A6450F">
            <w:pPr>
              <w:pStyle w:val="TableBlock"/>
              <w:tabs>
                <w:tab w:val="clear" w:pos="624"/>
              </w:tabs>
              <w:rPr>
                <w:rtl/>
              </w:rPr>
            </w:pPr>
          </w:p>
        </w:tc>
      </w:tr>
      <w:tr w:rsidR="006A4A63" w:rsidTr="00CB6874">
        <w:trPr>
          <w:cantSplit/>
          <w:trHeight w:val="60"/>
        </w:trPr>
        <w:tc>
          <w:tcPr>
            <w:tcW w:w="1891" w:type="dxa"/>
          </w:tcPr>
          <w:p w:rsidR="006A4A63" w:rsidRDefault="006A4A63" w:rsidP="00CB6874">
            <w:pPr>
              <w:pStyle w:val="TableSideHeading"/>
            </w:pPr>
          </w:p>
        </w:tc>
        <w:tc>
          <w:tcPr>
            <w:tcW w:w="624" w:type="dxa"/>
          </w:tcPr>
          <w:p w:rsidR="006A4A63" w:rsidRDefault="006A4A63" w:rsidP="00CB6874">
            <w:pPr>
              <w:pStyle w:val="TableText"/>
            </w:pPr>
          </w:p>
        </w:tc>
        <w:tc>
          <w:tcPr>
            <w:tcW w:w="7146" w:type="dxa"/>
            <w:gridSpan w:val="5"/>
          </w:tcPr>
          <w:p w:rsidR="006A4A63" w:rsidRPr="00C34DE2" w:rsidRDefault="006A4A63" w:rsidP="00CB6874">
            <w:pPr>
              <w:pStyle w:val="TableHead"/>
            </w:pPr>
            <w:r>
              <w:rPr>
                <w:rFonts w:hint="cs"/>
                <w:rtl/>
              </w:rPr>
              <w:t>פרק ד': תחילה והוראות מעבר</w:t>
            </w:r>
          </w:p>
        </w:tc>
      </w:tr>
      <w:tr w:rsidR="006A4A63" w:rsidTr="00CB6874">
        <w:trPr>
          <w:cantSplit/>
          <w:trHeight w:val="60"/>
        </w:trPr>
        <w:tc>
          <w:tcPr>
            <w:tcW w:w="1891" w:type="dxa"/>
          </w:tcPr>
          <w:p w:rsidR="006A4A63" w:rsidRDefault="006A4A63" w:rsidP="00CB6874">
            <w:pPr>
              <w:pStyle w:val="TableSideHeading"/>
              <w:keepLines w:val="0"/>
            </w:pPr>
            <w:r>
              <w:rPr>
                <w:rFonts w:hint="cs"/>
                <w:rtl/>
              </w:rPr>
              <w:t>תחילה והוראות מעבר</w:t>
            </w:r>
          </w:p>
        </w:tc>
        <w:tc>
          <w:tcPr>
            <w:tcW w:w="624" w:type="dxa"/>
          </w:tcPr>
          <w:p w:rsidR="006A4A63" w:rsidRDefault="006A4A63" w:rsidP="006A4A63">
            <w:pPr>
              <w:pStyle w:val="TableText"/>
              <w:keepLines w:val="0"/>
              <w:numPr>
                <w:ilvl w:val="0"/>
                <w:numId w:val="1"/>
              </w:numPr>
            </w:pPr>
          </w:p>
        </w:tc>
        <w:tc>
          <w:tcPr>
            <w:tcW w:w="7146" w:type="dxa"/>
            <w:gridSpan w:val="5"/>
          </w:tcPr>
          <w:p w:rsidR="006A4A63" w:rsidRDefault="006A4A63" w:rsidP="006A4A63">
            <w:pPr>
              <w:pStyle w:val="TableBlock"/>
              <w:numPr>
                <w:ilvl w:val="0"/>
                <w:numId w:val="3"/>
              </w:numPr>
              <w:tabs>
                <w:tab w:val="left" w:pos="624"/>
              </w:tabs>
            </w:pPr>
            <w:r>
              <w:rPr>
                <w:rFonts w:hint="cs"/>
                <w:rtl/>
              </w:rPr>
              <w:t>תחילתו של חוק זה ביום _____ ;</w:t>
            </w:r>
          </w:p>
          <w:p w:rsidR="006A4A63" w:rsidRDefault="006A4A63" w:rsidP="006A4A63">
            <w:pPr>
              <w:pStyle w:val="TableBlock"/>
              <w:numPr>
                <w:ilvl w:val="0"/>
                <w:numId w:val="3"/>
              </w:numPr>
              <w:tabs>
                <w:tab w:val="left" w:pos="624"/>
              </w:tabs>
            </w:pPr>
            <w:r>
              <w:rPr>
                <w:rFonts w:hint="cs"/>
                <w:rtl/>
              </w:rPr>
              <w:t xml:space="preserve">ביום תחילתו של חוק זה בעלי </w:t>
            </w:r>
            <w:proofErr w:type="spellStart"/>
            <w:r>
              <w:rPr>
                <w:rFonts w:hint="cs"/>
                <w:rtl/>
              </w:rPr>
              <w:t>הרשיונות</w:t>
            </w:r>
            <w:proofErr w:type="spellEnd"/>
            <w:r>
              <w:rPr>
                <w:rFonts w:hint="cs"/>
                <w:rtl/>
              </w:rPr>
              <w:t xml:space="preserve"> הייעודיים יהפכו לבעלי </w:t>
            </w:r>
            <w:proofErr w:type="spellStart"/>
            <w:r>
              <w:rPr>
                <w:rFonts w:hint="cs"/>
                <w:rtl/>
              </w:rPr>
              <w:t>רשיון</w:t>
            </w:r>
            <w:proofErr w:type="spellEnd"/>
            <w:r>
              <w:rPr>
                <w:rFonts w:hint="cs"/>
                <w:rtl/>
              </w:rPr>
              <w:t xml:space="preserve"> לשידורי טלוויזיה לפי חוק הרשות השנייה.</w:t>
            </w:r>
          </w:p>
          <w:p w:rsidR="006A4A63" w:rsidRDefault="006A4A63" w:rsidP="006A4A63">
            <w:pPr>
              <w:pStyle w:val="TableBlock"/>
              <w:numPr>
                <w:ilvl w:val="0"/>
                <w:numId w:val="3"/>
              </w:numPr>
              <w:tabs>
                <w:tab w:val="left" w:pos="624"/>
              </w:tabs>
            </w:pPr>
            <w:r>
              <w:rPr>
                <w:rFonts w:hint="cs"/>
                <w:rtl/>
              </w:rPr>
              <w:t xml:space="preserve">ביום תחילתו של חוק זה ועברו כלל מחויבויותיו וחובות העבר של בעלי </w:t>
            </w:r>
            <w:proofErr w:type="spellStart"/>
            <w:r>
              <w:rPr>
                <w:rFonts w:hint="cs"/>
                <w:rtl/>
              </w:rPr>
              <w:t>הרשיונות</w:t>
            </w:r>
            <w:proofErr w:type="spellEnd"/>
            <w:r>
              <w:rPr>
                <w:rFonts w:hint="cs"/>
                <w:rtl/>
              </w:rPr>
              <w:t xml:space="preserve"> הייעודיים לרבות </w:t>
            </w:r>
            <w:proofErr w:type="spellStart"/>
            <w:r>
              <w:rPr>
                <w:rFonts w:hint="cs"/>
                <w:rtl/>
              </w:rPr>
              <w:t>מכח</w:t>
            </w:r>
            <w:proofErr w:type="spellEnd"/>
            <w:r>
              <w:rPr>
                <w:rFonts w:hint="cs"/>
                <w:rtl/>
              </w:rPr>
              <w:t xml:space="preserve"> חוק התקשורת </w:t>
            </w:r>
            <w:proofErr w:type="spellStart"/>
            <w:r>
              <w:rPr>
                <w:rFonts w:hint="cs"/>
                <w:rtl/>
              </w:rPr>
              <w:t>ומכח</w:t>
            </w:r>
            <w:proofErr w:type="spellEnd"/>
            <w:r>
              <w:rPr>
                <w:rFonts w:hint="cs"/>
                <w:rtl/>
              </w:rPr>
              <w:t xml:space="preserve"> הרישיון הייעודי והרשות השנייה תקבע הסדרתם ומידית יחולו עליו הוראות חוק הרשות השנייה והוראת סעיף (ד) להלן.</w:t>
            </w:r>
          </w:p>
          <w:p w:rsidR="006A4A63" w:rsidRPr="00C34DE2" w:rsidRDefault="006A4A63" w:rsidP="00CB6874">
            <w:pPr>
              <w:pStyle w:val="TableBlock"/>
            </w:pPr>
          </w:p>
        </w:tc>
      </w:tr>
      <w:tr w:rsidR="006A4A63" w:rsidTr="00CB6874">
        <w:trPr>
          <w:cantSplit/>
          <w:trHeight w:val="60"/>
        </w:trPr>
        <w:tc>
          <w:tcPr>
            <w:tcW w:w="1891" w:type="dxa"/>
          </w:tcPr>
          <w:p w:rsidR="006A4A63" w:rsidRDefault="006A4A63" w:rsidP="00CB6874">
            <w:pPr>
              <w:pStyle w:val="TableSideHeading"/>
              <w:keepLines w:val="0"/>
              <w:rPr>
                <w:rtl/>
              </w:rPr>
            </w:pPr>
          </w:p>
        </w:tc>
        <w:tc>
          <w:tcPr>
            <w:tcW w:w="624" w:type="dxa"/>
          </w:tcPr>
          <w:p w:rsidR="006A4A63" w:rsidRDefault="006A4A63" w:rsidP="00CB6874">
            <w:pPr>
              <w:pStyle w:val="TableText"/>
            </w:pPr>
          </w:p>
        </w:tc>
        <w:tc>
          <w:tcPr>
            <w:tcW w:w="7146" w:type="dxa"/>
            <w:gridSpan w:val="5"/>
          </w:tcPr>
          <w:p w:rsidR="006A4A63" w:rsidRDefault="006A4A63" w:rsidP="006A4A63">
            <w:pPr>
              <w:pStyle w:val="TableBlock"/>
              <w:numPr>
                <w:ilvl w:val="0"/>
                <w:numId w:val="3"/>
              </w:numPr>
              <w:tabs>
                <w:tab w:val="left" w:pos="624"/>
              </w:tabs>
              <w:rPr>
                <w:rtl/>
              </w:rPr>
            </w:pPr>
            <w:r>
              <w:rPr>
                <w:rFonts w:hint="cs"/>
                <w:rtl/>
              </w:rPr>
              <w:t>על אף האמור בסעיף קטן (א) תחילתו של סעיף 6(2) ו- (3) לחוק זה ביום שפקע או בוטל הרישיון האחרון שהוענק בהתאם לסעיף 6לד1; המועצה תפרסם הודעה ברשומות על מועד הפקיעה או הביטול האמורים, לפי העניין;</w:t>
            </w:r>
          </w:p>
        </w:tc>
      </w:tr>
      <w:tr w:rsidR="006A4A63" w:rsidTr="00CB6874">
        <w:trPr>
          <w:cantSplit/>
          <w:trHeight w:val="60"/>
        </w:trPr>
        <w:tc>
          <w:tcPr>
            <w:tcW w:w="1891" w:type="dxa"/>
          </w:tcPr>
          <w:p w:rsidR="006A4A63" w:rsidRDefault="006A4A63" w:rsidP="00CB6874">
            <w:pPr>
              <w:pStyle w:val="TableSideHeading"/>
              <w:keepLines w:val="0"/>
              <w:rPr>
                <w:rtl/>
              </w:rPr>
            </w:pPr>
          </w:p>
        </w:tc>
        <w:tc>
          <w:tcPr>
            <w:tcW w:w="624" w:type="dxa"/>
          </w:tcPr>
          <w:p w:rsidR="006A4A63" w:rsidRDefault="006A4A63" w:rsidP="00CB6874">
            <w:pPr>
              <w:pStyle w:val="TableText"/>
            </w:pPr>
          </w:p>
        </w:tc>
        <w:tc>
          <w:tcPr>
            <w:tcW w:w="7146" w:type="dxa"/>
            <w:gridSpan w:val="5"/>
          </w:tcPr>
          <w:p w:rsidR="006A4A63" w:rsidRDefault="006A4A63" w:rsidP="006A4A63">
            <w:pPr>
              <w:pStyle w:val="TableBlock"/>
              <w:numPr>
                <w:ilvl w:val="0"/>
                <w:numId w:val="3"/>
              </w:numPr>
              <w:tabs>
                <w:tab w:val="left" w:pos="624"/>
              </w:tabs>
              <w:rPr>
                <w:rtl/>
              </w:rPr>
            </w:pPr>
            <w:r>
              <w:rPr>
                <w:rFonts w:hint="cs"/>
                <w:rtl/>
              </w:rPr>
              <w:t>החל מיום פרסומו של חוק זה  המועצה, כהגדרתה בסעיף 6א לחוק התקשורת, לא תעניק רישיונות ייעודים לפי סעיף 6לד1 ולא תאריך את תוקפו של רישיון ייעודי שניתן לפני פרסומו של חוק זה.</w:t>
            </w:r>
          </w:p>
        </w:tc>
      </w:tr>
    </w:tbl>
    <w:p w:rsidR="009812A9" w:rsidRPr="006A4A63" w:rsidRDefault="009812A9"/>
    <w:sectPr w:rsidR="009812A9" w:rsidRPr="006A4A63" w:rsidSect="005A1EE8">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MS Gothic"/>
    <w:panose1 w:val="02020609040205080304"/>
    <w:charset w:val="80"/>
    <w:family w:val="roman"/>
    <w:notTrueType/>
    <w:pitch w:val="fixed"/>
    <w:sig w:usb0="00000000"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4C18F4"/>
    <w:multiLevelType w:val="hybridMultilevel"/>
    <w:tmpl w:val="E83CFDAC"/>
    <w:lvl w:ilvl="0" w:tplc="B48CFDD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7693939"/>
    <w:multiLevelType w:val="hybridMultilevel"/>
    <w:tmpl w:val="FF10C686"/>
    <w:lvl w:ilvl="0" w:tplc="DF986AA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A1C782F"/>
    <w:multiLevelType w:val="hybridMultilevel"/>
    <w:tmpl w:val="DB8E881A"/>
    <w:lvl w:ilvl="0" w:tplc="78D8614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FF438C9"/>
    <w:multiLevelType w:val="hybridMultilevel"/>
    <w:tmpl w:val="4704E77A"/>
    <w:lvl w:ilvl="0" w:tplc="B954716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4"/>
  </w:num>
  <w:num w:numId="2">
    <w:abstractNumId w:val="3"/>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4A63"/>
    <w:rsid w:val="005A1EE8"/>
    <w:rsid w:val="00627BE1"/>
    <w:rsid w:val="006A4A63"/>
    <w:rsid w:val="007D2E5E"/>
    <w:rsid w:val="0090505F"/>
    <w:rsid w:val="009812A9"/>
    <w:rsid w:val="00A6450F"/>
    <w:rsid w:val="00C7651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5E6381B-73A0-4128-91C5-7716FA2F0D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A4A63"/>
    <w:pPr>
      <w:widowControl w:val="0"/>
      <w:autoSpaceDE w:val="0"/>
      <w:autoSpaceDN w:val="0"/>
      <w:bidi/>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rsid w:val="006A4A63"/>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TableText">
    <w:name w:val="Table Text"/>
    <w:basedOn w:val="a"/>
    <w:rsid w:val="006A4A63"/>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6A4A63"/>
  </w:style>
  <w:style w:type="paragraph" w:customStyle="1" w:styleId="TableBlock">
    <w:name w:val="Table Block"/>
    <w:basedOn w:val="TableText"/>
    <w:rsid w:val="006A4A63"/>
    <w:pPr>
      <w:ind w:right="0"/>
      <w:jc w:val="both"/>
    </w:pPr>
  </w:style>
  <w:style w:type="paragraph" w:customStyle="1" w:styleId="TableHead">
    <w:name w:val="Table Head"/>
    <w:basedOn w:val="TableText"/>
    <w:rsid w:val="006A4A63"/>
    <w:pPr>
      <w:ind w:right="0"/>
      <w:jc w:val="center"/>
    </w:pPr>
    <w:rPr>
      <w:b/>
      <w:bCs/>
    </w:rPr>
  </w:style>
  <w:style w:type="paragraph" w:customStyle="1" w:styleId="TableInnerSideHeading">
    <w:name w:val="Table InnerSideHeading"/>
    <w:basedOn w:val="TableSideHeading"/>
    <w:rsid w:val="006A4A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01608BB-FB2E-4F8D-803A-7CC0CF84120E}"/>
</file>

<file path=customXml/itemProps2.xml><?xml version="1.0" encoding="utf-8"?>
<ds:datastoreItem xmlns:ds="http://schemas.openxmlformats.org/officeDocument/2006/customXml" ds:itemID="{E065B4DF-2F12-4CE5-9A86-2EEA4E8C3804}"/>
</file>

<file path=customXml/itemProps3.xml><?xml version="1.0" encoding="utf-8"?>
<ds:datastoreItem xmlns:ds="http://schemas.openxmlformats.org/officeDocument/2006/customXml" ds:itemID="{32B4F8C9-AC2D-4E5B-A01F-B06AA95BE026}"/>
</file>

<file path=docProps/app.xml><?xml version="1.0" encoding="utf-8"?>
<Properties xmlns="http://schemas.openxmlformats.org/officeDocument/2006/extended-properties" xmlns:vt="http://schemas.openxmlformats.org/officeDocument/2006/docPropsVTypes">
  <Template>Normal.dotm</Template>
  <TotalTime>0</TotalTime>
  <Pages>4</Pages>
  <Words>722</Words>
  <Characters>3610</Characters>
  <Application>Microsoft Office Word</Application>
  <DocSecurity>0</DocSecurity>
  <Lines>30</Lines>
  <Paragraphs>8</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4324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‏‏משתמש Windows</dc:creator>
  <cp:keywords/>
  <dc:description/>
  <cp:lastModifiedBy>כוכי שבתאי</cp:lastModifiedBy>
  <cp:revision>2</cp:revision>
  <cp:lastPrinted>2018-01-01T05:59:00Z</cp:lastPrinted>
  <dcterms:created xsi:type="dcterms:W3CDTF">2018-01-01T06:19:00Z</dcterms:created>
  <dcterms:modified xsi:type="dcterms:W3CDTF">2018-01-01T06:19:00Z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2063282</vt:r8>
  </property>
</Properties>
</file>