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F6961A1" w14:textId="77777777" w:rsidR="002C2E29" w:rsidRPr="0000131B" w:rsidRDefault="004033D8" w:rsidP="00A443CF">
      <w:pPr>
        <w:pStyle w:val="HeadHatzaotHok"/>
        <w:jc w:val="right"/>
        <w:rPr>
          <w:b w:val="0"/>
          <w:bCs w:val="0"/>
          <w:szCs w:val="20"/>
        </w:rPr>
      </w:pPr>
      <w:bookmarkStart w:id="0" w:name="_GoBack"/>
      <w:bookmarkEnd w:id="0"/>
      <w:r w:rsidRPr="0000131B">
        <w:rPr>
          <w:rFonts w:hint="cs"/>
          <w:b w:val="0"/>
          <w:bCs w:val="0"/>
          <w:szCs w:val="20"/>
          <w:rtl/>
        </w:rPr>
        <w:t xml:space="preserve">מספר פנימי: </w:t>
      </w:r>
      <w:bookmarkStart w:id="1" w:name="LGS_Internal_ID"/>
      <w:r>
        <w:rPr>
          <w:rFonts w:hint="cs"/>
          <w:b w:val="0"/>
          <w:bCs w:val="0"/>
          <w:szCs w:val="20"/>
          <w:rtl/>
        </w:rPr>
        <w:t>2012644</w:t>
      </w:r>
      <w:bookmarkEnd w:id="1"/>
    </w:p>
    <w:p w14:paraId="7F6961A2" w14:textId="53D639AE" w:rsidR="00E13C27" w:rsidRPr="00DB7060" w:rsidRDefault="00E13C27" w:rsidP="00A443CF">
      <w:pPr>
        <w:pStyle w:val="HeadHatzaotHok"/>
        <w:rPr>
          <w:sz w:val="28"/>
          <w:szCs w:val="28"/>
          <w:rtl/>
        </w:rPr>
      </w:pPr>
      <w:r w:rsidRPr="00DB7060">
        <w:rPr>
          <w:rFonts w:hint="cs"/>
          <w:sz w:val="28"/>
          <w:szCs w:val="28"/>
          <w:rtl/>
        </w:rPr>
        <w:t xml:space="preserve">הכנסת </w:t>
      </w:r>
      <w:bookmarkStart w:id="2" w:name="LGS_Knesset_Num"/>
      <w:r>
        <w:rPr>
          <w:rFonts w:hint="cs"/>
          <w:sz w:val="28"/>
          <w:szCs w:val="28"/>
          <w:rtl/>
        </w:rPr>
        <w:t>העשרים</w:t>
      </w:r>
      <w:bookmarkEnd w:id="2"/>
    </w:p>
    <w:p w14:paraId="7F6961A3" w14:textId="77777777" w:rsidR="00E13C27" w:rsidRPr="00F67051" w:rsidRDefault="00E13C27" w:rsidP="00E13C27">
      <w:pPr>
        <w:rPr>
          <w:rFonts w:cs="David"/>
          <w:b/>
          <w:bCs/>
          <w:sz w:val="26"/>
          <w:szCs w:val="26"/>
          <w:rtl/>
        </w:rPr>
      </w:pPr>
    </w:p>
    <w:p w14:paraId="7F6961A6" w14:textId="77777777" w:rsidR="00E13C27" w:rsidRDefault="008F6665" w:rsidP="00930EFE">
      <w:pPr>
        <w:pStyle w:val="David"/>
        <w:spacing w:line="360" w:lineRule="auto"/>
        <w:ind w:left="3544"/>
        <w:rPr>
          <w:b/>
          <w:bCs/>
          <w:rtl/>
        </w:rPr>
      </w:pPr>
      <w:bookmarkStart w:id="3" w:name="LGS_Initiators_List"/>
      <w:r>
        <w:rPr>
          <w:b/>
          <w:bCs/>
          <w:rtl/>
        </w:rPr>
        <w:t>יוזמים:      חברי הכנסת</w:t>
      </w:r>
      <w:bookmarkEnd w:id="3"/>
      <w:r w:rsidR="00B35784" w:rsidRPr="00F67051">
        <w:rPr>
          <w:b/>
          <w:bCs/>
        </w:rPr>
        <w:tab/>
      </w:r>
      <w:bookmarkStart w:id="4" w:name="LGS_PM_Names"/>
      <w:r>
        <w:rPr>
          <w:rFonts w:hint="cs"/>
          <w:b/>
          <w:bCs/>
          <w:rtl/>
        </w:rPr>
        <w:t>נורית קורן</w:t>
      </w:r>
      <w:r>
        <w:br/>
      </w:r>
      <w:r>
        <w:rPr>
          <w:rFonts w:hint="cs"/>
          <w:b/>
          <w:bCs/>
          <w:rtl/>
        </w:rPr>
        <w:t xml:space="preserve"> </w:t>
      </w:r>
      <w:r>
        <w:tab/>
      </w:r>
      <w:r>
        <w:tab/>
      </w:r>
      <w:r>
        <w:tab/>
      </w:r>
      <w:r>
        <w:tab/>
      </w:r>
      <w:r>
        <w:rPr>
          <w:rFonts w:hint="cs"/>
          <w:b/>
          <w:bCs/>
          <w:rtl/>
        </w:rPr>
        <w:t>רועי פולקמן</w:t>
      </w:r>
      <w:r>
        <w:br/>
      </w:r>
      <w:r>
        <w:rPr>
          <w:rFonts w:hint="cs"/>
          <w:b/>
          <w:bCs/>
          <w:rtl/>
        </w:rPr>
        <w:t xml:space="preserve"> </w:t>
      </w:r>
      <w:r>
        <w:tab/>
      </w:r>
      <w:r>
        <w:tab/>
      </w:r>
      <w:r>
        <w:tab/>
      </w:r>
      <w:r>
        <w:tab/>
      </w:r>
      <w:r>
        <w:rPr>
          <w:rFonts w:hint="cs"/>
          <w:b/>
          <w:bCs/>
          <w:rtl/>
        </w:rPr>
        <w:t>אורי מקלב</w:t>
      </w:r>
      <w:r>
        <w:br/>
      </w:r>
      <w:r>
        <w:rPr>
          <w:rFonts w:hint="cs"/>
          <w:b/>
          <w:bCs/>
          <w:rtl/>
        </w:rPr>
        <w:t xml:space="preserve"> </w:t>
      </w:r>
      <w:r>
        <w:tab/>
      </w:r>
      <w:r>
        <w:tab/>
      </w:r>
      <w:r>
        <w:tab/>
      </w:r>
      <w:r>
        <w:tab/>
      </w:r>
      <w:r>
        <w:rPr>
          <w:rFonts w:hint="cs"/>
          <w:b/>
          <w:bCs/>
          <w:rtl/>
        </w:rPr>
        <w:t>שולי מועלם-רפאלי</w:t>
      </w:r>
      <w:bookmarkEnd w:id="4"/>
    </w:p>
    <w:p w14:paraId="7F6961AA" w14:textId="39F9D96B" w:rsidR="00E13C27" w:rsidRPr="00CF1AA2" w:rsidRDefault="007D585A" w:rsidP="0036422C">
      <w:pPr>
        <w:pStyle w:val="David"/>
        <w:spacing w:before="0" w:line="360" w:lineRule="auto"/>
        <w:ind w:left="3544"/>
        <w:rPr>
          <w:b/>
          <w:bCs/>
          <w:sz w:val="16"/>
          <w:szCs w:val="16"/>
          <w:rtl/>
        </w:rPr>
      </w:pPr>
      <w:bookmarkStart w:id="5" w:name="LGS_Join_List"/>
      <w:r>
        <w:rPr>
          <w:rtl/>
        </w:rPr>
        <w:t xml:space="preserve"> </w:t>
      </w:r>
      <w:bookmarkEnd w:id="5"/>
      <w:r w:rsidR="002200A1" w:rsidRPr="00CF1AA2">
        <w:rPr>
          <w:rFonts w:hint="cs"/>
          <w:rtl/>
        </w:rPr>
        <w:tab/>
      </w:r>
      <w:bookmarkStart w:id="6" w:name="LGS_PM_NamesJoin"/>
      <w:r>
        <w:rPr>
          <w:rFonts w:hint="cs"/>
          <w:rtl/>
        </w:rPr>
        <w:t xml:space="preserve"> </w:t>
      </w:r>
      <w:bookmarkEnd w:id="6"/>
    </w:p>
    <w:p w14:paraId="34DB4103" w14:textId="77777777" w:rsidR="00904591" w:rsidRPr="00904591" w:rsidRDefault="00266D86" w:rsidP="0036422C">
      <w:pPr>
        <w:pStyle w:val="David"/>
        <w:spacing w:before="0" w:line="360" w:lineRule="auto"/>
        <w:ind w:left="3544"/>
        <w:rPr>
          <w:sz w:val="4"/>
          <w:szCs w:val="4"/>
          <w:rtl/>
        </w:rPr>
      </w:pPr>
      <w:r>
        <w:t>____</w:t>
      </w:r>
      <w:r w:rsidR="00E374F2">
        <w:t>__</w:t>
      </w:r>
      <w:r>
        <w:t>________________________________________</w:t>
      </w:r>
      <w:r w:rsidR="00E06736" w:rsidRPr="00E06736">
        <w:tab/>
      </w:r>
      <w:r w:rsidR="00E13C27" w:rsidRPr="00E06736">
        <w:rPr>
          <w:rFonts w:hint="cs"/>
          <w:rtl/>
        </w:rPr>
        <w:tab/>
      </w:r>
      <w:r w:rsidR="00E13C27" w:rsidRPr="00E06736">
        <w:rPr>
          <w:rFonts w:hint="cs"/>
          <w:rtl/>
        </w:rPr>
        <w:tab/>
      </w:r>
      <w:r w:rsidR="00E13C27" w:rsidRPr="00E06736">
        <w:rPr>
          <w:rFonts w:hint="cs"/>
          <w:rtl/>
        </w:rPr>
        <w:tab/>
      </w:r>
      <w:r w:rsidR="00904591">
        <w:t xml:space="preserve">           </w:t>
      </w:r>
    </w:p>
    <w:p w14:paraId="7F6961AB" w14:textId="256138AA" w:rsidR="00E13C27" w:rsidRPr="00E06736" w:rsidRDefault="00904591" w:rsidP="00904591">
      <w:pPr>
        <w:pStyle w:val="David"/>
        <w:spacing w:before="0" w:line="240" w:lineRule="auto"/>
        <w:ind w:left="3544"/>
        <w:rPr>
          <w:rtl/>
        </w:rPr>
      </w:pPr>
      <w:r>
        <w:t xml:space="preserve">                                            </w:t>
      </w:r>
      <w:r w:rsidR="008F1308">
        <w:t xml:space="preserve"> </w:t>
      </w:r>
      <w:bookmarkStart w:id="7" w:name="Private_Number"/>
      <w:r>
        <w:rPr>
          <w:rFonts w:hint="cs"/>
          <w:rtl/>
        </w:rPr>
        <w:t>פ/4135/20</w:t>
      </w:r>
      <w:bookmarkEnd w:id="7"/>
    </w:p>
    <w:p w14:paraId="1DB12BE2" w14:textId="478789E9" w:rsidR="0009638D" w:rsidRPr="00F67051" w:rsidRDefault="004172F4" w:rsidP="0009638D">
      <w:pPr>
        <w:pStyle w:val="HeadHatzaotHok"/>
        <w:rPr>
          <w:rtl/>
        </w:rPr>
      </w:pPr>
      <w:r>
        <w:rPr>
          <w:sz w:val="26"/>
          <w:rtl/>
        </w:rPr>
        <w:tab/>
      </w:r>
      <w:r w:rsidR="0009638D">
        <w:rPr>
          <w:rFonts w:hint="cs"/>
          <w:rtl/>
        </w:rPr>
        <w:t xml:space="preserve">הצעת חוק גנים לאומיים, שמורות טבע, אתרים לאומיים ואתרי הנצחה (תיקון </w:t>
      </w:r>
      <w:r w:rsidR="0009638D">
        <w:rPr>
          <w:rFonts w:hint="eastAsia"/>
          <w:rtl/>
        </w:rPr>
        <w:t>– הגדרת גן לאומי עירוני</w:t>
      </w:r>
      <w:r w:rsidR="0009638D">
        <w:rPr>
          <w:rFonts w:hint="cs"/>
          <w:rtl/>
        </w:rPr>
        <w:t xml:space="preserve"> והגשת תכנית בני</w:t>
      </w:r>
      <w:r w:rsidR="00DC58D2">
        <w:rPr>
          <w:rFonts w:hint="cs"/>
          <w:rtl/>
        </w:rPr>
        <w:t>י</w:t>
      </w:r>
      <w:r w:rsidR="0009638D">
        <w:rPr>
          <w:rFonts w:hint="cs"/>
          <w:rtl/>
        </w:rPr>
        <w:t xml:space="preserve">ה למטרות מגורים), </w:t>
      </w:r>
      <w:proofErr w:type="spellStart"/>
      <w:r w:rsidR="0009638D">
        <w:rPr>
          <w:rFonts w:hint="cs"/>
          <w:rtl/>
        </w:rPr>
        <w:t>התשע"ז</w:t>
      </w:r>
      <w:proofErr w:type="spellEnd"/>
      <w:r w:rsidR="0009638D">
        <w:rPr>
          <w:rFonts w:hint="cs"/>
          <w:rtl/>
        </w:rPr>
        <w:t>–2017</w:t>
      </w:r>
    </w:p>
    <w:p w14:paraId="30ED402A" w14:textId="77777777" w:rsidR="0009638D" w:rsidRDefault="0009638D" w:rsidP="0009638D">
      <w:pPr>
        <w:pStyle w:val="HeadDivreiHesber"/>
        <w:spacing w:before="0" w:after="0"/>
        <w:rPr>
          <w:rtl/>
        </w:rPr>
      </w:pPr>
    </w:p>
    <w:tbl>
      <w:tblPr>
        <w:bidiVisual/>
        <w:tblW w:w="9638"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519"/>
      </w:tblGrid>
      <w:tr w:rsidR="0009638D" w:rsidRPr="003F55C3" w14:paraId="1FB38048" w14:textId="77777777" w:rsidTr="008C75E3">
        <w:trPr>
          <w:cantSplit/>
        </w:trPr>
        <w:tc>
          <w:tcPr>
            <w:tcW w:w="1871" w:type="dxa"/>
          </w:tcPr>
          <w:p w14:paraId="18C3548A" w14:textId="77777777" w:rsidR="0009638D" w:rsidRPr="00474909" w:rsidRDefault="0009638D" w:rsidP="00474909">
            <w:pPr>
              <w:pStyle w:val="TableSideHeading"/>
              <w:keepLines w:val="0"/>
              <w:rPr>
                <w:sz w:val="26"/>
              </w:rPr>
            </w:pPr>
            <w:r w:rsidRPr="00474909">
              <w:rPr>
                <w:rFonts w:hint="eastAsia"/>
                <w:sz w:val="26"/>
                <w:rtl/>
              </w:rPr>
              <w:t>תיקון</w:t>
            </w:r>
            <w:r w:rsidRPr="00474909">
              <w:rPr>
                <w:sz w:val="26"/>
                <w:rtl/>
              </w:rPr>
              <w:t xml:space="preserve"> </w:t>
            </w:r>
            <w:r w:rsidRPr="00474909">
              <w:rPr>
                <w:rFonts w:hint="eastAsia"/>
                <w:sz w:val="26"/>
                <w:rtl/>
              </w:rPr>
              <w:t>סעיף</w:t>
            </w:r>
            <w:r w:rsidRPr="00474909">
              <w:rPr>
                <w:sz w:val="26"/>
                <w:rtl/>
              </w:rPr>
              <w:t xml:space="preserve"> 1</w:t>
            </w:r>
          </w:p>
        </w:tc>
        <w:tc>
          <w:tcPr>
            <w:tcW w:w="624" w:type="dxa"/>
          </w:tcPr>
          <w:p w14:paraId="188EFE56" w14:textId="77777777" w:rsidR="0009638D" w:rsidRPr="003F55C3" w:rsidRDefault="0009638D" w:rsidP="00474909">
            <w:pPr>
              <w:pStyle w:val="TableText"/>
              <w:keepLines w:val="0"/>
              <w:rPr>
                <w:sz w:val="24"/>
                <w:szCs w:val="24"/>
              </w:rPr>
            </w:pPr>
            <w:r>
              <w:rPr>
                <w:rFonts w:hint="cs"/>
                <w:sz w:val="24"/>
                <w:szCs w:val="24"/>
                <w:rtl/>
              </w:rPr>
              <w:t>1.</w:t>
            </w:r>
          </w:p>
        </w:tc>
        <w:tc>
          <w:tcPr>
            <w:tcW w:w="7143" w:type="dxa"/>
            <w:gridSpan w:val="2"/>
          </w:tcPr>
          <w:p w14:paraId="40BFF8AB" w14:textId="77777777" w:rsidR="0009638D" w:rsidRPr="008C75E3" w:rsidRDefault="0009638D" w:rsidP="008C75E3">
            <w:pPr>
              <w:pStyle w:val="TableBlock"/>
            </w:pPr>
            <w:r w:rsidRPr="008C75E3">
              <w:rPr>
                <w:rtl/>
              </w:rPr>
              <w:t xml:space="preserve">בסעיף 1 לחוק גנים לאומיים, שמורות טבע, אתרים לאומיים ואתרי הנצחה, </w:t>
            </w:r>
            <w:proofErr w:type="spellStart"/>
            <w:r w:rsidRPr="008C75E3">
              <w:rPr>
                <w:rtl/>
              </w:rPr>
              <w:t>התשנ"ח</w:t>
            </w:r>
            <w:proofErr w:type="spellEnd"/>
            <w:r w:rsidRPr="008C75E3">
              <w:rPr>
                <w:rFonts w:hint="eastAsia"/>
                <w:rtl/>
              </w:rPr>
              <w:t>–</w:t>
            </w:r>
            <w:r w:rsidRPr="008C75E3">
              <w:rPr>
                <w:rtl/>
              </w:rPr>
              <w:t>1998</w:t>
            </w:r>
            <w:r w:rsidRPr="008C75E3">
              <w:rPr>
                <w:sz w:val="14"/>
                <w:szCs w:val="20"/>
                <w:rtl/>
              </w:rPr>
              <w:footnoteReference w:id="2"/>
            </w:r>
            <w:r w:rsidRPr="008C75E3">
              <w:rPr>
                <w:sz w:val="14"/>
                <w:szCs w:val="20"/>
                <w:rtl/>
              </w:rPr>
              <w:t xml:space="preserve"> </w:t>
            </w:r>
            <w:r w:rsidRPr="008C75E3">
              <w:rPr>
                <w:rtl/>
              </w:rPr>
              <w:t xml:space="preserve"> (להלן </w:t>
            </w:r>
            <w:r w:rsidRPr="008C75E3">
              <w:rPr>
                <w:rFonts w:hint="eastAsia"/>
                <w:rtl/>
              </w:rPr>
              <w:t>–</w:t>
            </w:r>
            <w:r w:rsidRPr="008C75E3">
              <w:rPr>
                <w:rtl/>
              </w:rPr>
              <w:t xml:space="preserve"> החוק</w:t>
            </w:r>
            <w:r w:rsidRPr="008C75E3">
              <w:rPr>
                <w:rFonts w:hint="cs"/>
                <w:rtl/>
              </w:rPr>
              <w:t xml:space="preserve"> העיקרי</w:t>
            </w:r>
            <w:r w:rsidRPr="008C75E3">
              <w:rPr>
                <w:rtl/>
              </w:rPr>
              <w:t xml:space="preserve">), </w:t>
            </w:r>
            <w:r w:rsidRPr="008C75E3">
              <w:rPr>
                <w:rFonts w:hint="cs"/>
                <w:rtl/>
              </w:rPr>
              <w:t>אחרי ההגדרה</w:t>
            </w:r>
            <w:r w:rsidRPr="008C75E3">
              <w:rPr>
                <w:rtl/>
              </w:rPr>
              <w:t xml:space="preserve"> "גן לאומי" </w:t>
            </w:r>
            <w:r w:rsidRPr="008C75E3">
              <w:rPr>
                <w:rFonts w:hint="cs"/>
                <w:rtl/>
              </w:rPr>
              <w:t>יבוא:</w:t>
            </w:r>
            <w:r w:rsidRPr="008C75E3">
              <w:rPr>
                <w:rtl/>
              </w:rPr>
              <w:t xml:space="preserve"> </w:t>
            </w:r>
          </w:p>
        </w:tc>
      </w:tr>
      <w:tr w:rsidR="0009638D" w:rsidRPr="003F55C3" w14:paraId="6F21E773" w14:textId="77777777" w:rsidTr="008C75E3">
        <w:trPr>
          <w:cantSplit/>
        </w:trPr>
        <w:tc>
          <w:tcPr>
            <w:tcW w:w="1871" w:type="dxa"/>
          </w:tcPr>
          <w:p w14:paraId="444CFA8F" w14:textId="77777777" w:rsidR="0009638D" w:rsidRPr="00401798" w:rsidRDefault="0009638D" w:rsidP="00474909">
            <w:pPr>
              <w:pStyle w:val="TableSideHeading"/>
              <w:keepLines w:val="0"/>
              <w:rPr>
                <w:sz w:val="26"/>
                <w:rtl/>
              </w:rPr>
            </w:pPr>
          </w:p>
        </w:tc>
        <w:tc>
          <w:tcPr>
            <w:tcW w:w="624" w:type="dxa"/>
          </w:tcPr>
          <w:p w14:paraId="583526D3" w14:textId="77777777" w:rsidR="0009638D" w:rsidRDefault="0009638D" w:rsidP="00474909">
            <w:pPr>
              <w:pStyle w:val="TableText"/>
              <w:keepLines w:val="0"/>
              <w:rPr>
                <w:sz w:val="24"/>
                <w:szCs w:val="24"/>
                <w:rtl/>
              </w:rPr>
            </w:pPr>
          </w:p>
        </w:tc>
        <w:tc>
          <w:tcPr>
            <w:tcW w:w="7143" w:type="dxa"/>
            <w:gridSpan w:val="2"/>
          </w:tcPr>
          <w:p w14:paraId="0A1F558E" w14:textId="77777777" w:rsidR="0009638D" w:rsidRPr="00474909" w:rsidRDefault="0009638D" w:rsidP="008C75E3">
            <w:pPr>
              <w:pStyle w:val="TableBlockOutdent"/>
              <w:rPr>
                <w:rtl/>
              </w:rPr>
            </w:pPr>
            <w:r w:rsidRPr="00474909">
              <w:rPr>
                <w:rtl/>
              </w:rPr>
              <w:t>"גן לאומי עירוני" – גן לאומי, או חלק מגן לאומי, המצוי בשטח עירוני וקיימת בו שכונת מגורים, והמשמש בעיקר להנצחת ערכים ארכיאולוגיים והיסטוריים, וערכים אלה מצויים בחלקם בתת הקרקע, ו</w:t>
            </w:r>
            <w:r>
              <w:rPr>
                <w:rFonts w:hint="cs"/>
                <w:rtl/>
              </w:rPr>
              <w:t>א</w:t>
            </w:r>
            <w:r w:rsidRPr="00474909">
              <w:rPr>
                <w:rtl/>
              </w:rPr>
              <w:t>ש</w:t>
            </w:r>
            <w:r>
              <w:rPr>
                <w:rFonts w:hint="cs"/>
                <w:rtl/>
              </w:rPr>
              <w:t xml:space="preserve">ר </w:t>
            </w:r>
            <w:r w:rsidRPr="00474909">
              <w:rPr>
                <w:rtl/>
              </w:rPr>
              <w:t>שר הפנים הכריז עליו כגן לאומי עירוני;</w:t>
            </w:r>
          </w:p>
        </w:tc>
      </w:tr>
      <w:tr w:rsidR="0009638D" w:rsidRPr="003F55C3" w14:paraId="509032A2" w14:textId="77777777" w:rsidTr="008C75E3">
        <w:trPr>
          <w:cantSplit/>
        </w:trPr>
        <w:tc>
          <w:tcPr>
            <w:tcW w:w="1871" w:type="dxa"/>
          </w:tcPr>
          <w:p w14:paraId="02B90FD5" w14:textId="77777777" w:rsidR="0009638D" w:rsidRPr="00474909" w:rsidRDefault="0009638D" w:rsidP="00474909">
            <w:pPr>
              <w:pStyle w:val="TableSideHeading"/>
              <w:keepLines w:val="0"/>
              <w:rPr>
                <w:sz w:val="26"/>
              </w:rPr>
            </w:pPr>
            <w:r>
              <w:rPr>
                <w:rFonts w:hint="cs"/>
                <w:sz w:val="26"/>
                <w:rtl/>
              </w:rPr>
              <w:t>תיקון</w:t>
            </w:r>
            <w:r w:rsidRPr="00474909">
              <w:rPr>
                <w:sz w:val="26"/>
                <w:rtl/>
              </w:rPr>
              <w:t xml:space="preserve"> </w:t>
            </w:r>
            <w:r w:rsidRPr="00474909">
              <w:rPr>
                <w:rFonts w:hint="eastAsia"/>
                <w:sz w:val="26"/>
                <w:rtl/>
              </w:rPr>
              <w:t>סעיף</w:t>
            </w:r>
            <w:r w:rsidRPr="00474909">
              <w:rPr>
                <w:sz w:val="26"/>
                <w:rtl/>
              </w:rPr>
              <w:t xml:space="preserve"> 25</w:t>
            </w:r>
          </w:p>
        </w:tc>
        <w:tc>
          <w:tcPr>
            <w:tcW w:w="624" w:type="dxa"/>
          </w:tcPr>
          <w:p w14:paraId="10A104F8" w14:textId="77777777" w:rsidR="0009638D" w:rsidRPr="003F55C3" w:rsidRDefault="0009638D" w:rsidP="00474909">
            <w:pPr>
              <w:pStyle w:val="TableText"/>
              <w:keepLines w:val="0"/>
              <w:rPr>
                <w:sz w:val="24"/>
                <w:szCs w:val="24"/>
              </w:rPr>
            </w:pPr>
            <w:r>
              <w:rPr>
                <w:rFonts w:hint="cs"/>
                <w:sz w:val="24"/>
                <w:szCs w:val="24"/>
                <w:rtl/>
              </w:rPr>
              <w:t>2.</w:t>
            </w:r>
          </w:p>
        </w:tc>
        <w:tc>
          <w:tcPr>
            <w:tcW w:w="7143" w:type="dxa"/>
            <w:gridSpan w:val="2"/>
          </w:tcPr>
          <w:p w14:paraId="0C48667B" w14:textId="77777777" w:rsidR="0009638D" w:rsidRPr="00474909" w:rsidRDefault="0009638D" w:rsidP="008C75E3">
            <w:pPr>
              <w:pStyle w:val="TableBlock"/>
              <w:rPr>
                <w:sz w:val="26"/>
              </w:rPr>
            </w:pPr>
            <w:r>
              <w:rPr>
                <w:rFonts w:hint="cs"/>
                <w:sz w:val="26"/>
                <w:rtl/>
                <w:lang w:eastAsia="he-IL"/>
              </w:rPr>
              <w:t xml:space="preserve">אחרי </w:t>
            </w:r>
            <w:r w:rsidRPr="00474909">
              <w:rPr>
                <w:rFonts w:hint="eastAsia"/>
                <w:sz w:val="26"/>
                <w:rtl/>
                <w:lang w:eastAsia="he-IL"/>
              </w:rPr>
              <w:t>סעיף</w:t>
            </w:r>
            <w:r w:rsidRPr="00474909">
              <w:rPr>
                <w:sz w:val="26"/>
                <w:rtl/>
                <w:lang w:eastAsia="he-IL"/>
              </w:rPr>
              <w:t xml:space="preserve"> 2</w:t>
            </w:r>
            <w:r>
              <w:rPr>
                <w:rFonts w:hint="cs"/>
                <w:sz w:val="26"/>
                <w:rtl/>
                <w:lang w:eastAsia="he-IL"/>
              </w:rPr>
              <w:t xml:space="preserve">5 לחוק העיקרי, אחרי סעיף קטן (א) </w:t>
            </w:r>
            <w:r w:rsidRPr="00474909">
              <w:rPr>
                <w:rFonts w:hint="eastAsia"/>
                <w:sz w:val="26"/>
                <w:rtl/>
                <w:lang w:eastAsia="he-IL"/>
              </w:rPr>
              <w:t>יבוא</w:t>
            </w:r>
            <w:r>
              <w:rPr>
                <w:rFonts w:hint="cs"/>
                <w:sz w:val="26"/>
                <w:rtl/>
                <w:lang w:eastAsia="he-IL"/>
              </w:rPr>
              <w:t>:</w:t>
            </w:r>
          </w:p>
        </w:tc>
      </w:tr>
      <w:tr w:rsidR="0009638D" w:rsidRPr="003F55C3" w14:paraId="504626BF" w14:textId="77777777" w:rsidTr="008C75E3">
        <w:trPr>
          <w:cantSplit/>
        </w:trPr>
        <w:tc>
          <w:tcPr>
            <w:tcW w:w="1871" w:type="dxa"/>
          </w:tcPr>
          <w:p w14:paraId="46F3424C" w14:textId="77777777" w:rsidR="0009638D" w:rsidRPr="003F55C3" w:rsidRDefault="0009638D" w:rsidP="00474909">
            <w:pPr>
              <w:pStyle w:val="TableSideHeading"/>
              <w:ind w:right="0"/>
              <w:rPr>
                <w:sz w:val="24"/>
                <w:szCs w:val="24"/>
              </w:rPr>
            </w:pPr>
          </w:p>
        </w:tc>
        <w:tc>
          <w:tcPr>
            <w:tcW w:w="624" w:type="dxa"/>
          </w:tcPr>
          <w:p w14:paraId="7D434874" w14:textId="77777777" w:rsidR="0009638D" w:rsidRPr="003F55C3" w:rsidRDefault="0009638D" w:rsidP="00474909">
            <w:pPr>
              <w:pStyle w:val="TableText"/>
              <w:ind w:right="0"/>
              <w:jc w:val="both"/>
              <w:rPr>
                <w:sz w:val="24"/>
                <w:szCs w:val="24"/>
              </w:rPr>
            </w:pPr>
          </w:p>
        </w:tc>
        <w:tc>
          <w:tcPr>
            <w:tcW w:w="624" w:type="dxa"/>
          </w:tcPr>
          <w:p w14:paraId="193F8B18" w14:textId="77777777" w:rsidR="0009638D" w:rsidRPr="008C75E3" w:rsidRDefault="0009638D" w:rsidP="008C75E3">
            <w:pPr>
              <w:pStyle w:val="TableText"/>
              <w:ind w:right="0"/>
              <w:jc w:val="both"/>
            </w:pPr>
            <w:r w:rsidRPr="008C75E3">
              <w:rPr>
                <w:rFonts w:hint="cs"/>
                <w:rtl/>
              </w:rPr>
              <w:t>"(א1)</w:t>
            </w:r>
          </w:p>
        </w:tc>
        <w:tc>
          <w:tcPr>
            <w:tcW w:w="6519" w:type="dxa"/>
          </w:tcPr>
          <w:p w14:paraId="35C7E26C" w14:textId="3E5D274F" w:rsidR="0009638D" w:rsidRPr="008C75E3" w:rsidRDefault="0009638D" w:rsidP="008C75E3">
            <w:pPr>
              <w:pStyle w:val="TableBlock"/>
            </w:pPr>
            <w:r w:rsidRPr="008C75E3">
              <w:rPr>
                <w:rtl/>
              </w:rPr>
              <w:t>(1</w:t>
            </w:r>
            <w:r w:rsidRPr="008C75E3">
              <w:rPr>
                <w:rFonts w:hint="cs"/>
                <w:rtl/>
              </w:rPr>
              <w:t>)</w:t>
            </w:r>
            <w:r w:rsidRPr="008C75E3">
              <w:rPr>
                <w:rtl/>
              </w:rPr>
              <w:tab/>
            </w:r>
            <w:r w:rsidRPr="008C75E3">
              <w:rPr>
                <w:rFonts w:hint="cs"/>
                <w:rtl/>
              </w:rPr>
              <w:t xml:space="preserve">על אף האמור </w:t>
            </w:r>
            <w:r w:rsidR="004172F4" w:rsidRPr="008C75E3">
              <w:rPr>
                <w:rFonts w:hint="cs"/>
                <w:rtl/>
              </w:rPr>
              <w:t>בכל דין</w:t>
            </w:r>
            <w:r w:rsidRPr="008C75E3">
              <w:rPr>
                <w:rFonts w:hint="cs"/>
                <w:rtl/>
              </w:rPr>
              <w:t>, בגן לאומי עירוני ניתן לאשר תכנית המייעדת שטחים לבנייה למטרות</w:t>
            </w:r>
            <w:r w:rsidR="004172F4" w:rsidRPr="008C75E3">
              <w:rPr>
                <w:rFonts w:hint="cs"/>
                <w:rtl/>
              </w:rPr>
              <w:t xml:space="preserve"> הגן או למטרות</w:t>
            </w:r>
            <w:r w:rsidRPr="008C75E3">
              <w:rPr>
                <w:rFonts w:hint="cs"/>
                <w:rtl/>
              </w:rPr>
              <w:t xml:space="preserve"> מגורים</w:t>
            </w:r>
            <w:r w:rsidRPr="008C75E3">
              <w:rPr>
                <w:rtl/>
              </w:rPr>
              <w:t>,</w:t>
            </w:r>
            <w:r w:rsidRPr="008C75E3">
              <w:rPr>
                <w:rFonts w:hint="cs"/>
                <w:rtl/>
              </w:rPr>
              <w:t xml:space="preserve"> ובלבד שניתן בתוכנית משקל הולם לשמירה ולמתן ייצוג בר קיימא לערכים ההיסטוריים והארכיאולוגיים הקיימים בגן הלאומי העירוני ולא יהיה בכך סיכול ייעודו של השטח כגן לאומי; לעניין סעיף זה, </w:t>
            </w:r>
            <w:r w:rsidRPr="008C75E3">
              <w:rPr>
                <w:rtl/>
              </w:rPr>
              <w:t xml:space="preserve">"תכנית" ו"מוסד תכנון" </w:t>
            </w:r>
            <w:r w:rsidRPr="008C75E3">
              <w:rPr>
                <w:rFonts w:hint="cs"/>
                <w:rtl/>
              </w:rPr>
              <w:t>–</w:t>
            </w:r>
            <w:r w:rsidRPr="008C75E3">
              <w:rPr>
                <w:rtl/>
              </w:rPr>
              <w:t xml:space="preserve"> כהגדרתם בחוק התכנון והבניה, </w:t>
            </w:r>
            <w:proofErr w:type="spellStart"/>
            <w:r w:rsidRPr="008C75E3">
              <w:rPr>
                <w:rFonts w:hint="cs"/>
                <w:rtl/>
              </w:rPr>
              <w:t>ה</w:t>
            </w:r>
            <w:r w:rsidRPr="008C75E3">
              <w:rPr>
                <w:rtl/>
              </w:rPr>
              <w:t>תשכ"ה</w:t>
            </w:r>
            <w:proofErr w:type="spellEnd"/>
            <w:r w:rsidRPr="008C75E3">
              <w:rPr>
                <w:rFonts w:hint="eastAsia"/>
                <w:rtl/>
              </w:rPr>
              <w:t>–</w:t>
            </w:r>
            <w:r w:rsidRPr="008C75E3">
              <w:rPr>
                <w:rtl/>
              </w:rPr>
              <w:t>1965</w:t>
            </w:r>
            <w:r w:rsidRPr="00272AF8">
              <w:rPr>
                <w:sz w:val="14"/>
                <w:szCs w:val="20"/>
                <w:rtl/>
              </w:rPr>
              <w:footnoteReference w:id="3"/>
            </w:r>
            <w:r w:rsidRPr="008C75E3">
              <w:rPr>
                <w:rFonts w:hint="cs"/>
                <w:rtl/>
              </w:rPr>
              <w:t>;</w:t>
            </w:r>
          </w:p>
        </w:tc>
      </w:tr>
      <w:tr w:rsidR="0009638D" w:rsidRPr="003F55C3" w14:paraId="35893003" w14:textId="77777777" w:rsidTr="008C75E3">
        <w:trPr>
          <w:cantSplit/>
        </w:trPr>
        <w:tc>
          <w:tcPr>
            <w:tcW w:w="1871" w:type="dxa"/>
          </w:tcPr>
          <w:p w14:paraId="2E493B3D" w14:textId="77777777" w:rsidR="0009638D" w:rsidRDefault="0009638D" w:rsidP="00474909">
            <w:pPr>
              <w:pStyle w:val="TableSideHeading"/>
              <w:ind w:right="0"/>
              <w:rPr>
                <w:sz w:val="24"/>
                <w:szCs w:val="24"/>
                <w:rtl/>
              </w:rPr>
            </w:pPr>
          </w:p>
        </w:tc>
        <w:tc>
          <w:tcPr>
            <w:tcW w:w="624" w:type="dxa"/>
          </w:tcPr>
          <w:p w14:paraId="4A72626F" w14:textId="77777777" w:rsidR="0009638D" w:rsidRPr="003F55C3" w:rsidRDefault="0009638D" w:rsidP="00474909">
            <w:pPr>
              <w:pStyle w:val="TableText"/>
            </w:pPr>
          </w:p>
        </w:tc>
        <w:tc>
          <w:tcPr>
            <w:tcW w:w="624" w:type="dxa"/>
          </w:tcPr>
          <w:p w14:paraId="21371CE9" w14:textId="77777777" w:rsidR="0009638D" w:rsidRPr="008C75E3" w:rsidRDefault="0009638D" w:rsidP="008C75E3">
            <w:pPr>
              <w:pStyle w:val="TableText"/>
              <w:ind w:right="0"/>
              <w:jc w:val="both"/>
              <w:rPr>
                <w:rtl/>
              </w:rPr>
            </w:pPr>
          </w:p>
        </w:tc>
        <w:tc>
          <w:tcPr>
            <w:tcW w:w="6519" w:type="dxa"/>
          </w:tcPr>
          <w:p w14:paraId="5A5CCF4A" w14:textId="77777777" w:rsidR="0009638D" w:rsidRPr="008C75E3" w:rsidRDefault="0009638D" w:rsidP="008C75E3">
            <w:pPr>
              <w:pStyle w:val="TableBlock"/>
              <w:rPr>
                <w:rtl/>
              </w:rPr>
            </w:pPr>
            <w:r w:rsidRPr="008C75E3">
              <w:rPr>
                <w:rFonts w:hint="cs"/>
                <w:rtl/>
              </w:rPr>
              <w:t>(2)</w:t>
            </w:r>
            <w:r w:rsidRPr="008C75E3">
              <w:rPr>
                <w:rtl/>
              </w:rPr>
              <w:tab/>
            </w:r>
            <w:r w:rsidRPr="008C75E3">
              <w:rPr>
                <w:rFonts w:hint="cs"/>
                <w:rtl/>
              </w:rPr>
              <w:t>בגן לאומי עירוני רשאית רשות הטבע והגנים לאצול סמכויות לפי חוק זה לרשות המקומית לשם הטיפול בתושבים ובצרכיהם."</w:t>
            </w:r>
          </w:p>
        </w:tc>
      </w:tr>
    </w:tbl>
    <w:p w14:paraId="7F6961CA" w14:textId="6B39B17E" w:rsidR="002D1EE3" w:rsidRDefault="002D1EE3" w:rsidP="005823BB">
      <w:pPr>
        <w:pStyle w:val="HeadDivreiHesber"/>
        <w:tabs>
          <w:tab w:val="left" w:pos="3330"/>
          <w:tab w:val="center" w:pos="4819"/>
        </w:tabs>
        <w:rPr>
          <w:rtl/>
        </w:rPr>
      </w:pPr>
      <w:r w:rsidRPr="0027450A">
        <w:rPr>
          <w:rFonts w:hint="cs"/>
          <w:rtl/>
        </w:rPr>
        <w:t>דברי הסבר</w:t>
      </w:r>
    </w:p>
    <w:p w14:paraId="7CC3C937" w14:textId="36BDDBBC" w:rsidR="00283339" w:rsidRPr="00E93CA7" w:rsidRDefault="00283339" w:rsidP="00272AF8">
      <w:pPr>
        <w:pStyle w:val="Hesber"/>
        <w:rPr>
          <w:rtl/>
        </w:rPr>
      </w:pPr>
      <w:r w:rsidRPr="00E93CA7">
        <w:rPr>
          <w:rFonts w:hint="cs"/>
          <w:rtl/>
        </w:rPr>
        <w:t xml:space="preserve">חוק גנים לאומיים, שמורות טבע, אתרים לאומיים ואתרי הנצחה, </w:t>
      </w:r>
      <w:proofErr w:type="spellStart"/>
      <w:r w:rsidR="00272AF8">
        <w:rPr>
          <w:rFonts w:hint="cs"/>
          <w:rtl/>
        </w:rPr>
        <w:t>ה</w:t>
      </w:r>
      <w:r w:rsidRPr="00E93CA7">
        <w:rPr>
          <w:rFonts w:hint="cs"/>
          <w:rtl/>
        </w:rPr>
        <w:t>תשנ"ח</w:t>
      </w:r>
      <w:proofErr w:type="spellEnd"/>
      <w:r w:rsidR="00272AF8">
        <w:rPr>
          <w:rFonts w:hint="eastAsia"/>
          <w:rtl/>
        </w:rPr>
        <w:t>–</w:t>
      </w:r>
      <w:r w:rsidRPr="00E93CA7">
        <w:rPr>
          <w:rFonts w:hint="cs"/>
          <w:rtl/>
        </w:rPr>
        <w:t>1998 תיקן את הוראותיו של חוק גנים לאומיים ושמורות טבע</w:t>
      </w:r>
      <w:r w:rsidR="00272AF8">
        <w:rPr>
          <w:rFonts w:hint="cs"/>
          <w:rtl/>
        </w:rPr>
        <w:t>,</w:t>
      </w:r>
      <w:r w:rsidRPr="00E93CA7">
        <w:rPr>
          <w:rFonts w:hint="cs"/>
          <w:rtl/>
        </w:rPr>
        <w:t xml:space="preserve"> </w:t>
      </w:r>
      <w:proofErr w:type="spellStart"/>
      <w:r w:rsidRPr="00E93CA7">
        <w:rPr>
          <w:rFonts w:hint="cs"/>
          <w:rtl/>
        </w:rPr>
        <w:t>התשכ"ג</w:t>
      </w:r>
      <w:proofErr w:type="spellEnd"/>
      <w:r w:rsidR="00272AF8">
        <w:rPr>
          <w:rFonts w:hint="eastAsia"/>
          <w:rtl/>
        </w:rPr>
        <w:t>–</w:t>
      </w:r>
      <w:r w:rsidRPr="00E93CA7">
        <w:rPr>
          <w:rFonts w:hint="cs"/>
          <w:rtl/>
        </w:rPr>
        <w:t xml:space="preserve">1963, אך מטרת החוק המקורי נותרה בעינה. </w:t>
      </w:r>
    </w:p>
    <w:p w14:paraId="7E0B3205" w14:textId="528CF3CE" w:rsidR="00283339" w:rsidRPr="00E93CA7" w:rsidRDefault="00283339" w:rsidP="00272AF8">
      <w:pPr>
        <w:pStyle w:val="Hesber"/>
        <w:rPr>
          <w:rtl/>
        </w:rPr>
      </w:pPr>
      <w:r w:rsidRPr="00E93CA7">
        <w:rPr>
          <w:rFonts w:hint="cs"/>
          <w:rtl/>
        </w:rPr>
        <w:lastRenderedPageBreak/>
        <w:t>בעת חקיקת חוק גנים לאומיים ושמורות טבע</w:t>
      </w:r>
      <w:r w:rsidR="00272AF8">
        <w:rPr>
          <w:rFonts w:hint="cs"/>
          <w:rtl/>
        </w:rPr>
        <w:t>,</w:t>
      </w:r>
      <w:r w:rsidRPr="00E93CA7">
        <w:rPr>
          <w:rFonts w:hint="cs"/>
          <w:rtl/>
        </w:rPr>
        <w:t xml:space="preserve"> </w:t>
      </w:r>
      <w:proofErr w:type="spellStart"/>
      <w:r w:rsidRPr="00E93CA7">
        <w:rPr>
          <w:rFonts w:hint="cs"/>
          <w:rtl/>
        </w:rPr>
        <w:t>התשכ"ג</w:t>
      </w:r>
      <w:proofErr w:type="spellEnd"/>
      <w:r w:rsidR="00272AF8">
        <w:rPr>
          <w:rFonts w:hint="eastAsia"/>
          <w:rtl/>
        </w:rPr>
        <w:t>–</w:t>
      </w:r>
      <w:r w:rsidRPr="00E93CA7">
        <w:rPr>
          <w:rFonts w:hint="cs"/>
          <w:rtl/>
        </w:rPr>
        <w:t>1963,  עמד לנגד עיני המחוקק הצורך להגן על השטחים הפתוחים במדינת ישראל ולייצר שטחי נופש טבעי, כאמור בדברי ההסבר לחוק:</w:t>
      </w:r>
    </w:p>
    <w:p w14:paraId="0E8AF184" w14:textId="77777777" w:rsidR="00283339" w:rsidRPr="00E93CA7" w:rsidRDefault="00283339" w:rsidP="004172F4">
      <w:pPr>
        <w:pStyle w:val="Hesber"/>
        <w:rPr>
          <w:rtl/>
        </w:rPr>
      </w:pPr>
      <w:r w:rsidRPr="00E93CA7">
        <w:rPr>
          <w:rFonts w:hint="cs"/>
          <w:rtl/>
        </w:rPr>
        <w:t xml:space="preserve">"קיומם של מרכזי אוכלוסין גדולים וצפופים מחייב לדאוג בעוד מועד ליעוד שטחים מתאימים לגנים לאומיים ולהכשרתם כמקומות נופש...צורך אחר הוא השמירה על ערכי טבע ונוף, הצמח והחי שיש בהם ענין של מדע ושל נוי...מאחר שגם גנים לאומיים וגם שמורות טבע מוקמים, דרך כלל, במקומות שאינם מיושבים עדיין...". </w:t>
      </w:r>
    </w:p>
    <w:p w14:paraId="036006A2" w14:textId="77777777" w:rsidR="00283339" w:rsidRPr="00E93CA7" w:rsidRDefault="00283339" w:rsidP="004172F4">
      <w:pPr>
        <w:pStyle w:val="Hesber"/>
        <w:rPr>
          <w:rtl/>
        </w:rPr>
      </w:pPr>
      <w:r w:rsidRPr="00E93CA7">
        <w:rPr>
          <w:rFonts w:hint="eastAsia"/>
          <w:rtl/>
        </w:rPr>
        <w:t>החוק</w:t>
      </w:r>
      <w:r w:rsidRPr="00E93CA7">
        <w:rPr>
          <w:rtl/>
        </w:rPr>
        <w:t xml:space="preserve"> משנת 1963 </w:t>
      </w:r>
      <w:r w:rsidRPr="00E93CA7">
        <w:rPr>
          <w:rFonts w:hint="eastAsia"/>
          <w:rtl/>
        </w:rPr>
        <w:t>לא</w:t>
      </w:r>
      <w:r w:rsidRPr="00E93CA7">
        <w:rPr>
          <w:rtl/>
        </w:rPr>
        <w:t xml:space="preserve"> נתן מענה לגן לאומי המצוי בתוך, או שמצוי בתוכו, </w:t>
      </w:r>
      <w:r w:rsidRPr="00E93CA7">
        <w:rPr>
          <w:rFonts w:hint="eastAsia"/>
          <w:rtl/>
        </w:rPr>
        <w:t>מרכז</w:t>
      </w:r>
      <w:r w:rsidRPr="00E93CA7">
        <w:rPr>
          <w:rtl/>
        </w:rPr>
        <w:t xml:space="preserve"> אוכלוסין גדול וצפוף. </w:t>
      </w:r>
      <w:r w:rsidRPr="00E93CA7">
        <w:rPr>
          <w:rFonts w:hint="eastAsia"/>
          <w:rtl/>
        </w:rPr>
        <w:t>המחוקק</w:t>
      </w:r>
      <w:r w:rsidRPr="00E93CA7">
        <w:rPr>
          <w:rtl/>
        </w:rPr>
        <w:t xml:space="preserve"> לא נתן מענה לצורך לאפשר קיום של שכונת מגורים </w:t>
      </w:r>
      <w:r w:rsidRPr="00E93CA7">
        <w:rPr>
          <w:rFonts w:hint="eastAsia"/>
          <w:rtl/>
        </w:rPr>
        <w:t>וגן</w:t>
      </w:r>
      <w:r w:rsidRPr="00E93CA7">
        <w:rPr>
          <w:rtl/>
        </w:rPr>
        <w:t xml:space="preserve"> </w:t>
      </w:r>
      <w:r w:rsidRPr="00E93CA7">
        <w:rPr>
          <w:rFonts w:hint="eastAsia"/>
          <w:rtl/>
        </w:rPr>
        <w:t>לאומי</w:t>
      </w:r>
      <w:r w:rsidRPr="00E93CA7">
        <w:rPr>
          <w:rtl/>
        </w:rPr>
        <w:t xml:space="preserve"> השזורים זה בזה. </w:t>
      </w:r>
      <w:r w:rsidRPr="00E93CA7">
        <w:rPr>
          <w:rFonts w:hint="eastAsia"/>
          <w:rtl/>
        </w:rPr>
        <w:t>שימור</w:t>
      </w:r>
      <w:r w:rsidRPr="00E93CA7">
        <w:rPr>
          <w:rtl/>
        </w:rPr>
        <w:t xml:space="preserve"> </w:t>
      </w:r>
      <w:r w:rsidRPr="00E93CA7">
        <w:rPr>
          <w:rFonts w:hint="eastAsia"/>
          <w:rtl/>
        </w:rPr>
        <w:t>של</w:t>
      </w:r>
      <w:r w:rsidRPr="00E93CA7">
        <w:rPr>
          <w:rtl/>
        </w:rPr>
        <w:t xml:space="preserve"> </w:t>
      </w:r>
      <w:r w:rsidRPr="00E93CA7">
        <w:rPr>
          <w:rFonts w:hint="eastAsia"/>
          <w:rtl/>
        </w:rPr>
        <w:t>ערכי</w:t>
      </w:r>
      <w:r w:rsidRPr="00E93CA7">
        <w:rPr>
          <w:rtl/>
        </w:rPr>
        <w:t xml:space="preserve"> </w:t>
      </w:r>
      <w:r w:rsidRPr="00E93CA7">
        <w:rPr>
          <w:rFonts w:hint="eastAsia"/>
          <w:rtl/>
        </w:rPr>
        <w:t>טבע</w:t>
      </w:r>
      <w:r w:rsidRPr="00E93CA7">
        <w:rPr>
          <w:rtl/>
        </w:rPr>
        <w:t xml:space="preserve"> </w:t>
      </w:r>
      <w:r w:rsidRPr="00E93CA7">
        <w:rPr>
          <w:rFonts w:hint="eastAsia"/>
          <w:rtl/>
        </w:rPr>
        <w:t>ונוף</w:t>
      </w:r>
      <w:r w:rsidRPr="00E93CA7">
        <w:rPr>
          <w:rtl/>
        </w:rPr>
        <w:t xml:space="preserve">, </w:t>
      </w:r>
      <w:r w:rsidRPr="00E93CA7">
        <w:rPr>
          <w:rFonts w:hint="eastAsia"/>
          <w:rtl/>
        </w:rPr>
        <w:t>הצמח</w:t>
      </w:r>
      <w:r w:rsidRPr="00E93CA7">
        <w:rPr>
          <w:rtl/>
        </w:rPr>
        <w:t xml:space="preserve"> </w:t>
      </w:r>
      <w:r w:rsidRPr="00E93CA7">
        <w:rPr>
          <w:rFonts w:hint="eastAsia"/>
          <w:rtl/>
        </w:rPr>
        <w:t>והחי</w:t>
      </w:r>
      <w:r w:rsidRPr="00E93CA7">
        <w:rPr>
          <w:rtl/>
        </w:rPr>
        <w:t xml:space="preserve">, </w:t>
      </w:r>
      <w:r w:rsidRPr="00E93CA7">
        <w:rPr>
          <w:rFonts w:hint="eastAsia"/>
          <w:rtl/>
        </w:rPr>
        <w:t>שיש</w:t>
      </w:r>
      <w:r w:rsidRPr="00E93CA7">
        <w:rPr>
          <w:rtl/>
        </w:rPr>
        <w:t xml:space="preserve"> </w:t>
      </w:r>
      <w:r w:rsidRPr="00E93CA7">
        <w:rPr>
          <w:rFonts w:hint="eastAsia"/>
          <w:rtl/>
        </w:rPr>
        <w:t>בהם</w:t>
      </w:r>
      <w:r w:rsidRPr="00E93CA7">
        <w:rPr>
          <w:rtl/>
        </w:rPr>
        <w:t xml:space="preserve"> </w:t>
      </w:r>
      <w:r w:rsidRPr="00E93CA7">
        <w:rPr>
          <w:rFonts w:hint="eastAsia"/>
          <w:rtl/>
        </w:rPr>
        <w:t>עניין</w:t>
      </w:r>
      <w:r w:rsidRPr="00E93CA7">
        <w:rPr>
          <w:rtl/>
        </w:rPr>
        <w:t xml:space="preserve"> </w:t>
      </w:r>
      <w:r w:rsidRPr="00E93CA7">
        <w:rPr>
          <w:rFonts w:hint="eastAsia"/>
          <w:rtl/>
        </w:rPr>
        <w:t>של</w:t>
      </w:r>
      <w:r w:rsidRPr="00E93CA7">
        <w:rPr>
          <w:rtl/>
        </w:rPr>
        <w:t xml:space="preserve"> </w:t>
      </w:r>
      <w:r w:rsidRPr="00E93CA7">
        <w:rPr>
          <w:rFonts w:hint="eastAsia"/>
          <w:rtl/>
        </w:rPr>
        <w:t>מדע</w:t>
      </w:r>
      <w:r w:rsidRPr="00E93CA7">
        <w:rPr>
          <w:rtl/>
        </w:rPr>
        <w:t xml:space="preserve">, </w:t>
      </w:r>
      <w:r w:rsidRPr="00E93CA7">
        <w:rPr>
          <w:rFonts w:hint="eastAsia"/>
          <w:rtl/>
        </w:rPr>
        <w:t>ארכיאולוגיה</w:t>
      </w:r>
      <w:r w:rsidRPr="00E93CA7">
        <w:rPr>
          <w:rtl/>
        </w:rPr>
        <w:t xml:space="preserve"> </w:t>
      </w:r>
      <w:r w:rsidRPr="00E93CA7">
        <w:rPr>
          <w:rFonts w:hint="eastAsia"/>
          <w:rtl/>
        </w:rPr>
        <w:t>ושל</w:t>
      </w:r>
      <w:r w:rsidRPr="00E93CA7">
        <w:rPr>
          <w:rtl/>
        </w:rPr>
        <w:t xml:space="preserve"> </w:t>
      </w:r>
      <w:r w:rsidRPr="00E93CA7">
        <w:rPr>
          <w:rFonts w:hint="eastAsia"/>
          <w:rtl/>
        </w:rPr>
        <w:t>נוי</w:t>
      </w:r>
      <w:r w:rsidRPr="00E93CA7">
        <w:rPr>
          <w:rtl/>
        </w:rPr>
        <w:t xml:space="preserve">, לצד שמירה על ערכים וזכויות הכרוכות בשכונת מגורים ושל </w:t>
      </w:r>
      <w:r w:rsidRPr="00E93CA7">
        <w:rPr>
          <w:rFonts w:hint="eastAsia"/>
          <w:rtl/>
        </w:rPr>
        <w:t>תושביה</w:t>
      </w:r>
      <w:r w:rsidRPr="00E93CA7">
        <w:rPr>
          <w:rtl/>
        </w:rPr>
        <w:t xml:space="preserve">. </w:t>
      </w:r>
      <w:r w:rsidRPr="00E93CA7">
        <w:rPr>
          <w:rFonts w:hint="eastAsia"/>
          <w:rtl/>
        </w:rPr>
        <w:t>המחוקק</w:t>
      </w:r>
      <w:r w:rsidRPr="00E93CA7">
        <w:rPr>
          <w:rtl/>
        </w:rPr>
        <w:t xml:space="preserve"> הותיר מחוץ להוראות החוק גן לאומי הממוקם בתוך שכונת מגורים או שכונת מגורים הממוקמת בתוך גן לאומי. </w:t>
      </w:r>
      <w:r w:rsidRPr="00E93CA7">
        <w:rPr>
          <w:rFonts w:hint="eastAsia"/>
          <w:rtl/>
        </w:rPr>
        <w:t>מציאות</w:t>
      </w:r>
      <w:r w:rsidRPr="00E93CA7">
        <w:rPr>
          <w:rtl/>
        </w:rPr>
        <w:t xml:space="preserve"> </w:t>
      </w:r>
      <w:r w:rsidRPr="00E93CA7">
        <w:rPr>
          <w:rFonts w:hint="eastAsia"/>
          <w:rtl/>
        </w:rPr>
        <w:t>מורכבת</w:t>
      </w:r>
      <w:r w:rsidRPr="00E93CA7">
        <w:rPr>
          <w:rtl/>
        </w:rPr>
        <w:t xml:space="preserve"> </w:t>
      </w:r>
      <w:r w:rsidRPr="00E93CA7">
        <w:rPr>
          <w:rFonts w:hint="eastAsia"/>
          <w:rtl/>
        </w:rPr>
        <w:t>זו</w:t>
      </w:r>
      <w:r w:rsidRPr="00E93CA7">
        <w:rPr>
          <w:rtl/>
        </w:rPr>
        <w:t xml:space="preserve">, </w:t>
      </w:r>
      <w:r w:rsidRPr="00E93CA7">
        <w:rPr>
          <w:rFonts w:hint="eastAsia"/>
          <w:rtl/>
        </w:rPr>
        <w:t>של</w:t>
      </w:r>
      <w:r w:rsidRPr="00E93CA7">
        <w:rPr>
          <w:rtl/>
        </w:rPr>
        <w:t xml:space="preserve"> </w:t>
      </w:r>
      <w:r w:rsidRPr="00E93CA7">
        <w:rPr>
          <w:rFonts w:hint="eastAsia"/>
          <w:rtl/>
        </w:rPr>
        <w:t>גן</w:t>
      </w:r>
      <w:r w:rsidRPr="00E93CA7">
        <w:rPr>
          <w:rtl/>
        </w:rPr>
        <w:t xml:space="preserve"> </w:t>
      </w:r>
      <w:r w:rsidRPr="00E93CA7">
        <w:rPr>
          <w:rFonts w:hint="eastAsia"/>
          <w:rtl/>
        </w:rPr>
        <w:t>לאומי</w:t>
      </w:r>
      <w:r w:rsidRPr="00E93CA7">
        <w:rPr>
          <w:rtl/>
        </w:rPr>
        <w:t xml:space="preserve"> </w:t>
      </w:r>
      <w:r w:rsidRPr="00E93CA7">
        <w:rPr>
          <w:rFonts w:hint="eastAsia"/>
          <w:rtl/>
        </w:rPr>
        <w:t>ושכונת</w:t>
      </w:r>
      <w:r w:rsidRPr="00E93CA7">
        <w:rPr>
          <w:rtl/>
        </w:rPr>
        <w:t xml:space="preserve"> </w:t>
      </w:r>
      <w:r w:rsidRPr="00E93CA7">
        <w:rPr>
          <w:rFonts w:hint="eastAsia"/>
          <w:rtl/>
        </w:rPr>
        <w:t>מגורים</w:t>
      </w:r>
      <w:r w:rsidRPr="00E93CA7">
        <w:rPr>
          <w:rtl/>
        </w:rPr>
        <w:t xml:space="preserve"> השזורים זה בזה, מביאה למצב מורכב בו נפגעים </w:t>
      </w:r>
      <w:r w:rsidRPr="00E93CA7">
        <w:rPr>
          <w:rFonts w:hint="eastAsia"/>
          <w:rtl/>
        </w:rPr>
        <w:t>השכונה</w:t>
      </w:r>
      <w:r w:rsidRPr="00E93CA7">
        <w:rPr>
          <w:rtl/>
        </w:rPr>
        <w:t xml:space="preserve"> </w:t>
      </w:r>
      <w:r w:rsidRPr="00E93CA7">
        <w:rPr>
          <w:rFonts w:hint="eastAsia"/>
          <w:rtl/>
        </w:rPr>
        <w:t>וה</w:t>
      </w:r>
      <w:r w:rsidRPr="00E93CA7">
        <w:rPr>
          <w:rFonts w:hint="cs"/>
          <w:rtl/>
        </w:rPr>
        <w:t xml:space="preserve">גן: </w:t>
      </w:r>
    </w:p>
    <w:p w14:paraId="15EB38BD" w14:textId="04721290" w:rsidR="00283339" w:rsidRPr="00E93CA7" w:rsidRDefault="00283339" w:rsidP="004172F4">
      <w:pPr>
        <w:pStyle w:val="Hesber"/>
        <w:rPr>
          <w:rtl/>
        </w:rPr>
      </w:pPr>
      <w:r w:rsidRPr="00E93CA7">
        <w:rPr>
          <w:rFonts w:hint="eastAsia"/>
          <w:rtl/>
        </w:rPr>
        <w:t>מחד</w:t>
      </w:r>
      <w:r w:rsidR="00272AF8">
        <w:rPr>
          <w:rFonts w:hint="cs"/>
          <w:rtl/>
        </w:rPr>
        <w:t>,</w:t>
      </w:r>
      <w:r w:rsidRPr="00E93CA7">
        <w:rPr>
          <w:rtl/>
        </w:rPr>
        <w:t xml:space="preserve"> לא ניתן להסדיר את מבני השכונה, לא ניתן לאפשר פיתוח </w:t>
      </w:r>
      <w:r w:rsidRPr="00E93CA7">
        <w:rPr>
          <w:rFonts w:hint="eastAsia"/>
          <w:rtl/>
        </w:rPr>
        <w:t>הכרחי</w:t>
      </w:r>
      <w:r w:rsidRPr="00E93CA7">
        <w:rPr>
          <w:rFonts w:hint="cs"/>
          <w:rtl/>
        </w:rPr>
        <w:t xml:space="preserve"> בתוך השטח המבונה. לא ניתן להקים גני ילדים, בתי ספר, מבני דת, ושאר מבני ציבור הנדרשים בשכונת מגורים. לא ניתן לפתח תשתיות לרבות תשתיות תחבורה הנדרשות גם לצורך הגן הלאומי, וזכויות היסוד של תושבי השכונה נפגעות. </w:t>
      </w:r>
    </w:p>
    <w:p w14:paraId="7BEC73DD" w14:textId="77777777" w:rsidR="00283339" w:rsidRPr="00E93CA7" w:rsidRDefault="00283339" w:rsidP="004172F4">
      <w:pPr>
        <w:pStyle w:val="Hesber"/>
        <w:rPr>
          <w:rtl/>
        </w:rPr>
      </w:pPr>
      <w:r w:rsidRPr="00E93CA7">
        <w:rPr>
          <w:rFonts w:hint="cs"/>
          <w:rtl/>
        </w:rPr>
        <w:t xml:space="preserve">מאידך, הגן הלאומי עצמו נפגע מבניה בלתי חוקית הנעשית בשכונה על ידי תושביה. ערכי הטבע והנוף, הצמח והחי שהגן נועד לשמר נפגעים. ערכים היסטוריים וארכיאולוגיים נפגעים פעמים רבות באופן בלתי הפיך. האינטרס הציבורי, להבדיל מהאינטרס הפרטי של תושבי השכונה, בהגנה על הגן הלאומי על ערכיו נרמס. </w:t>
      </w:r>
    </w:p>
    <w:p w14:paraId="3925D0E2" w14:textId="18DD197C" w:rsidR="00283339" w:rsidRPr="00E93CA7" w:rsidRDefault="00283339" w:rsidP="004172F4">
      <w:pPr>
        <w:pStyle w:val="Hesber"/>
        <w:rPr>
          <w:rtl/>
        </w:rPr>
      </w:pPr>
      <w:r w:rsidRPr="00E93CA7">
        <w:rPr>
          <w:rFonts w:hint="cs"/>
          <w:rtl/>
        </w:rPr>
        <w:t xml:space="preserve">מוצע </w:t>
      </w:r>
      <w:r w:rsidR="00BF50EF" w:rsidRPr="00E93CA7">
        <w:rPr>
          <w:rFonts w:hint="cs"/>
          <w:rtl/>
        </w:rPr>
        <w:t>א</w:t>
      </w:r>
      <w:r w:rsidR="00BF50EF">
        <w:rPr>
          <w:rFonts w:hint="cs"/>
          <w:rtl/>
        </w:rPr>
        <w:t xml:space="preserve">פוא </w:t>
      </w:r>
      <w:r w:rsidRPr="00E93CA7">
        <w:rPr>
          <w:rFonts w:hint="cs"/>
          <w:rtl/>
        </w:rPr>
        <w:t>לקבוע בחוק הגדרה חדשה: "גן לאומי עירוני" בו ניתן יהיה לבנות לצורך שכונת המגורים אך ורק בתוך השטחים המהווים חלק משכונת המגורים הקיימת כבר בגן הלאומי, זאת תוך שי</w:t>
      </w:r>
      <w:r w:rsidR="00BF50EF">
        <w:rPr>
          <w:rFonts w:hint="cs"/>
          <w:rtl/>
        </w:rPr>
        <w:t>י</w:t>
      </w:r>
      <w:r w:rsidRPr="00E93CA7">
        <w:rPr>
          <w:rFonts w:hint="cs"/>
          <w:rtl/>
        </w:rPr>
        <w:t xml:space="preserve">נתן בתוכנית הבינוי משקל הולם לשמירה ולמתן ייצוג בר קיימא לערכים ההיסטוריים והארכיאולוגיים </w:t>
      </w:r>
      <w:r>
        <w:rPr>
          <w:rFonts w:hint="cs"/>
          <w:rtl/>
        </w:rPr>
        <w:t>הקיימים</w:t>
      </w:r>
      <w:r w:rsidRPr="00E93CA7">
        <w:rPr>
          <w:rFonts w:hint="cs"/>
          <w:rtl/>
        </w:rPr>
        <w:t xml:space="preserve"> בגן. </w:t>
      </w:r>
    </w:p>
    <w:p w14:paraId="7F6961CB" w14:textId="7527629D" w:rsidR="00E13C27" w:rsidRDefault="00BF50EF" w:rsidP="004172F4">
      <w:pPr>
        <w:pStyle w:val="Hesber"/>
        <w:rPr>
          <w:rtl/>
        </w:rPr>
      </w:pPr>
      <w:r>
        <w:rPr>
          <w:rFonts w:hint="cs"/>
          <w:rtl/>
        </w:rPr>
        <w:t>הצעת חוק זו מטרתה לאזן</w:t>
      </w:r>
      <w:r w:rsidR="00283339" w:rsidRPr="00E93CA7">
        <w:rPr>
          <w:rFonts w:hint="cs"/>
          <w:rtl/>
        </w:rPr>
        <w:t xml:space="preserve"> בין הערכים המוגשמים בגן הלאומי ושימור האינטרס הציבורי לבין צרכי תושבי שכונת המגורים, זכויותיהם וכבודם ויאפשר הסדרה מחד ואכיפת דיני התכנון והבניה מאידך.</w:t>
      </w:r>
    </w:p>
    <w:p w14:paraId="532ED45C" w14:textId="7155CA90" w:rsidR="007E3B3C" w:rsidRPr="00CB4CAF" w:rsidRDefault="007E3B3C" w:rsidP="008C75E3">
      <w:pPr>
        <w:autoSpaceDE/>
        <w:adjustRightInd/>
        <w:spacing w:after="200" w:line="276" w:lineRule="auto"/>
        <w:rPr>
          <w:rFonts w:cs="David"/>
          <w:sz w:val="26"/>
          <w:szCs w:val="26"/>
        </w:rPr>
      </w:pPr>
      <w:r w:rsidRPr="00CB4CAF">
        <w:rPr>
          <w:rFonts w:cs="David" w:hint="cs"/>
          <w:sz w:val="26"/>
          <w:szCs w:val="26"/>
          <w:rtl/>
        </w:rPr>
        <w:t>הצעת חוק זהה הונחה על שולחן הכנסת העשרים על ידי חבר הכנסת דוד אמסלם (פ/20/ׂ</w:t>
      </w:r>
      <w:r w:rsidR="008C75E3">
        <w:rPr>
          <w:rFonts w:cs="David" w:hint="cs"/>
          <w:sz w:val="26"/>
          <w:szCs w:val="26"/>
          <w:rtl/>
        </w:rPr>
        <w:t>4134</w:t>
      </w:r>
      <w:r w:rsidRPr="00CB4CAF">
        <w:rPr>
          <w:rFonts w:cs="David" w:hint="cs"/>
          <w:sz w:val="26"/>
          <w:szCs w:val="26"/>
          <w:rtl/>
        </w:rPr>
        <w:t>)</w:t>
      </w:r>
      <w:r w:rsidR="008C75E3">
        <w:rPr>
          <w:rFonts w:cs="David" w:hint="cs"/>
          <w:sz w:val="26"/>
          <w:szCs w:val="26"/>
          <w:rtl/>
        </w:rPr>
        <w:t>.</w:t>
      </w:r>
    </w:p>
    <w:p w14:paraId="37EE5867" w14:textId="77777777" w:rsidR="001364C5" w:rsidRPr="00D73212" w:rsidRDefault="001364C5" w:rsidP="001364C5">
      <w:pPr>
        <w:pStyle w:val="Hesber"/>
        <w:rPr>
          <w:color w:val="auto"/>
          <w:rtl/>
          <w:lang w:eastAsia="en-US"/>
        </w:rPr>
      </w:pPr>
      <w:r w:rsidRPr="00D73212">
        <w:rPr>
          <w:color w:val="auto"/>
          <w:rtl/>
          <w:lang w:eastAsia="en-US"/>
        </w:rPr>
        <w:t>---------------------------------</w:t>
      </w:r>
    </w:p>
    <w:p w14:paraId="4DC22801" w14:textId="77777777" w:rsidR="001364C5" w:rsidRPr="00D73212" w:rsidRDefault="001364C5" w:rsidP="001364C5">
      <w:pPr>
        <w:pStyle w:val="Hesber"/>
        <w:rPr>
          <w:color w:val="auto"/>
          <w:rtl/>
          <w:lang w:eastAsia="en-US"/>
        </w:rPr>
      </w:pPr>
      <w:r w:rsidRPr="00D73212">
        <w:rPr>
          <w:rFonts w:hint="cs"/>
          <w:color w:val="auto"/>
          <w:rtl/>
          <w:lang w:eastAsia="en-US"/>
        </w:rPr>
        <w:t>הוגשה</w:t>
      </w:r>
      <w:r w:rsidRPr="00D73212">
        <w:rPr>
          <w:color w:val="auto"/>
          <w:rtl/>
          <w:lang w:eastAsia="en-US"/>
        </w:rPr>
        <w:t xml:space="preserve"> </w:t>
      </w:r>
      <w:r w:rsidRPr="00D73212">
        <w:rPr>
          <w:rFonts w:hint="cs"/>
          <w:color w:val="auto"/>
          <w:rtl/>
          <w:lang w:eastAsia="en-US"/>
        </w:rPr>
        <w:t>ליו</w:t>
      </w:r>
      <w:r w:rsidRPr="00D73212">
        <w:rPr>
          <w:color w:val="auto"/>
          <w:rtl/>
          <w:lang w:eastAsia="en-US"/>
        </w:rPr>
        <w:t>"</w:t>
      </w:r>
      <w:r w:rsidRPr="00D73212">
        <w:rPr>
          <w:rFonts w:hint="cs"/>
          <w:color w:val="auto"/>
          <w:rtl/>
          <w:lang w:eastAsia="en-US"/>
        </w:rPr>
        <w:t>ר</w:t>
      </w:r>
      <w:r w:rsidRPr="00D73212">
        <w:rPr>
          <w:color w:val="auto"/>
          <w:rtl/>
          <w:lang w:eastAsia="en-US"/>
        </w:rPr>
        <w:t xml:space="preserve"> </w:t>
      </w:r>
      <w:r w:rsidRPr="00D73212">
        <w:rPr>
          <w:rFonts w:hint="cs"/>
          <w:color w:val="auto"/>
          <w:rtl/>
          <w:lang w:eastAsia="en-US"/>
        </w:rPr>
        <w:t>הכנסת</w:t>
      </w:r>
      <w:r w:rsidRPr="00D73212">
        <w:rPr>
          <w:color w:val="auto"/>
          <w:rtl/>
          <w:lang w:eastAsia="en-US"/>
        </w:rPr>
        <w:t xml:space="preserve"> </w:t>
      </w:r>
      <w:r w:rsidRPr="00D73212">
        <w:rPr>
          <w:rFonts w:hint="cs"/>
          <w:color w:val="auto"/>
          <w:rtl/>
          <w:lang w:eastAsia="en-US"/>
        </w:rPr>
        <w:t>והסגנים</w:t>
      </w:r>
    </w:p>
    <w:p w14:paraId="2C859E3C" w14:textId="77777777" w:rsidR="001364C5" w:rsidRPr="00D73212" w:rsidRDefault="001364C5" w:rsidP="001364C5">
      <w:pPr>
        <w:pStyle w:val="Hesber"/>
        <w:rPr>
          <w:color w:val="auto"/>
          <w:rtl/>
          <w:lang w:eastAsia="en-US"/>
        </w:rPr>
      </w:pPr>
      <w:r w:rsidRPr="00D73212">
        <w:rPr>
          <w:rFonts w:hint="cs"/>
          <w:color w:val="auto"/>
          <w:rtl/>
          <w:lang w:eastAsia="en-US"/>
        </w:rPr>
        <w:t>והונחה</w:t>
      </w:r>
      <w:r w:rsidRPr="00D73212">
        <w:rPr>
          <w:color w:val="auto"/>
          <w:rtl/>
          <w:lang w:eastAsia="en-US"/>
        </w:rPr>
        <w:t xml:space="preserve"> </w:t>
      </w:r>
      <w:r w:rsidRPr="00D73212">
        <w:rPr>
          <w:rFonts w:hint="cs"/>
          <w:color w:val="auto"/>
          <w:rtl/>
          <w:lang w:eastAsia="en-US"/>
        </w:rPr>
        <w:t>על</w:t>
      </w:r>
      <w:r w:rsidRPr="00D73212">
        <w:rPr>
          <w:color w:val="auto"/>
          <w:rtl/>
          <w:lang w:eastAsia="en-US"/>
        </w:rPr>
        <w:t xml:space="preserve"> </w:t>
      </w:r>
      <w:r w:rsidRPr="00D73212">
        <w:rPr>
          <w:rFonts w:hint="cs"/>
          <w:color w:val="auto"/>
          <w:rtl/>
          <w:lang w:eastAsia="en-US"/>
        </w:rPr>
        <w:t>שולחן</w:t>
      </w:r>
      <w:r w:rsidRPr="00D73212">
        <w:rPr>
          <w:color w:val="auto"/>
          <w:rtl/>
          <w:lang w:eastAsia="en-US"/>
        </w:rPr>
        <w:t xml:space="preserve"> </w:t>
      </w:r>
      <w:r w:rsidRPr="00D73212">
        <w:rPr>
          <w:rFonts w:hint="cs"/>
          <w:color w:val="auto"/>
          <w:rtl/>
          <w:lang w:eastAsia="en-US"/>
        </w:rPr>
        <w:t>הכנסת</w:t>
      </w:r>
      <w:r w:rsidRPr="00D73212">
        <w:rPr>
          <w:color w:val="auto"/>
          <w:rtl/>
          <w:lang w:eastAsia="en-US"/>
        </w:rPr>
        <w:t xml:space="preserve"> </w:t>
      </w:r>
      <w:r w:rsidRPr="00D73212">
        <w:rPr>
          <w:rFonts w:hint="cs"/>
          <w:color w:val="auto"/>
          <w:rtl/>
          <w:lang w:eastAsia="en-US"/>
        </w:rPr>
        <w:t>ביום</w:t>
      </w:r>
    </w:p>
    <w:p w14:paraId="1D141E8B" w14:textId="77777777" w:rsidR="001364C5" w:rsidRPr="00317312" w:rsidRDefault="001364C5" w:rsidP="001364C5">
      <w:pPr>
        <w:pStyle w:val="Hesber"/>
      </w:pPr>
      <w:r>
        <w:rPr>
          <w:rFonts w:hint="cs"/>
          <w:color w:val="auto"/>
          <w:rtl/>
          <w:lang w:eastAsia="en-US"/>
        </w:rPr>
        <w:t>כ"ד באדר</w:t>
      </w:r>
      <w:r w:rsidRPr="00D73212">
        <w:rPr>
          <w:color w:val="auto"/>
          <w:rtl/>
          <w:lang w:eastAsia="en-US"/>
        </w:rPr>
        <w:t xml:space="preserve"> </w:t>
      </w:r>
      <w:proofErr w:type="spellStart"/>
      <w:r w:rsidRPr="00D73212">
        <w:rPr>
          <w:rFonts w:hint="cs"/>
          <w:color w:val="auto"/>
          <w:rtl/>
          <w:lang w:eastAsia="en-US"/>
        </w:rPr>
        <w:t>התשע</w:t>
      </w:r>
      <w:r w:rsidRPr="00D73212">
        <w:rPr>
          <w:color w:val="auto"/>
          <w:rtl/>
          <w:lang w:eastAsia="en-US"/>
        </w:rPr>
        <w:t>"</w:t>
      </w:r>
      <w:r>
        <w:rPr>
          <w:rFonts w:hint="cs"/>
          <w:color w:val="auto"/>
          <w:rtl/>
          <w:lang w:eastAsia="en-US"/>
        </w:rPr>
        <w:t>ז</w:t>
      </w:r>
      <w:proofErr w:type="spellEnd"/>
      <w:r w:rsidRPr="00D73212">
        <w:rPr>
          <w:color w:val="auto"/>
          <w:rtl/>
          <w:lang w:eastAsia="en-US"/>
        </w:rPr>
        <w:t xml:space="preserve"> – </w:t>
      </w:r>
      <w:r>
        <w:rPr>
          <w:rFonts w:hint="cs"/>
          <w:color w:val="auto"/>
          <w:rtl/>
          <w:lang w:eastAsia="en-US"/>
        </w:rPr>
        <w:t>22.3</w:t>
      </w:r>
      <w:r w:rsidRPr="00D73212">
        <w:rPr>
          <w:color w:val="auto"/>
          <w:rtl/>
          <w:lang w:eastAsia="en-US"/>
        </w:rPr>
        <w:t>.</w:t>
      </w:r>
      <w:r>
        <w:rPr>
          <w:rFonts w:hint="cs"/>
          <w:color w:val="auto"/>
          <w:rtl/>
          <w:lang w:eastAsia="en-US"/>
        </w:rPr>
        <w:t>17</w:t>
      </w:r>
    </w:p>
    <w:p w14:paraId="27E47D8F" w14:textId="77777777" w:rsidR="001364C5" w:rsidRPr="00B15BBC" w:rsidRDefault="001364C5" w:rsidP="001364C5">
      <w:pPr>
        <w:spacing w:before="0" w:line="360" w:lineRule="auto"/>
        <w:ind w:left="340" w:firstLine="0"/>
        <w:rPr>
          <w:rFonts w:ascii="Arial" w:eastAsia="Arial Unicode MS" w:hAnsi="Arial" w:cs="David"/>
          <w:snapToGrid w:val="0"/>
          <w:spacing w:val="0"/>
          <w:sz w:val="20"/>
          <w:szCs w:val="26"/>
          <w:rtl/>
        </w:rPr>
      </w:pPr>
    </w:p>
    <w:p w14:paraId="12B09582" w14:textId="77777777" w:rsidR="007E3B3C" w:rsidRDefault="007E3B3C" w:rsidP="008841BD">
      <w:pPr>
        <w:pStyle w:val="Hesber"/>
        <w:jc w:val="left"/>
        <w:rPr>
          <w:rtl/>
        </w:rPr>
      </w:pPr>
    </w:p>
    <w:sectPr w:rsidR="007E3B3C" w:rsidSect="001207F8">
      <w:footerReference w:type="even" r:id="rId11"/>
      <w:footerReference w:type="default" r:id="rId12"/>
      <w:pgSz w:w="11907" w:h="16840" w:code="9"/>
      <w:pgMar w:top="1134" w:right="1134" w:bottom="1134" w:left="1134" w:header="680" w:footer="680" w:gutter="0"/>
      <w:cols w:space="720"/>
      <w:noEndnote/>
      <w:titlePg/>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CFF00B4" w14:textId="77777777" w:rsidR="005608BF" w:rsidRDefault="005608BF">
      <w:r>
        <w:separator/>
      </w:r>
    </w:p>
  </w:endnote>
  <w:endnote w:type="continuationSeparator" w:id="0">
    <w:p w14:paraId="4FC1C35C" w14:textId="77777777" w:rsidR="005608BF" w:rsidRDefault="005608BF">
      <w:r>
        <w:continuationSeparator/>
      </w:r>
    </w:p>
  </w:endnote>
  <w:endnote w:type="continuationNotice" w:id="1">
    <w:p w14:paraId="1322F617" w14:textId="77777777" w:rsidR="005608BF" w:rsidRDefault="005608BF">
      <w:pPr>
        <w:spacing w:before="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5" w14:textId="77777777" w:rsidR="002C3041" w:rsidRDefault="002C3041" w:rsidP="001207F8">
    <w:pPr>
      <w:pStyle w:val="a8"/>
      <w:framePr w:wrap="around" w:vAnchor="text" w:hAnchor="text" w:xAlign="center" w:y="1"/>
      <w:rPr>
        <w:rStyle w:val="aa"/>
      </w:rPr>
    </w:pPr>
    <w:r>
      <w:rPr>
        <w:rStyle w:val="aa"/>
        <w:rtl/>
      </w:rPr>
      <w:fldChar w:fldCharType="begin"/>
    </w:r>
    <w:r>
      <w:rPr>
        <w:rStyle w:val="aa"/>
      </w:rPr>
      <w:instrText xml:space="preserve">PAGE  </w:instrText>
    </w:r>
    <w:r>
      <w:rPr>
        <w:rStyle w:val="aa"/>
        <w:rtl/>
      </w:rPr>
      <w:fldChar w:fldCharType="end"/>
    </w:r>
  </w:p>
  <w:p w14:paraId="7F6961D6" w14:textId="77777777" w:rsidR="002C3041" w:rsidRDefault="002C3041">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7" w14:textId="77777777" w:rsidR="002C3041" w:rsidRDefault="002C3041" w:rsidP="001207F8">
    <w:pPr>
      <w:pStyle w:val="a8"/>
      <w:framePr w:wrap="around" w:vAnchor="text" w:hAnchor="text" w:xAlign="center" w:y="1"/>
      <w:rPr>
        <w:rStyle w:val="aa"/>
      </w:rPr>
    </w:pPr>
    <w:r>
      <w:rPr>
        <w:rStyle w:val="aa"/>
        <w:rtl/>
      </w:rPr>
      <w:fldChar w:fldCharType="begin"/>
    </w:r>
    <w:r>
      <w:rPr>
        <w:rStyle w:val="aa"/>
      </w:rPr>
      <w:instrText xml:space="preserve">PAGE  </w:instrText>
    </w:r>
    <w:r>
      <w:rPr>
        <w:rStyle w:val="aa"/>
        <w:rtl/>
      </w:rPr>
      <w:fldChar w:fldCharType="separate"/>
    </w:r>
    <w:r w:rsidR="00437411">
      <w:rPr>
        <w:rStyle w:val="aa"/>
        <w:noProof/>
        <w:rtl/>
      </w:rPr>
      <w:t>2</w:t>
    </w:r>
    <w:r>
      <w:rPr>
        <w:rStyle w:val="aa"/>
        <w:rtl/>
      </w:rPr>
      <w:fldChar w:fldCharType="end"/>
    </w:r>
  </w:p>
  <w:p w14:paraId="7F6961D8" w14:textId="77777777" w:rsidR="002C3041" w:rsidRDefault="002C3041">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343DB77" w14:textId="77777777" w:rsidR="005608BF" w:rsidRDefault="005608BF">
      <w:r>
        <w:separator/>
      </w:r>
    </w:p>
  </w:footnote>
  <w:footnote w:type="continuationSeparator" w:id="0">
    <w:p w14:paraId="5044D44C" w14:textId="77777777" w:rsidR="005608BF" w:rsidRDefault="005608BF">
      <w:r>
        <w:continuationSeparator/>
      </w:r>
    </w:p>
  </w:footnote>
  <w:footnote w:type="continuationNotice" w:id="1">
    <w:p w14:paraId="10A51224" w14:textId="77777777" w:rsidR="005608BF" w:rsidRDefault="005608BF"/>
  </w:footnote>
  <w:footnote w:id="2">
    <w:p w14:paraId="6B03ACAB" w14:textId="77777777" w:rsidR="0009638D" w:rsidRDefault="0009638D" w:rsidP="0009638D">
      <w:pPr>
        <w:pStyle w:val="a4"/>
      </w:pPr>
      <w:r>
        <w:rPr>
          <w:rStyle w:val="a5"/>
        </w:rPr>
        <w:footnoteRef/>
      </w:r>
      <w:r>
        <w:rPr>
          <w:rtl/>
        </w:rPr>
        <w:t xml:space="preserve"> ס"ח </w:t>
      </w:r>
      <w:proofErr w:type="spellStart"/>
      <w:r>
        <w:rPr>
          <w:rtl/>
        </w:rPr>
        <w:t>התשנ"ח</w:t>
      </w:r>
      <w:proofErr w:type="spellEnd"/>
      <w:r>
        <w:rPr>
          <w:rtl/>
        </w:rPr>
        <w:t>, עמ' 202.</w:t>
      </w:r>
    </w:p>
  </w:footnote>
  <w:footnote w:id="3">
    <w:p w14:paraId="07040433" w14:textId="77777777" w:rsidR="0009638D" w:rsidRPr="00474909" w:rsidRDefault="0009638D" w:rsidP="0009638D">
      <w:pPr>
        <w:pStyle w:val="a4"/>
      </w:pPr>
      <w:r>
        <w:rPr>
          <w:rStyle w:val="a5"/>
        </w:rPr>
        <w:footnoteRef/>
      </w:r>
      <w:r>
        <w:rPr>
          <w:rtl/>
        </w:rPr>
        <w:t xml:space="preserve"> </w:t>
      </w:r>
      <w:r w:rsidRPr="001439C1">
        <w:rPr>
          <w:rtl/>
        </w:rPr>
        <w:t xml:space="preserve">ס"ח </w:t>
      </w:r>
      <w:proofErr w:type="spellStart"/>
      <w:r w:rsidRPr="001439C1">
        <w:rPr>
          <w:rtl/>
        </w:rPr>
        <w:t>התשכ"ה</w:t>
      </w:r>
      <w:proofErr w:type="spellEnd"/>
      <w:r w:rsidRPr="001439C1">
        <w:rPr>
          <w:rtl/>
        </w:rPr>
        <w:t>, עמ' 307.</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F6AAD9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7D5CAEA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7E88A7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45DA1EB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A3056D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222F1D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406C9A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BFE925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942460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84D088A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FB0598A"/>
    <w:multiLevelType w:val="hybridMultilevel"/>
    <w:tmpl w:val="746CCEE6"/>
    <w:lvl w:ilvl="0" w:tplc="040D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73D66F4"/>
    <w:multiLevelType w:val="hybridMultilevel"/>
    <w:tmpl w:val="D382C246"/>
    <w:lvl w:ilvl="0" w:tplc="8D16071A">
      <w:start w:val="1"/>
      <w:numFmt w:val="hebrew1"/>
      <w:lvlText w:val="(%1)"/>
      <w:lvlJc w:val="left"/>
      <w:pPr>
        <w:ind w:left="386" w:hanging="360"/>
      </w:pPr>
      <w:rPr>
        <w:rFonts w:hint="default"/>
        <w:lang w:val="en-US"/>
      </w:rPr>
    </w:lvl>
    <w:lvl w:ilvl="1" w:tplc="04090019" w:tentative="1">
      <w:start w:val="1"/>
      <w:numFmt w:val="lowerLetter"/>
      <w:lvlText w:val="%2."/>
      <w:lvlJc w:val="left"/>
      <w:pPr>
        <w:ind w:left="1106" w:hanging="360"/>
      </w:pPr>
    </w:lvl>
    <w:lvl w:ilvl="2" w:tplc="0409001B" w:tentative="1">
      <w:start w:val="1"/>
      <w:numFmt w:val="lowerRoman"/>
      <w:lvlText w:val="%3."/>
      <w:lvlJc w:val="right"/>
      <w:pPr>
        <w:ind w:left="1826" w:hanging="180"/>
      </w:pPr>
    </w:lvl>
    <w:lvl w:ilvl="3" w:tplc="0409000F" w:tentative="1">
      <w:start w:val="1"/>
      <w:numFmt w:val="decimal"/>
      <w:lvlText w:val="%4."/>
      <w:lvlJc w:val="left"/>
      <w:pPr>
        <w:ind w:left="2546" w:hanging="360"/>
      </w:pPr>
    </w:lvl>
    <w:lvl w:ilvl="4" w:tplc="04090019" w:tentative="1">
      <w:start w:val="1"/>
      <w:numFmt w:val="lowerLetter"/>
      <w:lvlText w:val="%5."/>
      <w:lvlJc w:val="left"/>
      <w:pPr>
        <w:ind w:left="3266" w:hanging="360"/>
      </w:pPr>
    </w:lvl>
    <w:lvl w:ilvl="5" w:tplc="0409001B" w:tentative="1">
      <w:start w:val="1"/>
      <w:numFmt w:val="lowerRoman"/>
      <w:lvlText w:val="%6."/>
      <w:lvlJc w:val="right"/>
      <w:pPr>
        <w:ind w:left="3986" w:hanging="180"/>
      </w:pPr>
    </w:lvl>
    <w:lvl w:ilvl="6" w:tplc="0409000F" w:tentative="1">
      <w:start w:val="1"/>
      <w:numFmt w:val="decimal"/>
      <w:lvlText w:val="%7."/>
      <w:lvlJc w:val="left"/>
      <w:pPr>
        <w:ind w:left="4706" w:hanging="360"/>
      </w:pPr>
    </w:lvl>
    <w:lvl w:ilvl="7" w:tplc="04090019" w:tentative="1">
      <w:start w:val="1"/>
      <w:numFmt w:val="lowerLetter"/>
      <w:lvlText w:val="%8."/>
      <w:lvlJc w:val="left"/>
      <w:pPr>
        <w:ind w:left="5426" w:hanging="360"/>
      </w:pPr>
    </w:lvl>
    <w:lvl w:ilvl="8" w:tplc="0409001B" w:tentative="1">
      <w:start w:val="1"/>
      <w:numFmt w:val="lowerRoman"/>
      <w:lvlText w:val="%9."/>
      <w:lvlJc w:val="right"/>
      <w:pPr>
        <w:ind w:left="6146" w:hanging="180"/>
      </w:pPr>
    </w:lvl>
  </w:abstractNum>
  <w:abstractNum w:abstractNumId="13"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1"/>
  </w:num>
  <w:num w:numId="12">
    <w:abstractNumId w:val="13"/>
  </w:num>
  <w:num w:numId="13">
    <w:abstractNumId w:val="10"/>
  </w:num>
  <w:num w:numId="14">
    <w:abstractNumId w:val="14"/>
  </w:num>
  <w:num w:numId="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stylePaneFormatFilter w:val="0002" w:allStyles="0" w:customStyles="1"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OriginalName" w:val="tmp482240lsCopyOriginal.docx"/>
    <w:docVar w:name="StartMode" w:val="2"/>
  </w:docVars>
  <w:rsids>
    <w:rsidRoot w:val="00DB7060"/>
    <w:rsid w:val="0000131B"/>
    <w:rsid w:val="00015B27"/>
    <w:rsid w:val="00063A3E"/>
    <w:rsid w:val="00072CAC"/>
    <w:rsid w:val="0007681A"/>
    <w:rsid w:val="0009638D"/>
    <w:rsid w:val="000A542E"/>
    <w:rsid w:val="00102B6B"/>
    <w:rsid w:val="001052D4"/>
    <w:rsid w:val="0010644B"/>
    <w:rsid w:val="001207F8"/>
    <w:rsid w:val="00121924"/>
    <w:rsid w:val="001279A8"/>
    <w:rsid w:val="001364C5"/>
    <w:rsid w:val="0014195F"/>
    <w:rsid w:val="00152609"/>
    <w:rsid w:val="00153E1B"/>
    <w:rsid w:val="001A0623"/>
    <w:rsid w:val="001C23B0"/>
    <w:rsid w:val="001D7AAF"/>
    <w:rsid w:val="00203A7F"/>
    <w:rsid w:val="0021633A"/>
    <w:rsid w:val="002200A1"/>
    <w:rsid w:val="002362BF"/>
    <w:rsid w:val="00241B97"/>
    <w:rsid w:val="002425D1"/>
    <w:rsid w:val="00246756"/>
    <w:rsid w:val="00251E58"/>
    <w:rsid w:val="00254605"/>
    <w:rsid w:val="00266D86"/>
    <w:rsid w:val="002728B4"/>
    <w:rsid w:val="00272AF8"/>
    <w:rsid w:val="0027600C"/>
    <w:rsid w:val="00283339"/>
    <w:rsid w:val="00292712"/>
    <w:rsid w:val="002A487D"/>
    <w:rsid w:val="002C2E29"/>
    <w:rsid w:val="002C3041"/>
    <w:rsid w:val="002D1EE3"/>
    <w:rsid w:val="002F1D80"/>
    <w:rsid w:val="003232A2"/>
    <w:rsid w:val="00325C14"/>
    <w:rsid w:val="00341402"/>
    <w:rsid w:val="0036422C"/>
    <w:rsid w:val="003710F6"/>
    <w:rsid w:val="00386E88"/>
    <w:rsid w:val="00396585"/>
    <w:rsid w:val="003D6E38"/>
    <w:rsid w:val="003D74A0"/>
    <w:rsid w:val="004033D8"/>
    <w:rsid w:val="004073F0"/>
    <w:rsid w:val="00412A7D"/>
    <w:rsid w:val="00416B4D"/>
    <w:rsid w:val="004172F4"/>
    <w:rsid w:val="00417CFC"/>
    <w:rsid w:val="00437411"/>
    <w:rsid w:val="004A06DC"/>
    <w:rsid w:val="004B24ED"/>
    <w:rsid w:val="004B6625"/>
    <w:rsid w:val="004D2D82"/>
    <w:rsid w:val="004D3876"/>
    <w:rsid w:val="004E4552"/>
    <w:rsid w:val="004E6CDF"/>
    <w:rsid w:val="00553C9D"/>
    <w:rsid w:val="005608BF"/>
    <w:rsid w:val="00562A66"/>
    <w:rsid w:val="005823BB"/>
    <w:rsid w:val="005B064E"/>
    <w:rsid w:val="005D51AE"/>
    <w:rsid w:val="0062674B"/>
    <w:rsid w:val="006363B2"/>
    <w:rsid w:val="00644940"/>
    <w:rsid w:val="006818A9"/>
    <w:rsid w:val="006A2D81"/>
    <w:rsid w:val="006C1D0D"/>
    <w:rsid w:val="0070601E"/>
    <w:rsid w:val="00712C72"/>
    <w:rsid w:val="00735FE9"/>
    <w:rsid w:val="00763CAA"/>
    <w:rsid w:val="00765F66"/>
    <w:rsid w:val="0078664F"/>
    <w:rsid w:val="007C3FA6"/>
    <w:rsid w:val="007D585A"/>
    <w:rsid w:val="007D5A12"/>
    <w:rsid w:val="007E3B3C"/>
    <w:rsid w:val="007E59F9"/>
    <w:rsid w:val="00810BCD"/>
    <w:rsid w:val="00812C98"/>
    <w:rsid w:val="00814D92"/>
    <w:rsid w:val="0083181D"/>
    <w:rsid w:val="00843EB2"/>
    <w:rsid w:val="00865572"/>
    <w:rsid w:val="00874BBC"/>
    <w:rsid w:val="008841BD"/>
    <w:rsid w:val="00892135"/>
    <w:rsid w:val="00895449"/>
    <w:rsid w:val="00897879"/>
    <w:rsid w:val="008A6870"/>
    <w:rsid w:val="008C2DDC"/>
    <w:rsid w:val="008C7516"/>
    <w:rsid w:val="008C75E3"/>
    <w:rsid w:val="008E6EC7"/>
    <w:rsid w:val="008F0D63"/>
    <w:rsid w:val="008F1308"/>
    <w:rsid w:val="008F2C35"/>
    <w:rsid w:val="008F6665"/>
    <w:rsid w:val="00904591"/>
    <w:rsid w:val="00905E5F"/>
    <w:rsid w:val="0091204F"/>
    <w:rsid w:val="009203DB"/>
    <w:rsid w:val="00923CD4"/>
    <w:rsid w:val="00930EFE"/>
    <w:rsid w:val="00943386"/>
    <w:rsid w:val="009456B6"/>
    <w:rsid w:val="00957589"/>
    <w:rsid w:val="00966D06"/>
    <w:rsid w:val="00982412"/>
    <w:rsid w:val="00983A8D"/>
    <w:rsid w:val="009A0DB8"/>
    <w:rsid w:val="009A7257"/>
    <w:rsid w:val="009D6E0A"/>
    <w:rsid w:val="009E1E33"/>
    <w:rsid w:val="00A14672"/>
    <w:rsid w:val="00A26BD6"/>
    <w:rsid w:val="00A443CF"/>
    <w:rsid w:val="00A6611D"/>
    <w:rsid w:val="00A82CB7"/>
    <w:rsid w:val="00A942C1"/>
    <w:rsid w:val="00AA2F03"/>
    <w:rsid w:val="00AC36F7"/>
    <w:rsid w:val="00AC63A4"/>
    <w:rsid w:val="00AD239E"/>
    <w:rsid w:val="00B10265"/>
    <w:rsid w:val="00B16A99"/>
    <w:rsid w:val="00B21211"/>
    <w:rsid w:val="00B35784"/>
    <w:rsid w:val="00B733A7"/>
    <w:rsid w:val="00B75C91"/>
    <w:rsid w:val="00B975AD"/>
    <w:rsid w:val="00BC45FB"/>
    <w:rsid w:val="00BF148D"/>
    <w:rsid w:val="00BF50EF"/>
    <w:rsid w:val="00C23B1A"/>
    <w:rsid w:val="00C310EB"/>
    <w:rsid w:val="00C9176A"/>
    <w:rsid w:val="00CB4CAF"/>
    <w:rsid w:val="00CC407D"/>
    <w:rsid w:val="00CF1AA2"/>
    <w:rsid w:val="00D17774"/>
    <w:rsid w:val="00D41292"/>
    <w:rsid w:val="00D63620"/>
    <w:rsid w:val="00D8410D"/>
    <w:rsid w:val="00D867D7"/>
    <w:rsid w:val="00DB7060"/>
    <w:rsid w:val="00DC58D2"/>
    <w:rsid w:val="00DE3153"/>
    <w:rsid w:val="00E06736"/>
    <w:rsid w:val="00E13C27"/>
    <w:rsid w:val="00E33BBD"/>
    <w:rsid w:val="00E374F2"/>
    <w:rsid w:val="00E45103"/>
    <w:rsid w:val="00E55A60"/>
    <w:rsid w:val="00E62778"/>
    <w:rsid w:val="00E63D38"/>
    <w:rsid w:val="00E665B9"/>
    <w:rsid w:val="00EA01E6"/>
    <w:rsid w:val="00EA3DE8"/>
    <w:rsid w:val="00EA758F"/>
    <w:rsid w:val="00ED4A6F"/>
    <w:rsid w:val="00EF3A3A"/>
    <w:rsid w:val="00F628D6"/>
    <w:rsid w:val="00F67051"/>
    <w:rsid w:val="00F86A1E"/>
    <w:rsid w:val="00FA5E8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f" fillcolor="white">
      <v:fill color="white" on="f"/>
    </o:shapedefaults>
    <o:shapelayout v:ext="edit">
      <o:idmap v:ext="edit" data="1"/>
    </o:shapelayout>
  </w:shapeDefaults>
  <w:doNotEmbedSmartTags/>
  <w:decimalSymbol w:val="."/>
  <w:listSeparator w:val=","/>
  <w14:docId w14:val="7F6961A1"/>
  <w15:docId w15:val="{E7CC2A52-7C30-40EF-A06A-B08F5CE6E4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MS Mincho"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C75E3"/>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8C75E3"/>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8C75E3"/>
    <w:rPr>
      <w:sz w:val="36"/>
      <w:szCs w:val="52"/>
    </w:rPr>
  </w:style>
  <w:style w:type="paragraph" w:customStyle="1" w:styleId="Cover3-Haknesset">
    <w:name w:val="Cover 3-Haknesset"/>
    <w:basedOn w:val="Cover1-Reshumot"/>
    <w:rsid w:val="008C75E3"/>
    <w:rPr>
      <w:b/>
      <w:bCs/>
      <w:spacing w:val="60"/>
    </w:rPr>
  </w:style>
  <w:style w:type="paragraph" w:customStyle="1" w:styleId="Cover4-Date">
    <w:name w:val="Cover 4-Date"/>
    <w:basedOn w:val="a"/>
    <w:rsid w:val="008C75E3"/>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a"/>
    <w:rsid w:val="008C75E3"/>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8C75E3"/>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8C75E3"/>
    <w:pPr>
      <w:spacing w:before="120" w:after="120"/>
    </w:pPr>
    <w:rPr>
      <w:color w:val="FF0000"/>
      <w:w w:val="80"/>
    </w:rPr>
  </w:style>
  <w:style w:type="paragraph" w:styleId="a3">
    <w:name w:val="endnote text"/>
    <w:basedOn w:val="a"/>
    <w:semiHidden/>
    <w:rsid w:val="008C75E3"/>
    <w:pPr>
      <w:ind w:left="227" w:hanging="227"/>
    </w:pPr>
    <w:rPr>
      <w:sz w:val="14"/>
      <w:szCs w:val="22"/>
    </w:rPr>
  </w:style>
  <w:style w:type="paragraph" w:customStyle="1" w:styleId="TableText">
    <w:name w:val="Table Text"/>
    <w:basedOn w:val="a"/>
    <w:rsid w:val="008C75E3"/>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8C75E3"/>
  </w:style>
  <w:style w:type="paragraph" w:customStyle="1" w:styleId="TableBlock">
    <w:name w:val="Table Block"/>
    <w:basedOn w:val="TableText"/>
    <w:rsid w:val="008C75E3"/>
    <w:pPr>
      <w:ind w:right="0"/>
      <w:jc w:val="both"/>
    </w:pPr>
  </w:style>
  <w:style w:type="paragraph" w:customStyle="1" w:styleId="TableHead">
    <w:name w:val="Table Head"/>
    <w:basedOn w:val="TableText"/>
    <w:rsid w:val="008C75E3"/>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8C75E3"/>
  </w:style>
  <w:style w:type="paragraph" w:customStyle="1" w:styleId="Hesber">
    <w:name w:val="Hesber"/>
    <w:basedOn w:val="a"/>
    <w:rsid w:val="008C75E3"/>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autoRedefine/>
    <w:semiHidden/>
    <w:rsid w:val="008C75E3"/>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5">
    <w:name w:val="footnote reference"/>
    <w:aliases w:val="Footnote Reference"/>
    <w:basedOn w:val="a0"/>
    <w:semiHidden/>
    <w:rsid w:val="008C75E3"/>
    <w:rPr>
      <w:vertAlign w:val="superscript"/>
    </w:rPr>
  </w:style>
  <w:style w:type="paragraph" w:customStyle="1" w:styleId="HesberHeading">
    <w:name w:val="Hesber Heading"/>
    <w:basedOn w:val="Hesber"/>
    <w:rsid w:val="008C75E3"/>
    <w:pPr>
      <w:tabs>
        <w:tab w:val="left" w:pos="624"/>
        <w:tab w:val="left" w:pos="1247"/>
      </w:tabs>
      <w:ind w:firstLine="0"/>
    </w:pPr>
    <w:rPr>
      <w:b/>
      <w:bCs/>
    </w:rPr>
  </w:style>
  <w:style w:type="paragraph" w:customStyle="1" w:styleId="HesberWriters">
    <w:name w:val="Hesber Writers"/>
    <w:basedOn w:val="Hesber"/>
    <w:rsid w:val="008C75E3"/>
    <w:pPr>
      <w:spacing w:before="120" w:after="6000"/>
      <w:ind w:left="1418" w:firstLine="0"/>
      <w:jc w:val="right"/>
    </w:pPr>
    <w:rPr>
      <w:b/>
      <w:bCs/>
    </w:rPr>
  </w:style>
  <w:style w:type="paragraph" w:customStyle="1" w:styleId="Hesber1st">
    <w:name w:val="Hesber 1st"/>
    <w:basedOn w:val="Hesber"/>
    <w:rsid w:val="008C75E3"/>
    <w:pPr>
      <w:tabs>
        <w:tab w:val="left" w:pos="680"/>
        <w:tab w:val="left" w:pos="1020"/>
      </w:tabs>
      <w:ind w:firstLine="0"/>
    </w:pPr>
  </w:style>
  <w:style w:type="character" w:styleId="a6">
    <w:name w:val="endnote reference"/>
    <w:basedOn w:val="a0"/>
    <w:semiHidden/>
    <w:rsid w:val="008C75E3"/>
    <w:rPr>
      <w:vertAlign w:val="superscript"/>
    </w:rPr>
  </w:style>
  <w:style w:type="paragraph" w:customStyle="1" w:styleId="TableBlockOutdent">
    <w:name w:val="Table BlockOutdent"/>
    <w:basedOn w:val="TableBlock"/>
    <w:rsid w:val="008C75E3"/>
    <w:pPr>
      <w:ind w:left="624" w:hanging="624"/>
    </w:pPr>
  </w:style>
  <w:style w:type="paragraph" w:styleId="a7">
    <w:name w:val="header"/>
    <w:basedOn w:val="a"/>
    <w:rsid w:val="008C75E3"/>
    <w:pPr>
      <w:tabs>
        <w:tab w:val="center" w:pos="4153"/>
        <w:tab w:val="right" w:pos="8306"/>
      </w:tabs>
    </w:pPr>
  </w:style>
  <w:style w:type="paragraph" w:styleId="a8">
    <w:name w:val="footer"/>
    <w:basedOn w:val="a"/>
    <w:rsid w:val="008C75E3"/>
    <w:pPr>
      <w:tabs>
        <w:tab w:val="center" w:pos="4153"/>
        <w:tab w:val="right" w:pos="8306"/>
      </w:tabs>
    </w:pPr>
  </w:style>
  <w:style w:type="paragraph" w:customStyle="1" w:styleId="HeadDivreiHesber">
    <w:name w:val="Head DivreiHesber"/>
    <w:basedOn w:val="a"/>
    <w:rsid w:val="008C75E3"/>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
    <w:rsid w:val="008C75E3"/>
    <w:pPr>
      <w:snapToGrid w:val="0"/>
      <w:spacing w:before="0" w:line="360" w:lineRule="auto"/>
      <w:jc w:val="left"/>
    </w:pPr>
    <w:rPr>
      <w:rFonts w:ascii="Arial" w:eastAsia="Arial Unicode MS" w:hAnsi="Arial" w:cs="David"/>
      <w:snapToGrid w:val="0"/>
      <w:spacing w:val="0"/>
      <w:sz w:val="20"/>
      <w:szCs w:val="26"/>
    </w:rPr>
  </w:style>
  <w:style w:type="paragraph" w:styleId="a9">
    <w:name w:val="Title"/>
    <w:basedOn w:val="a"/>
    <w:qFormat/>
    <w:rsid w:val="00943386"/>
    <w:pPr>
      <w:jc w:val="center"/>
    </w:pPr>
    <w:rPr>
      <w:rFonts w:cs="David"/>
      <w:b/>
      <w:bCs/>
      <w:sz w:val="28"/>
      <w:szCs w:val="28"/>
      <w:u w:val="single"/>
    </w:rPr>
  </w:style>
  <w:style w:type="character" w:styleId="aa">
    <w:name w:val="page number"/>
    <w:basedOn w:val="a0"/>
    <w:rsid w:val="008C75E3"/>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paragraph" w:styleId="ab">
    <w:name w:val="Balloon Text"/>
    <w:basedOn w:val="a"/>
    <w:link w:val="ac"/>
    <w:semiHidden/>
    <w:unhideWhenUsed/>
    <w:rsid w:val="00325C14"/>
    <w:pPr>
      <w:spacing w:before="0" w:line="240" w:lineRule="auto"/>
    </w:pPr>
    <w:rPr>
      <w:rFonts w:ascii="Tahoma" w:hAnsi="Tahoma" w:cs="Tahoma"/>
      <w:sz w:val="16"/>
      <w:szCs w:val="16"/>
    </w:rPr>
  </w:style>
  <w:style w:type="character" w:customStyle="1" w:styleId="ac">
    <w:name w:val="טקסט בלונים תו"/>
    <w:basedOn w:val="a0"/>
    <w:link w:val="ab"/>
    <w:semiHidden/>
    <w:rsid w:val="00325C14"/>
    <w:rPr>
      <w:rFonts w:ascii="Tahoma" w:hAnsi="Tahoma" w:cs="Tahoma"/>
      <w:color w:val="000000"/>
      <w:spacing w:val="1"/>
      <w:sz w:val="16"/>
      <w:szCs w:val="16"/>
      <w:lang w:eastAsia="ja-JP"/>
    </w:rPr>
  </w:style>
  <w:style w:type="paragraph" w:customStyle="1" w:styleId="P00">
    <w:name w:val="P00"/>
    <w:rsid w:val="00283339"/>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ind w:left="2835"/>
      <w:jc w:val="both"/>
    </w:pPr>
    <w:rPr>
      <w:rFonts w:eastAsia="Times New Roman"/>
      <w:noProof/>
      <w:szCs w:val="2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78898971">
      <w:bodyDiv w:val="1"/>
      <w:marLeft w:val="0"/>
      <w:marRight w:val="0"/>
      <w:marTop w:val="0"/>
      <w:marBottom w:val="0"/>
      <w:divBdr>
        <w:top w:val="none" w:sz="0" w:space="0" w:color="auto"/>
        <w:left w:val="none" w:sz="0" w:space="0" w:color="auto"/>
        <w:bottom w:val="none" w:sz="0" w:space="0" w:color="auto"/>
        <w:right w:val="none" w:sz="0" w:space="0" w:color="auto"/>
      </w:divBdr>
    </w:div>
    <w:div w:id="2080515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7C7E87-344D-4CB4-A3EC-C9191BC6AF25}"/>
</file>

<file path=customXml/itemProps2.xml><?xml version="1.0" encoding="utf-8"?>
<ds:datastoreItem xmlns:ds="http://schemas.openxmlformats.org/officeDocument/2006/customXml" ds:itemID="{53CDC32B-DD97-493E-9196-3EF77D6F9C7D}">
  <ds:schemaRefs>
    <ds:schemaRef ds:uri="http://schemas.microsoft.com/sharepoint/v3/contenttype/forms"/>
  </ds:schemaRefs>
</ds:datastoreItem>
</file>

<file path=customXml/itemProps3.xml><?xml version="1.0" encoding="utf-8"?>
<ds:datastoreItem xmlns:ds="http://schemas.openxmlformats.org/officeDocument/2006/customXml" ds:itemID="{88F4AFE3-9455-419C-8851-785A55F4451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77B6D125-EFEE-472D-86E4-30A4E41AA1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2</Pages>
  <Words>606</Words>
  <Characters>3032</Characters>
  <Application>Microsoft Office Word</Application>
  <DocSecurity>0</DocSecurity>
  <Lines>25</Lines>
  <Paragraphs>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רשומות</vt:lpstr>
      <vt:lpstr>רשומות</vt:lpstr>
    </vt:vector>
  </TitlesOfParts>
  <Company>Knesset</Company>
  <LinksUpToDate>false</LinksUpToDate>
  <CharactersWithSpaces>3631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רשומות</dc:title>
  <dc:creator>מיקה צור</dc:creator>
  <cp:lastModifiedBy>שוש אזולאי</cp:lastModifiedBy>
  <cp:revision>2</cp:revision>
  <cp:lastPrinted>2017-12-13T08:59:00Z</cp:lastPrinted>
  <dcterms:created xsi:type="dcterms:W3CDTF">2017-12-13T09:27:00Z</dcterms:created>
  <dcterms:modified xsi:type="dcterms:W3CDTF">2017-12-13T09:27:00Z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8badafff-95aa-4718-b074-a2d35988ffa8</vt:lpwstr>
  </property>
  <property fmtid="{D5CDD505-2E9C-101B-9397-08002B2CF9AE}" pid="4" name="SanhedrinDocumentType">
    <vt:r8>88</vt:r8>
  </property>
  <property fmtid="{D5CDD505-2E9C-101B-9397-08002B2CF9AE}" pid="5" name="SanhedrinItemID">
    <vt:r8>2063454</vt:r8>
  </property>
</Properties>
</file>