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2005901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6" w14:textId="77777777" w:rsidR="00E13C27" w:rsidRDefault="008F6665" w:rsidP="00930EFE">
      <w:pPr>
        <w:pStyle w:val="David"/>
        <w:spacing w:line="360" w:lineRule="auto"/>
        <w:ind w:left="3544"/>
        <w:rPr>
          <w:b/>
          <w:bCs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אכרם חסון</w:t>
      </w:r>
      <w:bookmarkEnd w:id="3"/>
    </w:p>
    <w:p w14:paraId="7F6961AA" w14:textId="39F9D96B" w:rsidR="00E13C27" w:rsidRPr="00CF1AA2" w:rsidRDefault="007D585A" w:rsidP="0036422C">
      <w:pPr>
        <w:pStyle w:val="David"/>
        <w:spacing w:before="0" w:line="360" w:lineRule="auto"/>
        <w:ind w:left="3544"/>
        <w:rPr>
          <w:b/>
          <w:bCs/>
          <w:sz w:val="16"/>
          <w:szCs w:val="16"/>
          <w:rtl/>
        </w:rPr>
      </w:pPr>
      <w:bookmarkStart w:id="4" w:name="LGS_Join_List"/>
      <w:r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>
        <w:rPr>
          <w:rFonts w:hint="cs"/>
          <w:rtl/>
        </w:rPr>
        <w:t xml:space="preserve"> </w:t>
      </w:r>
      <w:bookmarkEnd w:id="5"/>
    </w:p>
    <w:p w14:paraId="34DB4103" w14:textId="048D572B" w:rsidR="00904591" w:rsidRPr="00505137" w:rsidRDefault="00266D86" w:rsidP="0036422C">
      <w:pPr>
        <w:pStyle w:val="David"/>
        <w:spacing w:before="0" w:line="360" w:lineRule="auto"/>
        <w:ind w:left="3544"/>
        <w:rPr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  <w:r w:rsidR="00505137">
        <w:rPr>
          <w:rFonts w:hint="cs"/>
          <w:rtl/>
        </w:rPr>
        <w:t>פ/3215/20</w:t>
      </w:r>
    </w:p>
    <w:p w14:paraId="7F6961AD" w14:textId="77777777" w:rsidR="00E13C27" w:rsidRPr="00663A89" w:rsidRDefault="00A443CF" w:rsidP="0021633A">
      <w:pPr>
        <w:pStyle w:val="HeadHatzaotHok"/>
        <w:rPr>
          <w:sz w:val="24"/>
          <w:szCs w:val="24"/>
          <w:rtl/>
        </w:rPr>
      </w:pPr>
      <w:bookmarkStart w:id="6" w:name="LGS_Subject"/>
      <w:bookmarkStart w:id="7" w:name="_GoBack"/>
      <w:r>
        <w:rPr>
          <w:rFonts w:hint="cs"/>
          <w:sz w:val="26"/>
          <w:rtl/>
        </w:rPr>
        <w:t>הצעת חוק התכנון והבנייה (תיקון – הגדרת בתי קברות אזוריים כתשתית לאומית</w:t>
      </w:r>
      <w:bookmarkEnd w:id="7"/>
      <w:r>
        <w:rPr>
          <w:rFonts w:hint="cs"/>
          <w:sz w:val="26"/>
          <w:rtl/>
        </w:rPr>
        <w:t xml:space="preserve">), </w:t>
      </w:r>
      <w:proofErr w:type="spellStart"/>
      <w:r>
        <w:rPr>
          <w:rFonts w:hint="cs"/>
          <w:sz w:val="26"/>
          <w:rtl/>
        </w:rPr>
        <w:t>התשע"ו</w:t>
      </w:r>
      <w:proofErr w:type="spellEnd"/>
      <w:r>
        <w:rPr>
          <w:rFonts w:hint="cs"/>
          <w:sz w:val="26"/>
          <w:rtl/>
        </w:rPr>
        <w:t>–2016</w:t>
      </w:r>
      <w:bookmarkEnd w:id="6"/>
    </w:p>
    <w:tbl>
      <w:tblPr>
        <w:tblpPr w:leftFromText="180" w:rightFromText="180" w:vertAnchor="text" w:horzAnchor="margin" w:tblpXSpec="right" w:tblpY="496"/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537"/>
        <w:gridCol w:w="7230"/>
      </w:tblGrid>
      <w:tr w:rsidR="00663A89" w:rsidRPr="00A36B66" w14:paraId="448BF8C2" w14:textId="77777777" w:rsidTr="009F3FF9">
        <w:trPr>
          <w:cantSplit/>
        </w:trPr>
        <w:tc>
          <w:tcPr>
            <w:tcW w:w="1871" w:type="dxa"/>
          </w:tcPr>
          <w:p w14:paraId="6CDA15A3" w14:textId="77777777" w:rsidR="00663A89" w:rsidRPr="009F3FF9" w:rsidRDefault="00663A89" w:rsidP="009F3FF9">
            <w:pPr>
              <w:pStyle w:val="TableSideHeading"/>
              <w:ind w:right="0"/>
            </w:pPr>
            <w:r w:rsidRPr="009F3FF9">
              <w:rPr>
                <w:rFonts w:hint="cs"/>
                <w:rtl/>
              </w:rPr>
              <w:t>תיקון סעיף 1</w:t>
            </w:r>
          </w:p>
        </w:tc>
        <w:tc>
          <w:tcPr>
            <w:tcW w:w="537" w:type="dxa"/>
          </w:tcPr>
          <w:p w14:paraId="057CECEE" w14:textId="1FE2CCE9" w:rsidR="00663A89" w:rsidRPr="009F3FF9" w:rsidRDefault="00663A89" w:rsidP="009F3FF9">
            <w:pPr>
              <w:pStyle w:val="TableText"/>
              <w:ind w:right="0"/>
              <w:jc w:val="both"/>
            </w:pPr>
            <w:r w:rsidRPr="009F3FF9">
              <w:rPr>
                <w:rFonts w:hint="cs"/>
                <w:rtl/>
              </w:rPr>
              <w:t>1.</w:t>
            </w:r>
          </w:p>
        </w:tc>
        <w:tc>
          <w:tcPr>
            <w:tcW w:w="7230" w:type="dxa"/>
          </w:tcPr>
          <w:p w14:paraId="249A0A5B" w14:textId="0121C87C" w:rsidR="00663A89" w:rsidRPr="00A36B66" w:rsidRDefault="00663A89" w:rsidP="009F3FF9">
            <w:pPr>
              <w:pStyle w:val="TableBlock"/>
            </w:pPr>
            <w:r w:rsidRPr="00A36B66">
              <w:rPr>
                <w:rtl/>
              </w:rPr>
              <w:t>בחוק התכנון והבני</w:t>
            </w:r>
            <w:r w:rsidR="00333A8B">
              <w:rPr>
                <w:rFonts w:hint="cs"/>
                <w:rtl/>
              </w:rPr>
              <w:t>י</w:t>
            </w:r>
            <w:r w:rsidRPr="00A36B66">
              <w:rPr>
                <w:rtl/>
              </w:rPr>
              <w:t xml:space="preserve">ה, </w:t>
            </w:r>
            <w:proofErr w:type="spellStart"/>
            <w:r w:rsidRPr="00A36B66">
              <w:rPr>
                <w:rtl/>
              </w:rPr>
              <w:t>התשכ"ה</w:t>
            </w:r>
            <w:proofErr w:type="spellEnd"/>
            <w:r w:rsidR="009F3FF9" w:rsidRPr="009F3FF9">
              <w:rPr>
                <w:rFonts w:hint="cs"/>
                <w:rtl/>
              </w:rPr>
              <w:t>–</w:t>
            </w:r>
            <w:r w:rsidRPr="00A36B66">
              <w:rPr>
                <w:rtl/>
              </w:rPr>
              <w:t>1965</w:t>
            </w:r>
            <w:r w:rsidR="009F3FF9">
              <w:rPr>
                <w:rStyle w:val="a6"/>
                <w:rtl/>
              </w:rPr>
              <w:footnoteReference w:id="2"/>
            </w:r>
            <w:r w:rsidRPr="00A36B66">
              <w:rPr>
                <w:rFonts w:hint="cs"/>
                <w:rtl/>
              </w:rPr>
              <w:t xml:space="preserve">, </w:t>
            </w:r>
            <w:r w:rsidRPr="00A36B66">
              <w:rPr>
                <w:rtl/>
              </w:rPr>
              <w:t>בסעיף</w:t>
            </w:r>
            <w:r w:rsidRPr="00A36B66">
              <w:rPr>
                <w:rFonts w:hint="cs"/>
                <w:rtl/>
              </w:rPr>
              <w:t xml:space="preserve"> 1</w:t>
            </w:r>
            <w:r w:rsidR="00ED770E">
              <w:rPr>
                <w:rFonts w:hint="cs"/>
                <w:rtl/>
              </w:rPr>
              <w:t>,</w:t>
            </w:r>
            <w:r w:rsidRPr="00A36B66">
              <w:rPr>
                <w:rFonts w:hint="cs"/>
                <w:rtl/>
              </w:rPr>
              <w:t xml:space="preserve"> בהגדר</w:t>
            </w:r>
            <w:r w:rsidR="00A36B66">
              <w:rPr>
                <w:rFonts w:hint="cs"/>
                <w:rtl/>
              </w:rPr>
              <w:t>ה</w:t>
            </w:r>
            <w:r w:rsidRPr="00A36B66">
              <w:rPr>
                <w:rFonts w:hint="cs"/>
                <w:rtl/>
              </w:rPr>
              <w:t xml:space="preserve"> "תשתיות לאומיות" </w:t>
            </w:r>
            <w:r w:rsidR="00A36B66">
              <w:rPr>
                <w:rFonts w:hint="cs"/>
                <w:rtl/>
              </w:rPr>
              <w:t>במקום "וחניון" יבוא "</w:t>
            </w:r>
            <w:r w:rsidR="00A36B66" w:rsidRPr="00122C11">
              <w:rPr>
                <w:rFonts w:hint="cs"/>
                <w:rtl/>
              </w:rPr>
              <w:t>חניון</w:t>
            </w:r>
            <w:r w:rsidR="00A36B66">
              <w:rPr>
                <w:rFonts w:hint="cs"/>
                <w:rtl/>
              </w:rPr>
              <w:t>" ובסופה יבוא</w:t>
            </w:r>
            <w:r w:rsidRPr="00A36B66">
              <w:rPr>
                <w:rFonts w:hint="cs"/>
                <w:rtl/>
              </w:rPr>
              <w:t xml:space="preserve"> "ובתי </w:t>
            </w:r>
            <w:r w:rsidR="00122C11">
              <w:rPr>
                <w:rFonts w:hint="cs"/>
                <w:rtl/>
              </w:rPr>
              <w:t>קברות</w:t>
            </w:r>
            <w:r w:rsidR="00122C11" w:rsidRPr="00A36B66">
              <w:rPr>
                <w:rFonts w:hint="cs"/>
                <w:rtl/>
              </w:rPr>
              <w:t xml:space="preserve"> </w:t>
            </w:r>
            <w:r w:rsidRPr="00A36B66">
              <w:rPr>
                <w:rFonts w:hint="cs"/>
                <w:rtl/>
              </w:rPr>
              <w:t>אזוריים".</w:t>
            </w:r>
          </w:p>
        </w:tc>
      </w:tr>
    </w:tbl>
    <w:p w14:paraId="7F6961CA" w14:textId="77777777" w:rsidR="002D1EE3" w:rsidRPr="00A36B66" w:rsidRDefault="002D1EE3" w:rsidP="00663A89">
      <w:pPr>
        <w:pStyle w:val="HeadDivreiHesber"/>
        <w:rPr>
          <w:sz w:val="26"/>
          <w:rtl/>
        </w:rPr>
      </w:pPr>
      <w:r w:rsidRPr="00A36B66">
        <w:rPr>
          <w:rFonts w:hint="cs"/>
          <w:sz w:val="26"/>
          <w:rtl/>
        </w:rPr>
        <w:t>דברי הסבר</w:t>
      </w:r>
    </w:p>
    <w:p w14:paraId="1EEAC24A" w14:textId="674FD02F" w:rsidR="00663A89" w:rsidRPr="00A36B66" w:rsidRDefault="003740F0" w:rsidP="003740F0">
      <w:pPr>
        <w:pStyle w:val="Hesber"/>
        <w:rPr>
          <w:rtl/>
        </w:rPr>
      </w:pPr>
      <w:r>
        <w:rPr>
          <w:rFonts w:hint="cs"/>
          <w:rtl/>
        </w:rPr>
        <w:t xml:space="preserve">כיום, בהגדרה </w:t>
      </w:r>
      <w:r w:rsidR="00663A89" w:rsidRPr="00A36B66">
        <w:rPr>
          <w:rFonts w:hint="cs"/>
          <w:rtl/>
        </w:rPr>
        <w:t xml:space="preserve">"תשתיות לאומיות" שבסעיף 1 לחוק </w:t>
      </w:r>
      <w:r w:rsidR="00333A8B">
        <w:rPr>
          <w:rFonts w:hint="cs"/>
          <w:rtl/>
        </w:rPr>
        <w:t xml:space="preserve">התכנון והבנייה, </w:t>
      </w:r>
      <w:proofErr w:type="spellStart"/>
      <w:r w:rsidR="00333A8B">
        <w:rPr>
          <w:rFonts w:hint="cs"/>
          <w:rtl/>
        </w:rPr>
        <w:t>התשכ"ה</w:t>
      </w:r>
      <w:proofErr w:type="spellEnd"/>
      <w:r w:rsidR="00333A8B">
        <w:rPr>
          <w:rFonts w:hint="eastAsia"/>
          <w:rtl/>
        </w:rPr>
        <w:t>–1965</w:t>
      </w:r>
      <w:r w:rsidR="00663A89" w:rsidRPr="00A36B66">
        <w:rPr>
          <w:rFonts w:hint="cs"/>
          <w:rtl/>
        </w:rPr>
        <w:t xml:space="preserve">, אין התייחסות לבתי </w:t>
      </w:r>
      <w:r w:rsidR="00122C11">
        <w:rPr>
          <w:rFonts w:hint="cs"/>
          <w:rtl/>
        </w:rPr>
        <w:t>קברות</w:t>
      </w:r>
      <w:r w:rsidR="00663A89" w:rsidRPr="00A36B66">
        <w:rPr>
          <w:rFonts w:hint="cs"/>
          <w:rtl/>
        </w:rPr>
        <w:t xml:space="preserve"> אזוריים על אף העובדה שאין מחלוקת כי בתי </w:t>
      </w:r>
      <w:r w:rsidR="00122C11">
        <w:rPr>
          <w:rFonts w:hint="cs"/>
          <w:rtl/>
        </w:rPr>
        <w:t>קברות</w:t>
      </w:r>
      <w:r w:rsidR="00663A89" w:rsidRPr="00A36B66">
        <w:rPr>
          <w:rFonts w:hint="cs"/>
          <w:rtl/>
        </w:rPr>
        <w:t xml:space="preserve"> </w:t>
      </w:r>
      <w:r w:rsidR="00B6170C">
        <w:rPr>
          <w:rFonts w:hint="cs"/>
          <w:rtl/>
        </w:rPr>
        <w:t xml:space="preserve">כאמור </w:t>
      </w:r>
      <w:r w:rsidR="00663A89" w:rsidRPr="00A36B66">
        <w:rPr>
          <w:rFonts w:hint="cs"/>
          <w:rtl/>
        </w:rPr>
        <w:t xml:space="preserve">הם בבחינת תשתית לאומית. </w:t>
      </w:r>
    </w:p>
    <w:p w14:paraId="7BF28CE3" w14:textId="77777777" w:rsidR="003740F0" w:rsidRDefault="00663A89" w:rsidP="00122C11">
      <w:pPr>
        <w:pStyle w:val="Hesber"/>
        <w:rPr>
          <w:rtl/>
        </w:rPr>
      </w:pPr>
      <w:r w:rsidRPr="00A36B66">
        <w:rPr>
          <w:rFonts w:hint="cs"/>
          <w:rtl/>
        </w:rPr>
        <w:t xml:space="preserve"> להקמת בתי </w:t>
      </w:r>
      <w:r w:rsidR="00122C11">
        <w:rPr>
          <w:rFonts w:hint="cs"/>
          <w:rtl/>
        </w:rPr>
        <w:t>קברות</w:t>
      </w:r>
      <w:r w:rsidR="00B6170C" w:rsidRPr="00A36B66">
        <w:rPr>
          <w:rFonts w:hint="cs"/>
          <w:rtl/>
        </w:rPr>
        <w:t xml:space="preserve"> </w:t>
      </w:r>
      <w:r w:rsidRPr="00A36B66">
        <w:rPr>
          <w:rFonts w:hint="cs"/>
          <w:rtl/>
        </w:rPr>
        <w:t xml:space="preserve">אזוריים, ככל תשתית לאומית אחרת, ישנן השלכות רבות והשפעה </w:t>
      </w:r>
      <w:r w:rsidR="00B6170C">
        <w:rPr>
          <w:rFonts w:hint="cs"/>
          <w:rtl/>
        </w:rPr>
        <w:t xml:space="preserve">רבה </w:t>
      </w:r>
      <w:r w:rsidRPr="00A36B66">
        <w:rPr>
          <w:rFonts w:hint="cs"/>
          <w:rtl/>
        </w:rPr>
        <w:t>על המרחב התכנוני</w:t>
      </w:r>
      <w:r w:rsidR="00003C83">
        <w:rPr>
          <w:rFonts w:hint="cs"/>
          <w:rtl/>
        </w:rPr>
        <w:t>.</w:t>
      </w:r>
      <w:r w:rsidRPr="00A36B66">
        <w:rPr>
          <w:rFonts w:hint="cs"/>
          <w:rtl/>
        </w:rPr>
        <w:t xml:space="preserve"> השיקולים בקידו</w:t>
      </w:r>
      <w:r w:rsidR="00B6170C">
        <w:rPr>
          <w:rFonts w:hint="cs"/>
          <w:rtl/>
        </w:rPr>
        <w:t>מ</w:t>
      </w:r>
      <w:r w:rsidRPr="00A36B66">
        <w:rPr>
          <w:rFonts w:hint="cs"/>
          <w:rtl/>
        </w:rPr>
        <w:t xml:space="preserve">ם הקמתם </w:t>
      </w:r>
      <w:r w:rsidR="00003C83">
        <w:rPr>
          <w:rFonts w:hint="cs"/>
          <w:rtl/>
        </w:rPr>
        <w:t xml:space="preserve">של בתי </w:t>
      </w:r>
      <w:r w:rsidR="00122C11">
        <w:rPr>
          <w:rFonts w:hint="cs"/>
          <w:rtl/>
        </w:rPr>
        <w:t>קברות</w:t>
      </w:r>
      <w:r w:rsidR="00003C83">
        <w:rPr>
          <w:rFonts w:hint="cs"/>
          <w:rtl/>
        </w:rPr>
        <w:t xml:space="preserve"> אזוריים </w:t>
      </w:r>
      <w:r w:rsidRPr="00A36B66">
        <w:rPr>
          <w:rFonts w:hint="cs"/>
          <w:rtl/>
        </w:rPr>
        <w:t xml:space="preserve">אינם </w:t>
      </w:r>
      <w:r w:rsidR="00B6170C">
        <w:rPr>
          <w:rFonts w:hint="cs"/>
          <w:rtl/>
        </w:rPr>
        <w:t xml:space="preserve">שיקולים </w:t>
      </w:r>
      <w:r w:rsidRPr="00A36B66">
        <w:rPr>
          <w:rFonts w:hint="cs"/>
          <w:rtl/>
        </w:rPr>
        <w:t xml:space="preserve">מקומיים אלא </w:t>
      </w:r>
      <w:r w:rsidR="00B6170C">
        <w:rPr>
          <w:rFonts w:hint="cs"/>
          <w:rtl/>
        </w:rPr>
        <w:t xml:space="preserve">הם שיקולים </w:t>
      </w:r>
      <w:r w:rsidRPr="00A36B66">
        <w:rPr>
          <w:rFonts w:hint="cs"/>
          <w:rtl/>
        </w:rPr>
        <w:t xml:space="preserve">ארציים. בתי </w:t>
      </w:r>
      <w:r w:rsidR="00122C11">
        <w:rPr>
          <w:rFonts w:hint="cs"/>
          <w:rtl/>
        </w:rPr>
        <w:t>קברות</w:t>
      </w:r>
      <w:r w:rsidR="00B6170C" w:rsidRPr="00A36B66">
        <w:rPr>
          <w:rFonts w:hint="cs"/>
          <w:rtl/>
        </w:rPr>
        <w:t xml:space="preserve"> </w:t>
      </w:r>
      <w:r w:rsidRPr="00A36B66">
        <w:rPr>
          <w:rFonts w:hint="cs"/>
          <w:rtl/>
        </w:rPr>
        <w:t>אזוריים</w:t>
      </w:r>
      <w:r w:rsidR="00B6170C">
        <w:rPr>
          <w:rFonts w:hint="cs"/>
          <w:rtl/>
        </w:rPr>
        <w:t xml:space="preserve"> </w:t>
      </w:r>
      <w:r w:rsidRPr="00A36B66">
        <w:rPr>
          <w:rFonts w:hint="cs"/>
          <w:rtl/>
        </w:rPr>
        <w:t xml:space="preserve">הם בבחינת תשתית לאומית הטעונה טיפול מיוחד </w:t>
      </w:r>
      <w:r w:rsidR="00B6170C">
        <w:rPr>
          <w:rFonts w:hint="cs"/>
          <w:rtl/>
        </w:rPr>
        <w:t xml:space="preserve">וכן </w:t>
      </w:r>
      <w:r w:rsidRPr="00A36B66">
        <w:rPr>
          <w:rFonts w:hint="cs"/>
          <w:rtl/>
        </w:rPr>
        <w:t xml:space="preserve">בקידום מואץ של הקמתם לטובת הציבור. </w:t>
      </w:r>
    </w:p>
    <w:p w14:paraId="54B3DC23" w14:textId="3260268D" w:rsidR="00663A89" w:rsidRDefault="00663A89" w:rsidP="003740F0">
      <w:pPr>
        <w:pStyle w:val="Hesber"/>
        <w:rPr>
          <w:rtl/>
        </w:rPr>
      </w:pPr>
      <w:r w:rsidRPr="00A36B66">
        <w:rPr>
          <w:rFonts w:hint="cs"/>
          <w:rtl/>
        </w:rPr>
        <w:t>הצעת החוק נועדה לאפשר</w:t>
      </w:r>
      <w:r w:rsidRPr="00A36B66">
        <w:rPr>
          <w:rtl/>
        </w:rPr>
        <w:t xml:space="preserve"> </w:t>
      </w:r>
      <w:r w:rsidR="008D664F">
        <w:rPr>
          <w:rFonts w:hint="cs"/>
          <w:rtl/>
        </w:rPr>
        <w:t>לו</w:t>
      </w:r>
      <w:r w:rsidR="008D664F" w:rsidRPr="008D664F">
        <w:rPr>
          <w:rtl/>
        </w:rPr>
        <w:t xml:space="preserve">ועדה </w:t>
      </w:r>
      <w:r w:rsidR="008D664F">
        <w:rPr>
          <w:rFonts w:hint="cs"/>
          <w:rtl/>
        </w:rPr>
        <w:t>ה</w:t>
      </w:r>
      <w:r w:rsidR="008D664F" w:rsidRPr="008D664F">
        <w:rPr>
          <w:rtl/>
        </w:rPr>
        <w:t>ארצית לתכנון ולבנ</w:t>
      </w:r>
      <w:r w:rsidR="008D664F">
        <w:rPr>
          <w:rFonts w:hint="cs"/>
          <w:rtl/>
        </w:rPr>
        <w:t>י</w:t>
      </w:r>
      <w:r w:rsidR="008D664F" w:rsidRPr="008D664F">
        <w:rPr>
          <w:rtl/>
        </w:rPr>
        <w:t>יה של תשתיות לאומיות</w:t>
      </w:r>
      <w:r w:rsidR="00122C11">
        <w:rPr>
          <w:rFonts w:hint="cs"/>
          <w:rtl/>
        </w:rPr>
        <w:t xml:space="preserve"> </w:t>
      </w:r>
      <w:r w:rsidRPr="00A36B66">
        <w:rPr>
          <w:rFonts w:hint="cs"/>
          <w:rtl/>
        </w:rPr>
        <w:t>לטפל ב</w:t>
      </w:r>
      <w:r w:rsidRPr="00A36B66">
        <w:rPr>
          <w:rtl/>
        </w:rPr>
        <w:t xml:space="preserve">תכניות </w:t>
      </w:r>
      <w:r w:rsidR="003740F0">
        <w:rPr>
          <w:rFonts w:hint="cs"/>
          <w:rtl/>
        </w:rPr>
        <w:t>ש</w:t>
      </w:r>
      <w:r w:rsidRPr="00A36B66">
        <w:rPr>
          <w:rtl/>
        </w:rPr>
        <w:t xml:space="preserve">עניינן בתי </w:t>
      </w:r>
      <w:r w:rsidR="00122C11">
        <w:rPr>
          <w:rFonts w:hint="cs"/>
          <w:rtl/>
        </w:rPr>
        <w:t>קברות</w:t>
      </w:r>
      <w:r w:rsidR="00B6170C">
        <w:rPr>
          <w:rFonts w:hint="cs"/>
          <w:rtl/>
        </w:rPr>
        <w:t xml:space="preserve"> </w:t>
      </w:r>
      <w:r w:rsidRPr="00A36B66">
        <w:rPr>
          <w:rtl/>
        </w:rPr>
        <w:t>אזוריים</w:t>
      </w:r>
      <w:r w:rsidR="003740F0">
        <w:rPr>
          <w:rFonts w:hint="cs"/>
          <w:rtl/>
        </w:rPr>
        <w:t>.</w:t>
      </w:r>
    </w:p>
    <w:p w14:paraId="3D55C199" w14:textId="1FD1057D" w:rsidR="00505137" w:rsidRDefault="00505137" w:rsidP="003740F0">
      <w:pPr>
        <w:pStyle w:val="Hesber"/>
        <w:rPr>
          <w:rtl/>
        </w:rPr>
      </w:pPr>
    </w:p>
    <w:p w14:paraId="440383BB" w14:textId="77777777" w:rsidR="00505137" w:rsidRDefault="00505137" w:rsidP="003740F0">
      <w:pPr>
        <w:pStyle w:val="Hesber"/>
        <w:rPr>
          <w:rtl/>
        </w:rPr>
      </w:pPr>
    </w:p>
    <w:p w14:paraId="1200A01B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3D0AF264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6801C436" w14:textId="77777777" w:rsidR="00505137" w:rsidRPr="00D73212" w:rsidRDefault="00505137" w:rsidP="00505137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26D13C50" w14:textId="77777777" w:rsidR="00505137" w:rsidRPr="00317312" w:rsidRDefault="00505137" w:rsidP="00505137">
      <w:pPr>
        <w:pStyle w:val="Hesber"/>
      </w:pPr>
      <w:r>
        <w:rPr>
          <w:rFonts w:hint="cs"/>
          <w:color w:val="auto"/>
          <w:rtl/>
          <w:lang w:eastAsia="en-US"/>
        </w:rPr>
        <w:t>י"ט בתמוז</w:t>
      </w:r>
      <w:r w:rsidRPr="00D73212">
        <w:rPr>
          <w:color w:val="auto"/>
          <w:rtl/>
          <w:lang w:eastAsia="en-US"/>
        </w:rPr>
        <w:t xml:space="preserve"> </w:t>
      </w:r>
      <w:proofErr w:type="spellStart"/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ו</w:t>
      </w:r>
      <w:proofErr w:type="spellEnd"/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25.7</w:t>
      </w:r>
      <w:r w:rsidRPr="00D73212">
        <w:rPr>
          <w:color w:val="auto"/>
          <w:rtl/>
          <w:lang w:eastAsia="en-US"/>
        </w:rPr>
        <w:t>.1</w:t>
      </w:r>
      <w:r>
        <w:rPr>
          <w:rFonts w:hint="cs"/>
          <w:color w:val="auto"/>
          <w:rtl/>
          <w:lang w:eastAsia="en-US"/>
        </w:rPr>
        <w:t>6</w:t>
      </w:r>
    </w:p>
    <w:p w14:paraId="497EC825" w14:textId="77777777" w:rsidR="00505137" w:rsidRPr="00A36B66" w:rsidRDefault="00505137" w:rsidP="003740F0">
      <w:pPr>
        <w:pStyle w:val="Hesber"/>
        <w:rPr>
          <w:rtl/>
        </w:rPr>
      </w:pPr>
    </w:p>
    <w:sectPr w:rsidR="00505137" w:rsidRPr="00A36B66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ECAA4E" w14:textId="77777777" w:rsidR="00D2167B" w:rsidRDefault="00D2167B">
      <w:r>
        <w:separator/>
      </w:r>
    </w:p>
  </w:endnote>
  <w:endnote w:type="continuationSeparator" w:id="0">
    <w:p w14:paraId="2258165E" w14:textId="77777777" w:rsidR="00D2167B" w:rsidRDefault="00D2167B">
      <w:r>
        <w:continuationSeparator/>
      </w:r>
    </w:p>
  </w:endnote>
  <w:endnote w:type="continuationNotice" w:id="1">
    <w:p w14:paraId="59677C6A" w14:textId="77777777" w:rsidR="00D2167B" w:rsidRDefault="00D2167B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122C11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5A2329" w14:textId="77777777" w:rsidR="00D2167B" w:rsidRDefault="00D2167B">
      <w:r>
        <w:separator/>
      </w:r>
    </w:p>
  </w:footnote>
  <w:footnote w:type="continuationSeparator" w:id="0">
    <w:p w14:paraId="3B8B340D" w14:textId="77777777" w:rsidR="00D2167B" w:rsidRDefault="00D2167B">
      <w:r>
        <w:continuationSeparator/>
      </w:r>
    </w:p>
  </w:footnote>
  <w:footnote w:type="continuationNotice" w:id="1">
    <w:p w14:paraId="70979738" w14:textId="77777777" w:rsidR="00D2167B" w:rsidRDefault="00D2167B"/>
  </w:footnote>
  <w:footnote w:id="2">
    <w:p w14:paraId="0814FA31" w14:textId="30BEBA1B" w:rsidR="009F3FF9" w:rsidRDefault="009F3FF9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</w:t>
      </w:r>
      <w:proofErr w:type="spellStart"/>
      <w:r>
        <w:rPr>
          <w:rFonts w:hint="cs"/>
          <w:rtl/>
        </w:rPr>
        <w:t>התשכ"ה</w:t>
      </w:r>
      <w:proofErr w:type="spellEnd"/>
      <w:r>
        <w:rPr>
          <w:rFonts w:hint="cs"/>
          <w:rtl/>
        </w:rPr>
        <w:t>, עמ' 307.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3C83"/>
    <w:rsid w:val="00015B27"/>
    <w:rsid w:val="00063A3E"/>
    <w:rsid w:val="00072CAC"/>
    <w:rsid w:val="0007681A"/>
    <w:rsid w:val="00082F50"/>
    <w:rsid w:val="000A542E"/>
    <w:rsid w:val="00102B6B"/>
    <w:rsid w:val="001052D4"/>
    <w:rsid w:val="0010644B"/>
    <w:rsid w:val="001207F8"/>
    <w:rsid w:val="00121924"/>
    <w:rsid w:val="00122C11"/>
    <w:rsid w:val="001279A8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232D5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3232A2"/>
    <w:rsid w:val="00325C14"/>
    <w:rsid w:val="00333A8B"/>
    <w:rsid w:val="0036422C"/>
    <w:rsid w:val="003710F6"/>
    <w:rsid w:val="003740F0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D5A47"/>
    <w:rsid w:val="004E4552"/>
    <w:rsid w:val="004E6CDF"/>
    <w:rsid w:val="00505137"/>
    <w:rsid w:val="00553C9D"/>
    <w:rsid w:val="00562A66"/>
    <w:rsid w:val="005B064E"/>
    <w:rsid w:val="005D51AE"/>
    <w:rsid w:val="0062674B"/>
    <w:rsid w:val="006363B2"/>
    <w:rsid w:val="00644940"/>
    <w:rsid w:val="00663A89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D664F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9F3FF9"/>
    <w:rsid w:val="00A14672"/>
    <w:rsid w:val="00A26BD6"/>
    <w:rsid w:val="00A36B6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6170C"/>
    <w:rsid w:val="00B733A7"/>
    <w:rsid w:val="00B75C91"/>
    <w:rsid w:val="00B975AD"/>
    <w:rsid w:val="00BC45FB"/>
    <w:rsid w:val="00BF148D"/>
    <w:rsid w:val="00C23B1A"/>
    <w:rsid w:val="00C310EB"/>
    <w:rsid w:val="00C4642C"/>
    <w:rsid w:val="00C9176A"/>
    <w:rsid w:val="00CF1AA2"/>
    <w:rsid w:val="00D17774"/>
    <w:rsid w:val="00D2167B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D770E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3FF9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9F3FF9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9F3FF9"/>
    <w:rPr>
      <w:sz w:val="36"/>
      <w:szCs w:val="52"/>
    </w:rPr>
  </w:style>
  <w:style w:type="paragraph" w:customStyle="1" w:styleId="Cover3-Haknesset">
    <w:name w:val="Cover 3-Haknesset"/>
    <w:basedOn w:val="Cover1-Reshumot"/>
    <w:rsid w:val="009F3FF9"/>
    <w:rPr>
      <w:b/>
      <w:bCs/>
      <w:spacing w:val="60"/>
    </w:rPr>
  </w:style>
  <w:style w:type="paragraph" w:customStyle="1" w:styleId="Cover4-Date">
    <w:name w:val="Cover 4-Date"/>
    <w:basedOn w:val="a"/>
    <w:rsid w:val="009F3FF9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9F3FF9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9F3FF9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9F3FF9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9F3FF9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9F3FF9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9F3FF9"/>
  </w:style>
  <w:style w:type="paragraph" w:customStyle="1" w:styleId="TableBlock">
    <w:name w:val="Table Block"/>
    <w:basedOn w:val="TableText"/>
    <w:rsid w:val="009F3FF9"/>
    <w:pPr>
      <w:ind w:right="0"/>
      <w:jc w:val="both"/>
    </w:pPr>
  </w:style>
  <w:style w:type="paragraph" w:customStyle="1" w:styleId="TableHead">
    <w:name w:val="Table Head"/>
    <w:basedOn w:val="TableText"/>
    <w:rsid w:val="009F3FF9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9F3FF9"/>
  </w:style>
  <w:style w:type="paragraph" w:customStyle="1" w:styleId="Hesber">
    <w:name w:val="Hesber"/>
    <w:basedOn w:val="a"/>
    <w:rsid w:val="009F3FF9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semiHidden/>
    <w:rsid w:val="009F3FF9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semiHidden/>
    <w:rsid w:val="009F3FF9"/>
    <w:rPr>
      <w:vertAlign w:val="superscript"/>
    </w:rPr>
  </w:style>
  <w:style w:type="paragraph" w:customStyle="1" w:styleId="HesberHeading">
    <w:name w:val="Hesber Heading"/>
    <w:basedOn w:val="Hesber"/>
    <w:rsid w:val="009F3FF9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9F3FF9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9F3FF9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9F3FF9"/>
    <w:rPr>
      <w:vertAlign w:val="superscript"/>
    </w:rPr>
  </w:style>
  <w:style w:type="paragraph" w:customStyle="1" w:styleId="TableBlockOutdent">
    <w:name w:val="Table BlockOutdent"/>
    <w:basedOn w:val="TableBlock"/>
    <w:rsid w:val="009F3FF9"/>
    <w:pPr>
      <w:ind w:left="624" w:hanging="624"/>
    </w:pPr>
  </w:style>
  <w:style w:type="paragraph" w:styleId="a8">
    <w:name w:val="header"/>
    <w:basedOn w:val="a"/>
    <w:rsid w:val="009F3FF9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9F3FF9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9F3FF9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9F3FF9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9F3FF9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paragraph" w:customStyle="1" w:styleId="P00">
    <w:name w:val="P00"/>
    <w:link w:val="P000"/>
    <w:rsid w:val="00663A89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/>
      <w:ind w:left="2835"/>
      <w:jc w:val="both"/>
    </w:pPr>
    <w:rPr>
      <w:rFonts w:eastAsia="Times New Roman"/>
      <w:noProof/>
      <w:szCs w:val="26"/>
      <w:lang w:eastAsia="he-IL"/>
    </w:rPr>
  </w:style>
  <w:style w:type="character" w:customStyle="1" w:styleId="default">
    <w:name w:val="default"/>
    <w:basedOn w:val="a0"/>
    <w:rsid w:val="00663A89"/>
    <w:rPr>
      <w:rFonts w:ascii="Times New Roman" w:hAnsi="Times New Roman" w:cs="Times New Roman"/>
      <w:sz w:val="26"/>
      <w:szCs w:val="26"/>
    </w:rPr>
  </w:style>
  <w:style w:type="character" w:customStyle="1" w:styleId="P000">
    <w:name w:val="P00 תו"/>
    <w:basedOn w:val="a0"/>
    <w:link w:val="P00"/>
    <w:rsid w:val="00663A89"/>
    <w:rPr>
      <w:rFonts w:eastAsia="Times New Roman"/>
      <w:noProof/>
      <w:szCs w:val="26"/>
      <w:lang w:eastAsia="he-IL"/>
    </w:rPr>
  </w:style>
  <w:style w:type="character" w:customStyle="1" w:styleId="a5">
    <w:name w:val="טקסט הערת שוליים תו"/>
    <w:basedOn w:val="a0"/>
    <w:link w:val="a4"/>
    <w:semiHidden/>
    <w:rsid w:val="00663A89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86D40-1687-49AD-A797-C4FC73938A86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5C583E-35E6-4E04-95EF-5E5E60E88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920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2017-12-05T14:52:00Z</cp:lastPrinted>
  <dcterms:created xsi:type="dcterms:W3CDTF">2017-12-05T14:53:00Z</dcterms:created>
  <dcterms:modified xsi:type="dcterms:W3CDTF">2017-12-05T14:53:00Z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2063725</vt:r8>
  </property>
</Properties>
</file>