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566786</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בצלאל סמוטריץ'</w:t>
      </w:r>
      <w:r>
        <w:br/>
      </w:r>
      <w:r>
        <w:rPr>
          <w:rFonts w:hint="cs"/>
          <w:b/>
          <w:bCs/>
          <w:rtl/>
        </w:rPr>
        <w:t xml:space="preserve"> </w:t>
      </w:r>
      <w:r>
        <w:tab/>
      </w:r>
      <w:r>
        <w:tab/>
      </w:r>
      <w:r>
        <w:tab/>
      </w:r>
      <w:r>
        <w:tab/>
      </w:r>
      <w:r>
        <w:rPr>
          <w:rFonts w:hint="cs"/>
          <w:b/>
          <w:bCs/>
          <w:rtl/>
        </w:rPr>
        <w:t>דוד אמסלם</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B0C39">
      <w:pPr>
        <w:pStyle w:val="David"/>
        <w:spacing w:before="0" w:line="24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3B0C39">
      <w:pPr>
        <w:pStyle w:val="David"/>
        <w:spacing w:before="0" w:line="240" w:lineRule="auto"/>
        <w:ind w:left="3544"/>
        <w:rPr>
          <w:rtl/>
        </w:rPr>
      </w:pPr>
      <w:r>
        <w:t xml:space="preserve">                                            </w:t>
      </w:r>
      <w:r w:rsidR="008F1308">
        <w:t xml:space="preserve"> </w:t>
      </w:r>
      <w:bookmarkStart w:id="7" w:name="Private_Number"/>
      <w:r>
        <w:rPr>
          <w:rFonts w:hint="cs"/>
          <w:rtl/>
        </w:rPr>
        <w:t>פ/1746/20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3B0C39">
      <w:pPr>
        <w:pStyle w:val="HeadHatzaotHok"/>
        <w:spacing w:line="240" w:lineRule="auto"/>
        <w:rPr>
          <w:rtl/>
        </w:rPr>
      </w:pPr>
      <w:bookmarkStart w:id="8" w:name="LGS_Subject"/>
      <w:r>
        <w:rPr>
          <w:rFonts w:hint="cs"/>
          <w:rtl/>
        </w:rPr>
        <w:t xml:space="preserve">הצעת חוק פיצויים לבעלי זכות במקרקעין מועברים, </w:t>
      </w:r>
      <w:proofErr w:type="spellStart"/>
      <w:r>
        <w:rPr>
          <w:rFonts w:hint="cs"/>
          <w:rtl/>
        </w:rPr>
        <w:t>התשע"ה</w:t>
      </w:r>
      <w:proofErr w:type="spellEnd"/>
      <w:r>
        <w:rPr>
          <w:rFonts w:hint="cs"/>
          <w:rtl/>
        </w:rPr>
        <w:t>–2015</w:t>
      </w:r>
      <w:bookmarkEnd w:id="8"/>
    </w:p>
    <w:p w14:paraId="1E4A7730" w14:textId="77777777" w:rsidR="003B0C39" w:rsidRPr="00F67051" w:rsidRDefault="003B0C39" w:rsidP="003B0C39">
      <w:pPr>
        <w:pStyle w:val="HeadHatzaotHok"/>
        <w:spacing w:line="240" w:lineRule="auto"/>
        <w:rPr>
          <w:rtl/>
        </w:rPr>
      </w:pP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0"/>
      </w:tblGrid>
      <w:tr w:rsidR="00992FFC" w14:paraId="56DBE9BC" w14:textId="77777777" w:rsidTr="00441359">
        <w:trPr>
          <w:cantSplit/>
        </w:trPr>
        <w:tc>
          <w:tcPr>
            <w:tcW w:w="1871" w:type="dxa"/>
            <w:hideMark/>
          </w:tcPr>
          <w:p w14:paraId="4E10DBEB" w14:textId="51C918B5" w:rsidR="00992FFC" w:rsidRPr="001077E3" w:rsidRDefault="00992FFC" w:rsidP="001077E3">
            <w:pPr>
              <w:pStyle w:val="TableSideHeading"/>
              <w:ind w:right="0"/>
            </w:pPr>
            <w:r w:rsidRPr="001077E3">
              <w:rPr>
                <w:rFonts w:hint="cs"/>
                <w:rtl/>
              </w:rPr>
              <w:t>מטרת החוק</w:t>
            </w:r>
          </w:p>
        </w:tc>
        <w:tc>
          <w:tcPr>
            <w:tcW w:w="624" w:type="dxa"/>
            <w:hideMark/>
          </w:tcPr>
          <w:p w14:paraId="77D19917" w14:textId="77777777" w:rsidR="00992FFC" w:rsidRPr="001077E3" w:rsidRDefault="00992FFC" w:rsidP="001077E3">
            <w:pPr>
              <w:pStyle w:val="TableText"/>
              <w:ind w:right="0"/>
              <w:jc w:val="both"/>
            </w:pPr>
            <w:r w:rsidRPr="001077E3">
              <w:rPr>
                <w:rFonts w:hint="cs"/>
                <w:rtl/>
              </w:rPr>
              <w:t>1.</w:t>
            </w:r>
          </w:p>
        </w:tc>
        <w:tc>
          <w:tcPr>
            <w:tcW w:w="7144" w:type="dxa"/>
            <w:gridSpan w:val="2"/>
            <w:hideMark/>
          </w:tcPr>
          <w:p w14:paraId="3EEAF593" w14:textId="1D06FC33" w:rsidR="00992FFC" w:rsidRDefault="00992FFC" w:rsidP="001077E3">
            <w:pPr>
              <w:pStyle w:val="TableBlock"/>
            </w:pPr>
            <w:r>
              <w:rPr>
                <w:rFonts w:hint="cs"/>
                <w:sz w:val="26"/>
                <w:rtl/>
              </w:rPr>
              <w:t>חוק זה, מטרתו לקבוע זכות לפיצויים ומנגנון לפיצויים לבעלי זכות במקרקעין שהשליטה בהם הועברה לידי מדינת חוץ, הרשו</w:t>
            </w:r>
            <w:r w:rsidR="00F34CBD">
              <w:rPr>
                <w:rFonts w:hint="cs"/>
                <w:sz w:val="26"/>
                <w:rtl/>
              </w:rPr>
              <w:t>ת הפלסטינית או כל גורם אחר שאינ</w:t>
            </w:r>
            <w:r>
              <w:rPr>
                <w:rFonts w:hint="cs"/>
                <w:sz w:val="26"/>
                <w:rtl/>
              </w:rPr>
              <w:t>ו פועל מכוחה של מדינת ישראל.</w:t>
            </w:r>
          </w:p>
        </w:tc>
      </w:tr>
      <w:tr w:rsidR="00992FFC" w14:paraId="4F731637" w14:textId="77777777" w:rsidTr="00441359">
        <w:trPr>
          <w:cantSplit/>
        </w:trPr>
        <w:tc>
          <w:tcPr>
            <w:tcW w:w="1871" w:type="dxa"/>
            <w:hideMark/>
          </w:tcPr>
          <w:p w14:paraId="4DA2A943" w14:textId="77777777" w:rsidR="00992FFC" w:rsidRPr="001077E3" w:rsidRDefault="00992FFC" w:rsidP="001077E3">
            <w:pPr>
              <w:pStyle w:val="TableSideHeading"/>
            </w:pPr>
            <w:r w:rsidRPr="001077E3">
              <w:rPr>
                <w:rFonts w:hint="cs"/>
                <w:rtl/>
              </w:rPr>
              <w:t>הגדרות</w:t>
            </w:r>
          </w:p>
        </w:tc>
        <w:tc>
          <w:tcPr>
            <w:tcW w:w="624" w:type="dxa"/>
            <w:hideMark/>
          </w:tcPr>
          <w:p w14:paraId="7444529E" w14:textId="77777777" w:rsidR="00992FFC" w:rsidRPr="001077E3" w:rsidRDefault="00992FFC" w:rsidP="001077E3">
            <w:pPr>
              <w:pStyle w:val="TableText"/>
            </w:pPr>
            <w:r w:rsidRPr="001077E3">
              <w:rPr>
                <w:rFonts w:hint="cs"/>
                <w:rtl/>
              </w:rPr>
              <w:t>2.</w:t>
            </w:r>
          </w:p>
        </w:tc>
        <w:tc>
          <w:tcPr>
            <w:tcW w:w="7144" w:type="dxa"/>
            <w:gridSpan w:val="2"/>
            <w:hideMark/>
          </w:tcPr>
          <w:p w14:paraId="7C226B16" w14:textId="77777777" w:rsidR="00992FFC" w:rsidRDefault="00992FFC" w:rsidP="001077E3">
            <w:pPr>
              <w:pStyle w:val="TableBlock"/>
            </w:pPr>
            <w:r>
              <w:rPr>
                <w:rFonts w:hint="cs"/>
                <w:sz w:val="26"/>
                <w:rtl/>
              </w:rPr>
              <w:t>בחוק זה –</w:t>
            </w:r>
          </w:p>
        </w:tc>
      </w:tr>
      <w:tr w:rsidR="00992FFC" w14:paraId="465C7167" w14:textId="77777777" w:rsidTr="00441359">
        <w:trPr>
          <w:cantSplit/>
        </w:trPr>
        <w:tc>
          <w:tcPr>
            <w:tcW w:w="1871" w:type="dxa"/>
          </w:tcPr>
          <w:p w14:paraId="0D281320" w14:textId="77777777" w:rsidR="00992FFC" w:rsidRPr="001077E3" w:rsidRDefault="00992FFC" w:rsidP="001077E3">
            <w:pPr>
              <w:pStyle w:val="TableSideHeading"/>
            </w:pPr>
          </w:p>
        </w:tc>
        <w:tc>
          <w:tcPr>
            <w:tcW w:w="624" w:type="dxa"/>
          </w:tcPr>
          <w:p w14:paraId="55726F9E" w14:textId="77777777" w:rsidR="00992FFC" w:rsidRPr="001077E3" w:rsidRDefault="00992FFC" w:rsidP="001077E3">
            <w:pPr>
              <w:pStyle w:val="TableText"/>
            </w:pPr>
          </w:p>
        </w:tc>
        <w:tc>
          <w:tcPr>
            <w:tcW w:w="7144" w:type="dxa"/>
            <w:gridSpan w:val="2"/>
            <w:hideMark/>
          </w:tcPr>
          <w:p w14:paraId="2230D4B2" w14:textId="20AF3530" w:rsidR="00992FFC" w:rsidRDefault="00992FFC" w:rsidP="001077E3">
            <w:pPr>
              <w:pStyle w:val="TableBlockOutdent"/>
              <w:rPr>
                <w:sz w:val="26"/>
              </w:rPr>
            </w:pPr>
            <w:r>
              <w:rPr>
                <w:rFonts w:hint="cs"/>
                <w:sz w:val="26"/>
                <w:rtl/>
              </w:rPr>
              <w:t>"א</w:t>
            </w:r>
            <w:r w:rsidR="00F34CBD">
              <w:rPr>
                <w:rFonts w:hint="cs"/>
                <w:sz w:val="26"/>
                <w:rtl/>
              </w:rPr>
              <w:t>זור" –  כמשמעותו בסעיף 16א(א)</w:t>
            </w:r>
            <w:r>
              <w:rPr>
                <w:rFonts w:hint="cs"/>
                <w:sz w:val="26"/>
                <w:rtl/>
              </w:rPr>
              <w:t xml:space="preserve"> לחוק מיסוי מקרקעין (שבח ורכישה), </w:t>
            </w:r>
            <w:proofErr w:type="spellStart"/>
            <w:r>
              <w:rPr>
                <w:rFonts w:hint="cs"/>
                <w:sz w:val="26"/>
                <w:rtl/>
              </w:rPr>
              <w:t>התשכ"ג</w:t>
            </w:r>
            <w:proofErr w:type="spellEnd"/>
            <w:r>
              <w:rPr>
                <w:rFonts w:hint="cs"/>
                <w:sz w:val="26"/>
                <w:rtl/>
              </w:rPr>
              <w:t>–1963</w:t>
            </w:r>
            <w:r>
              <w:rPr>
                <w:szCs w:val="20"/>
                <w:rtl/>
              </w:rPr>
              <w:footnoteReference w:id="2"/>
            </w:r>
            <w:r>
              <w:rPr>
                <w:rFonts w:hint="cs"/>
                <w:sz w:val="26"/>
                <w:rtl/>
              </w:rPr>
              <w:t xml:space="preserve">;  </w:t>
            </w:r>
          </w:p>
        </w:tc>
      </w:tr>
      <w:tr w:rsidR="00992FFC" w14:paraId="2E03D8A7" w14:textId="77777777" w:rsidTr="00441359">
        <w:trPr>
          <w:cantSplit/>
        </w:trPr>
        <w:tc>
          <w:tcPr>
            <w:tcW w:w="1871" w:type="dxa"/>
          </w:tcPr>
          <w:p w14:paraId="1D9E3CA5" w14:textId="77777777" w:rsidR="00992FFC" w:rsidRPr="001077E3" w:rsidRDefault="00992FFC" w:rsidP="001077E3">
            <w:pPr>
              <w:pStyle w:val="TableSideHeading"/>
            </w:pPr>
          </w:p>
        </w:tc>
        <w:tc>
          <w:tcPr>
            <w:tcW w:w="624" w:type="dxa"/>
          </w:tcPr>
          <w:p w14:paraId="5A8954FD" w14:textId="77777777" w:rsidR="00992FFC" w:rsidRPr="001077E3" w:rsidRDefault="00992FFC" w:rsidP="001077E3">
            <w:pPr>
              <w:pStyle w:val="TableText"/>
            </w:pPr>
          </w:p>
        </w:tc>
        <w:tc>
          <w:tcPr>
            <w:tcW w:w="7144" w:type="dxa"/>
            <w:gridSpan w:val="2"/>
            <w:hideMark/>
          </w:tcPr>
          <w:p w14:paraId="618E5FF3" w14:textId="77777777" w:rsidR="00992FFC" w:rsidRDefault="00992FFC" w:rsidP="001077E3">
            <w:pPr>
              <w:pStyle w:val="TableBlockOutdent"/>
              <w:rPr>
                <w:sz w:val="26"/>
              </w:rPr>
            </w:pPr>
            <w:r>
              <w:rPr>
                <w:rFonts w:hint="cs"/>
                <w:sz w:val="26"/>
                <w:rtl/>
              </w:rPr>
              <w:t xml:space="preserve">"זכות במקרקעין" – כהגדרתה בסעיף 1 לחוק מיסוי מקרקעין (שבח ורכישה), </w:t>
            </w:r>
            <w:proofErr w:type="spellStart"/>
            <w:r>
              <w:rPr>
                <w:rFonts w:hint="cs"/>
                <w:sz w:val="26"/>
                <w:rtl/>
              </w:rPr>
              <w:t>התשכ"ג</w:t>
            </w:r>
            <w:proofErr w:type="spellEnd"/>
            <w:r>
              <w:rPr>
                <w:rFonts w:hint="cs"/>
                <w:sz w:val="26"/>
                <w:rtl/>
              </w:rPr>
              <w:t>–1963, ולרבות –</w:t>
            </w:r>
          </w:p>
        </w:tc>
      </w:tr>
      <w:tr w:rsidR="00992FFC" w14:paraId="5EF27BE2" w14:textId="77777777" w:rsidTr="00441359">
        <w:trPr>
          <w:cantSplit/>
        </w:trPr>
        <w:tc>
          <w:tcPr>
            <w:tcW w:w="1871" w:type="dxa"/>
          </w:tcPr>
          <w:p w14:paraId="649B3D4E" w14:textId="77777777" w:rsidR="00992FFC" w:rsidRPr="001077E3" w:rsidRDefault="00992FFC" w:rsidP="001077E3">
            <w:pPr>
              <w:pStyle w:val="TableSideHeading"/>
            </w:pPr>
          </w:p>
        </w:tc>
        <w:tc>
          <w:tcPr>
            <w:tcW w:w="624" w:type="dxa"/>
          </w:tcPr>
          <w:p w14:paraId="328BD3D8" w14:textId="77777777" w:rsidR="00992FFC" w:rsidRPr="001077E3" w:rsidRDefault="00992FFC" w:rsidP="001077E3">
            <w:pPr>
              <w:pStyle w:val="TableText"/>
            </w:pPr>
          </w:p>
        </w:tc>
        <w:tc>
          <w:tcPr>
            <w:tcW w:w="624" w:type="dxa"/>
          </w:tcPr>
          <w:p w14:paraId="394ADEA2" w14:textId="77777777" w:rsidR="00992FFC" w:rsidRDefault="00992FFC" w:rsidP="00BC7160">
            <w:pPr>
              <w:pStyle w:val="TableText"/>
              <w:ind w:right="0"/>
              <w:jc w:val="both"/>
            </w:pPr>
          </w:p>
        </w:tc>
        <w:tc>
          <w:tcPr>
            <w:tcW w:w="6520" w:type="dxa"/>
            <w:hideMark/>
          </w:tcPr>
          <w:p w14:paraId="084BCC8A" w14:textId="77777777" w:rsidR="00992FFC" w:rsidRDefault="00992FFC" w:rsidP="001077E3">
            <w:pPr>
              <w:pStyle w:val="TableBlock"/>
            </w:pPr>
            <w:r>
              <w:rPr>
                <w:rFonts w:hint="cs"/>
                <w:sz w:val="26"/>
                <w:rtl/>
              </w:rPr>
              <w:t>(1)</w:t>
            </w:r>
            <w:r>
              <w:rPr>
                <w:rFonts w:hint="cs"/>
                <w:sz w:val="26"/>
                <w:rtl/>
              </w:rPr>
              <w:tab/>
              <w:t>זכות חוזית במקרקעין שאינם אדמת מדינה מוכרזת ואשר נפתח לגביהם תיק בקשה לרישום ראשון לפי החוק הירדני לרישום נכסי דלא ניידי אשר טרם נרשמו, מס' 6 לשנת 1964;</w:t>
            </w:r>
          </w:p>
        </w:tc>
      </w:tr>
      <w:tr w:rsidR="00992FFC" w14:paraId="52F0CB94" w14:textId="77777777" w:rsidTr="00441359">
        <w:trPr>
          <w:cantSplit/>
        </w:trPr>
        <w:tc>
          <w:tcPr>
            <w:tcW w:w="1871" w:type="dxa"/>
          </w:tcPr>
          <w:p w14:paraId="17877E52" w14:textId="77777777" w:rsidR="00992FFC" w:rsidRPr="001077E3" w:rsidRDefault="00992FFC" w:rsidP="001077E3">
            <w:pPr>
              <w:pStyle w:val="TableSideHeading"/>
            </w:pPr>
          </w:p>
        </w:tc>
        <w:tc>
          <w:tcPr>
            <w:tcW w:w="624" w:type="dxa"/>
          </w:tcPr>
          <w:p w14:paraId="4405D4DF" w14:textId="77777777" w:rsidR="00992FFC" w:rsidRPr="001077E3" w:rsidRDefault="00992FFC" w:rsidP="001077E3">
            <w:pPr>
              <w:pStyle w:val="TableText"/>
            </w:pPr>
          </w:p>
        </w:tc>
        <w:tc>
          <w:tcPr>
            <w:tcW w:w="624" w:type="dxa"/>
          </w:tcPr>
          <w:p w14:paraId="2EC45AFC" w14:textId="77777777" w:rsidR="00992FFC" w:rsidRDefault="00992FFC" w:rsidP="00BC7160">
            <w:pPr>
              <w:pStyle w:val="TableText"/>
              <w:rPr>
                <w:sz w:val="26"/>
              </w:rPr>
            </w:pPr>
          </w:p>
        </w:tc>
        <w:tc>
          <w:tcPr>
            <w:tcW w:w="6520" w:type="dxa"/>
            <w:hideMark/>
          </w:tcPr>
          <w:p w14:paraId="3DE34592" w14:textId="77777777" w:rsidR="00992FFC" w:rsidRDefault="00992FFC" w:rsidP="001077E3">
            <w:pPr>
              <w:pStyle w:val="TableBlock"/>
              <w:rPr>
                <w:sz w:val="26"/>
              </w:rPr>
            </w:pPr>
            <w:r>
              <w:rPr>
                <w:rFonts w:hint="cs"/>
                <w:sz w:val="26"/>
                <w:rtl/>
              </w:rPr>
              <w:t>(2)</w:t>
            </w:r>
            <w:r>
              <w:rPr>
                <w:rFonts w:hint="cs"/>
                <w:sz w:val="26"/>
                <w:rtl/>
              </w:rPr>
              <w:tab/>
              <w:t>זכות במקרקעין שנקבעה בפסק דין חלוט של ערכאת שיפוט ישראלית;</w:t>
            </w:r>
          </w:p>
        </w:tc>
      </w:tr>
      <w:tr w:rsidR="00992FFC" w14:paraId="7C9D4E91" w14:textId="77777777" w:rsidTr="00441359">
        <w:trPr>
          <w:cantSplit/>
        </w:trPr>
        <w:tc>
          <w:tcPr>
            <w:tcW w:w="1871" w:type="dxa"/>
          </w:tcPr>
          <w:p w14:paraId="7ABEC8ED" w14:textId="77777777" w:rsidR="00992FFC" w:rsidRPr="001077E3" w:rsidRDefault="00992FFC" w:rsidP="001077E3">
            <w:pPr>
              <w:pStyle w:val="TableSideHeading"/>
            </w:pPr>
          </w:p>
        </w:tc>
        <w:tc>
          <w:tcPr>
            <w:tcW w:w="624" w:type="dxa"/>
          </w:tcPr>
          <w:p w14:paraId="042F15FA" w14:textId="77777777" w:rsidR="00992FFC" w:rsidRPr="001077E3" w:rsidRDefault="00992FFC" w:rsidP="001077E3">
            <w:pPr>
              <w:pStyle w:val="TableText"/>
            </w:pPr>
          </w:p>
        </w:tc>
        <w:tc>
          <w:tcPr>
            <w:tcW w:w="624" w:type="dxa"/>
          </w:tcPr>
          <w:p w14:paraId="1D6ABE43" w14:textId="77777777" w:rsidR="00992FFC" w:rsidRDefault="00992FFC" w:rsidP="00BC7160">
            <w:pPr>
              <w:pStyle w:val="TableText"/>
              <w:rPr>
                <w:sz w:val="26"/>
              </w:rPr>
            </w:pPr>
          </w:p>
        </w:tc>
        <w:tc>
          <w:tcPr>
            <w:tcW w:w="6520" w:type="dxa"/>
            <w:hideMark/>
          </w:tcPr>
          <w:p w14:paraId="2311CAC9" w14:textId="77777777" w:rsidR="00992FFC" w:rsidRDefault="00992FFC" w:rsidP="001077E3">
            <w:pPr>
              <w:pStyle w:val="TableBlock"/>
              <w:rPr>
                <w:sz w:val="26"/>
              </w:rPr>
            </w:pPr>
            <w:r>
              <w:rPr>
                <w:rFonts w:hint="cs"/>
                <w:sz w:val="26"/>
                <w:rtl/>
              </w:rPr>
              <w:t>(3)</w:t>
            </w:r>
            <w:r>
              <w:rPr>
                <w:rFonts w:hint="cs"/>
                <w:sz w:val="26"/>
                <w:rtl/>
              </w:rPr>
              <w:tab/>
              <w:t>זכויות הרשאה לתכנון מקרקעין, פיתוח מקרקעין או חכירת מקרקעין, לכל תקופה ומטרה, שנתקבלו מאת הממונה על הרכוש הממשלתי והנטוש באזור יהודה והשומרון;</w:t>
            </w:r>
          </w:p>
        </w:tc>
      </w:tr>
      <w:tr w:rsidR="00992FFC" w14:paraId="05C7C606" w14:textId="77777777" w:rsidTr="00441359">
        <w:trPr>
          <w:cantSplit/>
        </w:trPr>
        <w:tc>
          <w:tcPr>
            <w:tcW w:w="1871" w:type="dxa"/>
          </w:tcPr>
          <w:p w14:paraId="39DC10CE" w14:textId="77777777" w:rsidR="00992FFC" w:rsidRPr="001077E3" w:rsidRDefault="00992FFC" w:rsidP="001077E3">
            <w:pPr>
              <w:pStyle w:val="TableSideHeading"/>
            </w:pPr>
          </w:p>
        </w:tc>
        <w:tc>
          <w:tcPr>
            <w:tcW w:w="624" w:type="dxa"/>
          </w:tcPr>
          <w:p w14:paraId="4A7D798A" w14:textId="77777777" w:rsidR="00992FFC" w:rsidRPr="001077E3" w:rsidRDefault="00992FFC" w:rsidP="001077E3">
            <w:pPr>
              <w:pStyle w:val="TableText"/>
            </w:pPr>
          </w:p>
        </w:tc>
        <w:tc>
          <w:tcPr>
            <w:tcW w:w="624" w:type="dxa"/>
          </w:tcPr>
          <w:p w14:paraId="4AAC80A5" w14:textId="77777777" w:rsidR="00992FFC" w:rsidRDefault="00992FFC" w:rsidP="00BC7160">
            <w:pPr>
              <w:pStyle w:val="TableText"/>
              <w:rPr>
                <w:sz w:val="26"/>
              </w:rPr>
            </w:pPr>
          </w:p>
        </w:tc>
        <w:tc>
          <w:tcPr>
            <w:tcW w:w="6520" w:type="dxa"/>
            <w:hideMark/>
          </w:tcPr>
          <w:p w14:paraId="56D007CA" w14:textId="77777777" w:rsidR="00992FFC" w:rsidRDefault="00992FFC" w:rsidP="001077E3">
            <w:pPr>
              <w:pStyle w:val="TableBlock"/>
              <w:rPr>
                <w:sz w:val="26"/>
              </w:rPr>
            </w:pPr>
            <w:r>
              <w:rPr>
                <w:rFonts w:hint="cs"/>
                <w:sz w:val="26"/>
                <w:rtl/>
              </w:rPr>
              <w:t>(4)</w:t>
            </w:r>
            <w:r>
              <w:rPr>
                <w:rFonts w:hint="cs"/>
                <w:sz w:val="26"/>
                <w:rtl/>
              </w:rPr>
              <w:tab/>
              <w:t>זכות בר-רשות במקרקעין שנתקבלה מאת ההסתדרות הציונית העולמית;</w:t>
            </w:r>
          </w:p>
        </w:tc>
      </w:tr>
      <w:tr w:rsidR="00992FFC" w14:paraId="048B5422" w14:textId="77777777" w:rsidTr="00441359">
        <w:trPr>
          <w:cantSplit/>
        </w:trPr>
        <w:tc>
          <w:tcPr>
            <w:tcW w:w="1871" w:type="dxa"/>
          </w:tcPr>
          <w:p w14:paraId="5C048E66" w14:textId="77777777" w:rsidR="00992FFC" w:rsidRPr="001077E3" w:rsidRDefault="00992FFC" w:rsidP="001077E3">
            <w:pPr>
              <w:pStyle w:val="TableSideHeading"/>
            </w:pPr>
          </w:p>
        </w:tc>
        <w:tc>
          <w:tcPr>
            <w:tcW w:w="624" w:type="dxa"/>
          </w:tcPr>
          <w:p w14:paraId="35D7BE11" w14:textId="77777777" w:rsidR="00992FFC" w:rsidRPr="001077E3" w:rsidRDefault="00992FFC" w:rsidP="001077E3">
            <w:pPr>
              <w:pStyle w:val="TableText"/>
            </w:pPr>
          </w:p>
        </w:tc>
        <w:tc>
          <w:tcPr>
            <w:tcW w:w="7144" w:type="dxa"/>
            <w:gridSpan w:val="2"/>
            <w:hideMark/>
          </w:tcPr>
          <w:p w14:paraId="30A351F1" w14:textId="77777777" w:rsidR="00992FFC" w:rsidRDefault="00992FFC" w:rsidP="001077E3">
            <w:pPr>
              <w:pStyle w:val="TableBlockOutdent"/>
              <w:rPr>
                <w:sz w:val="26"/>
              </w:rPr>
            </w:pPr>
            <w:r>
              <w:rPr>
                <w:rFonts w:hint="cs"/>
                <w:sz w:val="26"/>
                <w:rtl/>
              </w:rPr>
              <w:t xml:space="preserve">"מקרקעין" – לרבות בתים, בניינים, וכל המחובר אליהם חיבור של קבע, שהוחלו עליהם השיפוט </w:t>
            </w:r>
            <w:proofErr w:type="spellStart"/>
            <w:r>
              <w:rPr>
                <w:rFonts w:hint="cs"/>
                <w:sz w:val="26"/>
                <w:rtl/>
              </w:rPr>
              <w:t>והמינהל</w:t>
            </w:r>
            <w:proofErr w:type="spellEnd"/>
            <w:r>
              <w:rPr>
                <w:rFonts w:hint="cs"/>
                <w:sz w:val="26"/>
                <w:rtl/>
              </w:rPr>
              <w:t xml:space="preserve"> מכוח הוראת סעיף 11ב לפקודת סדרי השלטון והמשפט, </w:t>
            </w:r>
            <w:proofErr w:type="spellStart"/>
            <w:r>
              <w:rPr>
                <w:rFonts w:hint="cs"/>
                <w:sz w:val="26"/>
                <w:rtl/>
              </w:rPr>
              <w:t>התש"ח</w:t>
            </w:r>
            <w:proofErr w:type="spellEnd"/>
            <w:r>
              <w:rPr>
                <w:rFonts w:hint="cs"/>
                <w:sz w:val="26"/>
                <w:rtl/>
              </w:rPr>
              <w:t>–1948</w:t>
            </w:r>
            <w:r>
              <w:rPr>
                <w:szCs w:val="20"/>
                <w:rtl/>
              </w:rPr>
              <w:footnoteReference w:id="3"/>
            </w:r>
            <w:r>
              <w:rPr>
                <w:rFonts w:hint="cs"/>
                <w:sz w:val="26"/>
                <w:rtl/>
              </w:rPr>
              <w:t xml:space="preserve">, או מכוח הוראות פקודת שטח השיפוט והסמכויות, </w:t>
            </w:r>
            <w:proofErr w:type="spellStart"/>
            <w:r>
              <w:rPr>
                <w:rFonts w:hint="cs"/>
                <w:sz w:val="26"/>
                <w:rtl/>
              </w:rPr>
              <w:t>התש"ח</w:t>
            </w:r>
            <w:proofErr w:type="spellEnd"/>
            <w:r>
              <w:rPr>
                <w:rFonts w:hint="cs"/>
                <w:sz w:val="26"/>
                <w:rtl/>
              </w:rPr>
              <w:t>–1948</w:t>
            </w:r>
            <w:r>
              <w:rPr>
                <w:szCs w:val="20"/>
                <w:rtl/>
              </w:rPr>
              <w:footnoteReference w:id="4"/>
            </w:r>
            <w:r>
              <w:rPr>
                <w:rFonts w:hint="cs"/>
                <w:sz w:val="26"/>
                <w:rtl/>
              </w:rPr>
              <w:t xml:space="preserve">, או המצויים בתחומי מדינת ישראל מכוח הוראת כל דין, או שהם מצויים באזור; ולמעט מקרקעין שניתן בגינם פיצוי לפי חוק יישום תכנית ההתנתקות, </w:t>
            </w:r>
            <w:proofErr w:type="spellStart"/>
            <w:r>
              <w:rPr>
                <w:rFonts w:hint="cs"/>
                <w:sz w:val="26"/>
                <w:rtl/>
              </w:rPr>
              <w:t>התשס"ה</w:t>
            </w:r>
            <w:proofErr w:type="spellEnd"/>
            <w:r>
              <w:rPr>
                <w:rFonts w:hint="cs"/>
                <w:sz w:val="26"/>
                <w:rtl/>
              </w:rPr>
              <w:t>–2005</w:t>
            </w:r>
            <w:r>
              <w:rPr>
                <w:szCs w:val="20"/>
                <w:rtl/>
              </w:rPr>
              <w:footnoteReference w:id="5"/>
            </w:r>
            <w:r>
              <w:rPr>
                <w:rFonts w:hint="cs"/>
                <w:sz w:val="26"/>
                <w:rtl/>
              </w:rPr>
              <w:t xml:space="preserve">, ומקרקעין שניתן בגינם פיצוי לפי חוק פיצוי מפוני סיני, </w:t>
            </w:r>
            <w:proofErr w:type="spellStart"/>
            <w:r>
              <w:rPr>
                <w:rFonts w:hint="cs"/>
                <w:sz w:val="26"/>
                <w:rtl/>
              </w:rPr>
              <w:t>התשמ"ב</w:t>
            </w:r>
            <w:proofErr w:type="spellEnd"/>
            <w:r>
              <w:rPr>
                <w:rFonts w:hint="cs"/>
                <w:sz w:val="26"/>
                <w:rtl/>
              </w:rPr>
              <w:t>–1982</w:t>
            </w:r>
            <w:r>
              <w:rPr>
                <w:szCs w:val="20"/>
                <w:rtl/>
              </w:rPr>
              <w:footnoteReference w:id="6"/>
            </w:r>
            <w:r>
              <w:rPr>
                <w:rFonts w:hint="cs"/>
                <w:sz w:val="26"/>
                <w:rtl/>
              </w:rPr>
              <w:t xml:space="preserve">; </w:t>
            </w:r>
          </w:p>
        </w:tc>
      </w:tr>
      <w:tr w:rsidR="00992FFC" w14:paraId="6BAEF144" w14:textId="77777777" w:rsidTr="00441359">
        <w:trPr>
          <w:cantSplit/>
        </w:trPr>
        <w:tc>
          <w:tcPr>
            <w:tcW w:w="1871" w:type="dxa"/>
          </w:tcPr>
          <w:p w14:paraId="70275E10" w14:textId="77777777" w:rsidR="00992FFC" w:rsidRPr="001077E3" w:rsidRDefault="00992FFC" w:rsidP="001077E3">
            <w:pPr>
              <w:pStyle w:val="TableSideHeading"/>
            </w:pPr>
          </w:p>
        </w:tc>
        <w:tc>
          <w:tcPr>
            <w:tcW w:w="624" w:type="dxa"/>
          </w:tcPr>
          <w:p w14:paraId="3150711E" w14:textId="77777777" w:rsidR="00992FFC" w:rsidRPr="001077E3" w:rsidRDefault="00992FFC" w:rsidP="001077E3">
            <w:pPr>
              <w:pStyle w:val="TableText"/>
            </w:pPr>
          </w:p>
        </w:tc>
        <w:tc>
          <w:tcPr>
            <w:tcW w:w="7144" w:type="dxa"/>
            <w:gridSpan w:val="2"/>
            <w:hideMark/>
          </w:tcPr>
          <w:p w14:paraId="7610558D" w14:textId="77777777" w:rsidR="00992FFC" w:rsidRDefault="00992FFC" w:rsidP="001077E3">
            <w:pPr>
              <w:pStyle w:val="TableBlockOutdent"/>
              <w:rPr>
                <w:sz w:val="26"/>
              </w:rPr>
            </w:pPr>
            <w:r>
              <w:rPr>
                <w:rFonts w:hint="cs"/>
                <w:sz w:val="26"/>
                <w:rtl/>
              </w:rPr>
              <w:t>"מקרקעין מועברים" –  כל אחד מאלה:</w:t>
            </w:r>
          </w:p>
        </w:tc>
      </w:tr>
      <w:tr w:rsidR="00992FFC" w14:paraId="2711B68B" w14:textId="77777777" w:rsidTr="00441359">
        <w:trPr>
          <w:cantSplit/>
        </w:trPr>
        <w:tc>
          <w:tcPr>
            <w:tcW w:w="1871" w:type="dxa"/>
          </w:tcPr>
          <w:p w14:paraId="316A9EE3" w14:textId="77777777" w:rsidR="00992FFC" w:rsidRPr="001077E3" w:rsidRDefault="00992FFC" w:rsidP="001077E3">
            <w:pPr>
              <w:pStyle w:val="TableSideHeading"/>
            </w:pPr>
          </w:p>
        </w:tc>
        <w:tc>
          <w:tcPr>
            <w:tcW w:w="624" w:type="dxa"/>
          </w:tcPr>
          <w:p w14:paraId="625E3491" w14:textId="77777777" w:rsidR="00992FFC" w:rsidRPr="001077E3" w:rsidRDefault="00992FFC" w:rsidP="001077E3">
            <w:pPr>
              <w:pStyle w:val="TableText"/>
            </w:pPr>
          </w:p>
        </w:tc>
        <w:tc>
          <w:tcPr>
            <w:tcW w:w="624" w:type="dxa"/>
          </w:tcPr>
          <w:p w14:paraId="5313912A" w14:textId="77777777" w:rsidR="00992FFC" w:rsidRDefault="00992FFC" w:rsidP="00BC7160">
            <w:pPr>
              <w:pStyle w:val="TableText"/>
            </w:pPr>
          </w:p>
        </w:tc>
        <w:tc>
          <w:tcPr>
            <w:tcW w:w="6520" w:type="dxa"/>
            <w:hideMark/>
          </w:tcPr>
          <w:p w14:paraId="30B4E714" w14:textId="77777777" w:rsidR="00992FFC" w:rsidRDefault="00992FFC" w:rsidP="001077E3">
            <w:pPr>
              <w:pStyle w:val="TableBlock"/>
            </w:pPr>
            <w:r>
              <w:rPr>
                <w:rFonts w:hint="cs"/>
                <w:sz w:val="26"/>
                <w:rtl/>
              </w:rPr>
              <w:t>(1)</w:t>
            </w:r>
            <w:r>
              <w:rPr>
                <w:rFonts w:hint="cs"/>
                <w:sz w:val="26"/>
                <w:rtl/>
              </w:rPr>
              <w:tab/>
              <w:t>מקרקעין המצויים בשטח שבו הועברו סמכויות כלשהן לידי מדינת חוץ או לידי הרשות הפלסטינית, ואשר עובר למועד העברתן כאמור היו מצויות בידי ממשלת ישראל, או בידי צבא ההגנה לישראל, או בידי מי שהוסמך לפעול מטעמם;</w:t>
            </w:r>
          </w:p>
        </w:tc>
      </w:tr>
      <w:tr w:rsidR="00992FFC" w14:paraId="09E1E7CF" w14:textId="77777777" w:rsidTr="00441359">
        <w:trPr>
          <w:cantSplit/>
        </w:trPr>
        <w:tc>
          <w:tcPr>
            <w:tcW w:w="1871" w:type="dxa"/>
          </w:tcPr>
          <w:p w14:paraId="6D94C8E3" w14:textId="77777777" w:rsidR="00992FFC" w:rsidRPr="001077E3" w:rsidRDefault="00992FFC" w:rsidP="001077E3">
            <w:pPr>
              <w:pStyle w:val="TableSideHeading"/>
            </w:pPr>
          </w:p>
        </w:tc>
        <w:tc>
          <w:tcPr>
            <w:tcW w:w="624" w:type="dxa"/>
          </w:tcPr>
          <w:p w14:paraId="7FEB96DC" w14:textId="77777777" w:rsidR="00992FFC" w:rsidRPr="001077E3" w:rsidRDefault="00992FFC" w:rsidP="001077E3">
            <w:pPr>
              <w:pStyle w:val="TableText"/>
            </w:pPr>
          </w:p>
        </w:tc>
        <w:tc>
          <w:tcPr>
            <w:tcW w:w="624" w:type="dxa"/>
          </w:tcPr>
          <w:p w14:paraId="0C07736E" w14:textId="77777777" w:rsidR="00992FFC" w:rsidRDefault="00992FFC" w:rsidP="00BC7160">
            <w:pPr>
              <w:pStyle w:val="TableText"/>
            </w:pPr>
          </w:p>
        </w:tc>
        <w:tc>
          <w:tcPr>
            <w:tcW w:w="6520" w:type="dxa"/>
            <w:hideMark/>
          </w:tcPr>
          <w:p w14:paraId="14E40008" w14:textId="77777777" w:rsidR="00992FFC" w:rsidRDefault="00992FFC" w:rsidP="001077E3">
            <w:pPr>
              <w:pStyle w:val="TableBlock"/>
            </w:pPr>
            <w:r>
              <w:rPr>
                <w:rFonts w:hint="cs"/>
                <w:sz w:val="26"/>
                <w:rtl/>
              </w:rPr>
              <w:t>(2)</w:t>
            </w:r>
            <w:r>
              <w:rPr>
                <w:rFonts w:hint="cs"/>
                <w:sz w:val="26"/>
                <w:rtl/>
              </w:rPr>
              <w:tab/>
              <w:t xml:space="preserve">מקרקעין הנמצאים בשטח שבו הוגבלה באופן כלשהו ריבונותה של מדינת ישראל או שליטתו של צבא ההגנה לישראל, בין מכוח הסכם שנחתם בין מדינת ישראל למדינת חוץ או לרשות הפלסטינית, ובין מכוח הודעה מטעם ממשלת ישראל או צבא ההגנה לישראל; </w:t>
            </w:r>
            <w:r>
              <w:rPr>
                <w:rFonts w:hint="cs"/>
                <w:sz w:val="26"/>
                <w:rtl/>
              </w:rPr>
              <w:br/>
              <w:t xml:space="preserve">לעניין זה –  </w:t>
            </w:r>
          </w:p>
        </w:tc>
      </w:tr>
      <w:tr w:rsidR="00992FFC" w14:paraId="40E12CF4" w14:textId="77777777" w:rsidTr="00441359">
        <w:trPr>
          <w:cantSplit/>
        </w:trPr>
        <w:tc>
          <w:tcPr>
            <w:tcW w:w="1871" w:type="dxa"/>
          </w:tcPr>
          <w:p w14:paraId="3A86ACD1" w14:textId="77777777" w:rsidR="00992FFC" w:rsidRPr="001077E3" w:rsidRDefault="00992FFC" w:rsidP="001077E3">
            <w:pPr>
              <w:pStyle w:val="TableSideHeading"/>
            </w:pPr>
          </w:p>
        </w:tc>
        <w:tc>
          <w:tcPr>
            <w:tcW w:w="624" w:type="dxa"/>
          </w:tcPr>
          <w:p w14:paraId="5BA0A5BE" w14:textId="77777777" w:rsidR="00992FFC" w:rsidRPr="001077E3" w:rsidRDefault="00992FFC" w:rsidP="001077E3">
            <w:pPr>
              <w:pStyle w:val="TableText"/>
            </w:pPr>
          </w:p>
        </w:tc>
        <w:tc>
          <w:tcPr>
            <w:tcW w:w="624" w:type="dxa"/>
          </w:tcPr>
          <w:p w14:paraId="3D033F5E" w14:textId="77777777" w:rsidR="00992FFC" w:rsidRDefault="00992FFC" w:rsidP="00BC7160">
            <w:pPr>
              <w:pStyle w:val="TableText"/>
            </w:pPr>
          </w:p>
        </w:tc>
        <w:tc>
          <w:tcPr>
            <w:tcW w:w="6520" w:type="dxa"/>
            <w:hideMark/>
          </w:tcPr>
          <w:p w14:paraId="40A2CEB8" w14:textId="77777777" w:rsidR="00992FFC" w:rsidRDefault="00992FFC" w:rsidP="001077E3">
            <w:pPr>
              <w:pStyle w:val="TableBlockOutdent"/>
            </w:pPr>
            <w:r>
              <w:rPr>
                <w:rFonts w:hint="cs"/>
                <w:sz w:val="26"/>
                <w:rtl/>
              </w:rPr>
              <w:t xml:space="preserve">"הגבלת ריבונות" – לרבות שיתופם של מדינת חוץ, הרשות הפלסטינית, ארגון האומות המאוחדות או ארגון אחר כלשהו, בסמכויות כלשהן הנוגעות לשטח האמור;  </w:t>
            </w:r>
          </w:p>
        </w:tc>
      </w:tr>
      <w:tr w:rsidR="00992FFC" w14:paraId="18F96A27" w14:textId="77777777" w:rsidTr="00441359">
        <w:trPr>
          <w:cantSplit/>
        </w:trPr>
        <w:tc>
          <w:tcPr>
            <w:tcW w:w="1871" w:type="dxa"/>
          </w:tcPr>
          <w:p w14:paraId="19866AC1" w14:textId="77777777" w:rsidR="00992FFC" w:rsidRPr="001077E3" w:rsidRDefault="00992FFC" w:rsidP="001077E3">
            <w:pPr>
              <w:pStyle w:val="TableSideHeading"/>
            </w:pPr>
          </w:p>
        </w:tc>
        <w:tc>
          <w:tcPr>
            <w:tcW w:w="624" w:type="dxa"/>
          </w:tcPr>
          <w:p w14:paraId="54BA26FC" w14:textId="77777777" w:rsidR="00992FFC" w:rsidRPr="001077E3" w:rsidRDefault="00992FFC" w:rsidP="001077E3">
            <w:pPr>
              <w:pStyle w:val="TableText"/>
            </w:pPr>
          </w:p>
        </w:tc>
        <w:tc>
          <w:tcPr>
            <w:tcW w:w="624" w:type="dxa"/>
          </w:tcPr>
          <w:p w14:paraId="04766638" w14:textId="77777777" w:rsidR="00992FFC" w:rsidRDefault="00992FFC" w:rsidP="00BC7160">
            <w:pPr>
              <w:pStyle w:val="TableText"/>
            </w:pPr>
          </w:p>
        </w:tc>
        <w:tc>
          <w:tcPr>
            <w:tcW w:w="6520" w:type="dxa"/>
            <w:hideMark/>
          </w:tcPr>
          <w:p w14:paraId="4D3C2F8F" w14:textId="77777777" w:rsidR="00992FFC" w:rsidRDefault="00992FFC" w:rsidP="001077E3">
            <w:pPr>
              <w:pStyle w:val="TableBlockOutdent"/>
              <w:rPr>
                <w:sz w:val="26"/>
              </w:rPr>
            </w:pPr>
            <w:r>
              <w:rPr>
                <w:rFonts w:hint="cs"/>
                <w:sz w:val="26"/>
                <w:rtl/>
              </w:rPr>
              <w:t>"הגבלת השליטה" – לרבות הגבלות כלשהן על חופש התנועה של אזרחים ישראלים, נסיגת כוחות צבא ההגנה לישראל משטח כאמור, או מתן היתר לכניסת כוחות ביטחון חמושים של מדינת חוץ, לרבות מטעם ארגון האומות המאוחדות, או של הרשות הפלסטינית, לשטח האמור;</w:t>
            </w:r>
          </w:p>
        </w:tc>
      </w:tr>
      <w:tr w:rsidR="00441359" w14:paraId="7599DC0B" w14:textId="77777777" w:rsidTr="00441359">
        <w:tblPrEx>
          <w:tblLook w:val="01E0" w:firstRow="1" w:lastRow="1" w:firstColumn="1" w:lastColumn="1" w:noHBand="0" w:noVBand="0"/>
        </w:tblPrEx>
        <w:trPr>
          <w:cantSplit/>
          <w:trHeight w:val="60"/>
        </w:trPr>
        <w:tc>
          <w:tcPr>
            <w:tcW w:w="1871" w:type="dxa"/>
          </w:tcPr>
          <w:p w14:paraId="0B6D4D96" w14:textId="77777777" w:rsidR="00441359" w:rsidRDefault="00441359">
            <w:pPr>
              <w:pStyle w:val="TableSideHeading"/>
            </w:pPr>
          </w:p>
        </w:tc>
        <w:tc>
          <w:tcPr>
            <w:tcW w:w="624" w:type="dxa"/>
          </w:tcPr>
          <w:p w14:paraId="7B4617AE" w14:textId="77777777" w:rsidR="00441359" w:rsidRDefault="00441359">
            <w:pPr>
              <w:pStyle w:val="TableText"/>
            </w:pPr>
          </w:p>
        </w:tc>
        <w:tc>
          <w:tcPr>
            <w:tcW w:w="7144" w:type="dxa"/>
            <w:gridSpan w:val="2"/>
          </w:tcPr>
          <w:p w14:paraId="4B076426" w14:textId="09A70D66" w:rsidR="00441359" w:rsidRPr="003B0C39" w:rsidRDefault="00441359" w:rsidP="003B0C39">
            <w:pPr>
              <w:pStyle w:val="TableBlockOutdent"/>
            </w:pPr>
            <w:r w:rsidRPr="003B0C39">
              <w:rPr>
                <w:rFonts w:hint="cs"/>
                <w:rtl/>
              </w:rPr>
              <w:t xml:space="preserve">"הרשות הפלסטינית" – כמשמעותה בחוק יישום ההסכם בדבר העברה מכינה של סמכויות לרשות הפלסטינית (תיקוני חקיקה והוראות שונות), </w:t>
            </w:r>
            <w:proofErr w:type="spellStart"/>
            <w:r w:rsidRPr="003B0C39">
              <w:rPr>
                <w:rFonts w:hint="cs"/>
                <w:rtl/>
              </w:rPr>
              <w:t>התשנ"ה</w:t>
            </w:r>
            <w:proofErr w:type="spellEnd"/>
            <w:r w:rsidRPr="003B0C39">
              <w:rPr>
                <w:rFonts w:hint="cs"/>
                <w:rtl/>
              </w:rPr>
              <w:t>–1995</w:t>
            </w:r>
            <w:r w:rsidRPr="003B0C39">
              <w:rPr>
                <w:szCs w:val="20"/>
                <w:rtl/>
              </w:rPr>
              <w:footnoteReference w:id="7"/>
            </w:r>
            <w:r w:rsidRPr="003B0C39">
              <w:rPr>
                <w:rFonts w:hint="cs"/>
                <w:rtl/>
              </w:rPr>
              <w:t>, או כל גוף אחר הבא במקומה או מטעמה;</w:t>
            </w:r>
          </w:p>
        </w:tc>
      </w:tr>
      <w:tr w:rsidR="00992FFC" w:rsidRPr="008F61E5" w14:paraId="547B2A41" w14:textId="77777777" w:rsidTr="00441359">
        <w:trPr>
          <w:cantSplit/>
        </w:trPr>
        <w:tc>
          <w:tcPr>
            <w:tcW w:w="1871" w:type="dxa"/>
          </w:tcPr>
          <w:p w14:paraId="336A0E8B" w14:textId="77777777" w:rsidR="00992FFC" w:rsidRPr="001077E3" w:rsidRDefault="00992FFC" w:rsidP="001077E3">
            <w:pPr>
              <w:pStyle w:val="TableSideHeading"/>
            </w:pPr>
          </w:p>
        </w:tc>
        <w:tc>
          <w:tcPr>
            <w:tcW w:w="624" w:type="dxa"/>
          </w:tcPr>
          <w:p w14:paraId="06BCC311" w14:textId="77777777" w:rsidR="00992FFC" w:rsidRPr="001077E3" w:rsidRDefault="00992FFC" w:rsidP="001077E3">
            <w:pPr>
              <w:pStyle w:val="TableText"/>
            </w:pPr>
          </w:p>
        </w:tc>
        <w:tc>
          <w:tcPr>
            <w:tcW w:w="7144" w:type="dxa"/>
            <w:gridSpan w:val="2"/>
            <w:hideMark/>
          </w:tcPr>
          <w:p w14:paraId="12940B1E" w14:textId="09726FCA" w:rsidR="00992FFC" w:rsidRPr="008F61E5" w:rsidRDefault="00436F6F" w:rsidP="001077E3">
            <w:pPr>
              <w:pStyle w:val="TableBlockOutdent"/>
              <w:rPr>
                <w:sz w:val="26"/>
              </w:rPr>
            </w:pPr>
            <w:r>
              <w:rPr>
                <w:rFonts w:hint="cs"/>
                <w:sz w:val="26"/>
                <w:rtl/>
              </w:rPr>
              <w:t>"השר" – שר המשפטים;</w:t>
            </w:r>
          </w:p>
        </w:tc>
      </w:tr>
      <w:tr w:rsidR="00992FFC" w14:paraId="10155205" w14:textId="77777777" w:rsidTr="00441359">
        <w:trPr>
          <w:cantSplit/>
        </w:trPr>
        <w:tc>
          <w:tcPr>
            <w:tcW w:w="1871" w:type="dxa"/>
          </w:tcPr>
          <w:p w14:paraId="1410EDD6" w14:textId="77777777" w:rsidR="00992FFC" w:rsidRPr="001077E3" w:rsidRDefault="00992FFC" w:rsidP="001077E3">
            <w:pPr>
              <w:pStyle w:val="TableSideHeading"/>
            </w:pPr>
          </w:p>
        </w:tc>
        <w:tc>
          <w:tcPr>
            <w:tcW w:w="624" w:type="dxa"/>
          </w:tcPr>
          <w:p w14:paraId="6880E5A2" w14:textId="77777777" w:rsidR="00992FFC" w:rsidRPr="001077E3" w:rsidRDefault="00992FFC" w:rsidP="001077E3">
            <w:pPr>
              <w:pStyle w:val="TableText"/>
            </w:pPr>
          </w:p>
        </w:tc>
        <w:tc>
          <w:tcPr>
            <w:tcW w:w="7144" w:type="dxa"/>
            <w:gridSpan w:val="2"/>
            <w:hideMark/>
          </w:tcPr>
          <w:p w14:paraId="33F66F37" w14:textId="06373C6D" w:rsidR="00992FFC" w:rsidRPr="008F61E5" w:rsidRDefault="00992FFC" w:rsidP="001077E3">
            <w:pPr>
              <w:pStyle w:val="TableBlockOutdent"/>
              <w:rPr>
                <w:sz w:val="26"/>
              </w:rPr>
            </w:pPr>
            <w:r w:rsidRPr="008F61E5">
              <w:rPr>
                <w:rFonts w:hint="cs"/>
                <w:sz w:val="26"/>
                <w:rtl/>
              </w:rPr>
              <w:t xml:space="preserve">"תאגיד ישראלי" – תאגיד שבו השליטה נתונה לאזרח ישראלי או </w:t>
            </w:r>
            <w:r w:rsidR="00436F6F">
              <w:rPr>
                <w:rFonts w:hint="cs"/>
                <w:sz w:val="26"/>
                <w:rtl/>
              </w:rPr>
              <w:t>ל</w:t>
            </w:r>
            <w:r w:rsidRPr="008F61E5">
              <w:rPr>
                <w:rFonts w:hint="cs"/>
                <w:sz w:val="26"/>
                <w:rtl/>
              </w:rPr>
              <w:t>מספר אזרחים ישראלים.</w:t>
            </w:r>
          </w:p>
        </w:tc>
      </w:tr>
      <w:tr w:rsidR="00992FFC" w14:paraId="41148B15" w14:textId="77777777" w:rsidTr="00441359">
        <w:trPr>
          <w:cantSplit/>
        </w:trPr>
        <w:tc>
          <w:tcPr>
            <w:tcW w:w="1871" w:type="dxa"/>
            <w:hideMark/>
          </w:tcPr>
          <w:p w14:paraId="1CF856C5" w14:textId="77777777" w:rsidR="00992FFC" w:rsidRPr="001077E3" w:rsidRDefault="00992FFC" w:rsidP="001077E3">
            <w:pPr>
              <w:pStyle w:val="TableSideHeading"/>
            </w:pPr>
            <w:r w:rsidRPr="001077E3">
              <w:rPr>
                <w:rFonts w:hint="cs"/>
                <w:rtl/>
              </w:rPr>
              <w:t>העברת מקרקעין דינה כהפקעה</w:t>
            </w:r>
          </w:p>
        </w:tc>
        <w:tc>
          <w:tcPr>
            <w:tcW w:w="624" w:type="dxa"/>
            <w:hideMark/>
          </w:tcPr>
          <w:p w14:paraId="7E258BF2" w14:textId="77777777" w:rsidR="00992FFC" w:rsidRPr="001077E3" w:rsidRDefault="00992FFC" w:rsidP="001077E3">
            <w:pPr>
              <w:pStyle w:val="TableText"/>
            </w:pPr>
            <w:r w:rsidRPr="001077E3">
              <w:rPr>
                <w:rFonts w:hint="cs"/>
                <w:rtl/>
              </w:rPr>
              <w:t>3.</w:t>
            </w:r>
          </w:p>
        </w:tc>
        <w:tc>
          <w:tcPr>
            <w:tcW w:w="7144" w:type="dxa"/>
            <w:gridSpan w:val="2"/>
            <w:hideMark/>
          </w:tcPr>
          <w:p w14:paraId="0176AE97" w14:textId="77777777" w:rsidR="00992FFC" w:rsidRDefault="00992FFC" w:rsidP="001077E3">
            <w:pPr>
              <w:pStyle w:val="TableBlock"/>
            </w:pPr>
            <w:r>
              <w:rPr>
                <w:rFonts w:hint="cs"/>
                <w:sz w:val="26"/>
                <w:rtl/>
              </w:rPr>
              <w:t>מקרקעין מועברים שהזכויות בהם שייכות לאזרח ישראלי או לתאגיד ישראלי, דינם כמקרקעין שהזכויות בהן נרכשו על ידי שר האוצר, מכוח הוראות פקודת הקרקעות (רכישה לצורכי ציבור), 1943</w:t>
            </w:r>
            <w:r>
              <w:rPr>
                <w:rStyle w:val="a6"/>
                <w:sz w:val="26"/>
                <w:rtl/>
              </w:rPr>
              <w:footnoteReference w:id="8"/>
            </w:r>
            <w:r>
              <w:rPr>
                <w:rFonts w:hint="cs"/>
                <w:sz w:val="26"/>
                <w:rtl/>
              </w:rPr>
              <w:t xml:space="preserve"> (להלן – הפקודה).</w:t>
            </w:r>
          </w:p>
        </w:tc>
      </w:tr>
      <w:tr w:rsidR="00992FFC" w14:paraId="1D3F240E" w14:textId="77777777" w:rsidTr="00441359">
        <w:trPr>
          <w:cantSplit/>
        </w:trPr>
        <w:tc>
          <w:tcPr>
            <w:tcW w:w="1871" w:type="dxa"/>
            <w:hideMark/>
          </w:tcPr>
          <w:p w14:paraId="4C286F42" w14:textId="77777777" w:rsidR="00992FFC" w:rsidRPr="001077E3" w:rsidRDefault="00992FFC" w:rsidP="001077E3">
            <w:pPr>
              <w:pStyle w:val="TableSideHeading"/>
            </w:pPr>
            <w:r w:rsidRPr="001077E3">
              <w:rPr>
                <w:rFonts w:hint="cs"/>
                <w:rtl/>
              </w:rPr>
              <w:t>הכרזה על מקרקעין מועברים דינה כהפקעה</w:t>
            </w:r>
          </w:p>
        </w:tc>
        <w:tc>
          <w:tcPr>
            <w:tcW w:w="624" w:type="dxa"/>
            <w:hideMark/>
          </w:tcPr>
          <w:p w14:paraId="464118FC" w14:textId="77777777" w:rsidR="00992FFC" w:rsidRPr="001077E3" w:rsidRDefault="00992FFC" w:rsidP="001077E3">
            <w:pPr>
              <w:pStyle w:val="TableText"/>
            </w:pPr>
            <w:r w:rsidRPr="001077E3">
              <w:rPr>
                <w:rFonts w:hint="cs"/>
                <w:rtl/>
              </w:rPr>
              <w:t>4.</w:t>
            </w:r>
          </w:p>
        </w:tc>
        <w:tc>
          <w:tcPr>
            <w:tcW w:w="7144" w:type="dxa"/>
            <w:gridSpan w:val="2"/>
            <w:hideMark/>
          </w:tcPr>
          <w:p w14:paraId="4A684580" w14:textId="69BD28F1" w:rsidR="00992FFC" w:rsidRDefault="00436F6F" w:rsidP="001077E3">
            <w:pPr>
              <w:pStyle w:val="TableBlock"/>
            </w:pPr>
            <w:r>
              <w:rPr>
                <w:rFonts w:hint="cs"/>
                <w:sz w:val="26"/>
                <w:rtl/>
              </w:rPr>
              <w:t xml:space="preserve">בתוך 30 ימים מיום </w:t>
            </w:r>
            <w:r w:rsidR="00992FFC">
              <w:rPr>
                <w:rFonts w:hint="cs"/>
                <w:sz w:val="26"/>
                <w:rtl/>
              </w:rPr>
              <w:t>הפיכת מקרקעין למקרקעין מועברים יכריז ראש הממשלה כי אותו שטח פלוני, שגבולותיו יתוארו בהכרזה אשר תפורסם ברשומות, הועבר; מרגע ההכרזה יהיה זכאי כל אזרח ישראלי או תאגיד ישראלי, לקבל פיצויים לפי הוראות סעיף 5.</w:t>
            </w:r>
          </w:p>
        </w:tc>
      </w:tr>
      <w:tr w:rsidR="00992FFC" w14:paraId="16424D7F" w14:textId="77777777" w:rsidTr="00441359">
        <w:trPr>
          <w:cantSplit/>
        </w:trPr>
        <w:tc>
          <w:tcPr>
            <w:tcW w:w="1871" w:type="dxa"/>
            <w:hideMark/>
          </w:tcPr>
          <w:p w14:paraId="1A56FDC9" w14:textId="77777777" w:rsidR="00992FFC" w:rsidRPr="001077E3" w:rsidRDefault="00992FFC" w:rsidP="001077E3">
            <w:pPr>
              <w:pStyle w:val="TableSideHeading"/>
            </w:pPr>
            <w:r w:rsidRPr="001077E3">
              <w:rPr>
                <w:rFonts w:hint="cs"/>
                <w:rtl/>
              </w:rPr>
              <w:t>הערכת הפיצויים</w:t>
            </w:r>
          </w:p>
        </w:tc>
        <w:tc>
          <w:tcPr>
            <w:tcW w:w="624" w:type="dxa"/>
            <w:hideMark/>
          </w:tcPr>
          <w:p w14:paraId="1652D38D" w14:textId="77777777" w:rsidR="00992FFC" w:rsidRPr="001077E3" w:rsidRDefault="00992FFC" w:rsidP="001077E3">
            <w:pPr>
              <w:pStyle w:val="TableText"/>
            </w:pPr>
            <w:r w:rsidRPr="001077E3">
              <w:rPr>
                <w:rFonts w:hint="cs"/>
                <w:rtl/>
              </w:rPr>
              <w:t>5.</w:t>
            </w:r>
          </w:p>
        </w:tc>
        <w:tc>
          <w:tcPr>
            <w:tcW w:w="7144" w:type="dxa"/>
            <w:gridSpan w:val="2"/>
            <w:hideMark/>
          </w:tcPr>
          <w:p w14:paraId="028A7F4D" w14:textId="60DF7C5D" w:rsidR="00992FFC" w:rsidRDefault="00992FFC" w:rsidP="001077E3">
            <w:pPr>
              <w:pStyle w:val="TableBlock"/>
            </w:pPr>
            <w:r>
              <w:rPr>
                <w:rFonts w:hint="cs"/>
                <w:sz w:val="26"/>
                <w:rtl/>
              </w:rPr>
              <w:t>בגין מקרקעין מועברים ישולם כפל הפיצוי שהיה משתלם בגינם לו היו מופקעים לפי הוראות הפקודה; בלי לגרוע מהוראות סעיף 12 לפקודה, לצורך הערכת הפיצויים המגיעים לבעלי זכות במקרקעין מועברים, לא תובא בחשבון העובדה כי המקרקעין מצויים בשטח כאמור בסעיף 1, שהסמכויות</w:t>
            </w:r>
            <w:r w:rsidR="00436F6F">
              <w:rPr>
                <w:rFonts w:hint="cs"/>
                <w:sz w:val="26"/>
                <w:rtl/>
              </w:rPr>
              <w:t>, הריבונות או השליטה בו הועברו</w:t>
            </w:r>
            <w:r>
              <w:rPr>
                <w:rFonts w:hint="cs"/>
                <w:sz w:val="26"/>
                <w:rtl/>
              </w:rPr>
              <w:t xml:space="preserve"> או עתידים להיות מועברים.</w:t>
            </w:r>
          </w:p>
        </w:tc>
      </w:tr>
      <w:tr w:rsidR="00992FFC" w14:paraId="42AF75AA" w14:textId="77777777" w:rsidTr="00441359">
        <w:trPr>
          <w:cantSplit/>
        </w:trPr>
        <w:tc>
          <w:tcPr>
            <w:tcW w:w="1871" w:type="dxa"/>
            <w:hideMark/>
          </w:tcPr>
          <w:p w14:paraId="08A3AE2D" w14:textId="77777777" w:rsidR="00992FFC" w:rsidRPr="001077E3" w:rsidRDefault="00992FFC" w:rsidP="001077E3">
            <w:pPr>
              <w:pStyle w:val="TableSideHeading"/>
            </w:pPr>
            <w:r w:rsidRPr="001077E3">
              <w:rPr>
                <w:rFonts w:hint="cs"/>
                <w:rtl/>
              </w:rPr>
              <w:t>ביטול הגבלת הזכות לפיצויים</w:t>
            </w:r>
          </w:p>
        </w:tc>
        <w:tc>
          <w:tcPr>
            <w:tcW w:w="624" w:type="dxa"/>
            <w:hideMark/>
          </w:tcPr>
          <w:p w14:paraId="0A5D9ED6" w14:textId="77777777" w:rsidR="00992FFC" w:rsidRPr="001077E3" w:rsidRDefault="00992FFC" w:rsidP="001077E3">
            <w:pPr>
              <w:pStyle w:val="TableText"/>
            </w:pPr>
            <w:r w:rsidRPr="001077E3">
              <w:rPr>
                <w:rFonts w:hint="cs"/>
                <w:rtl/>
              </w:rPr>
              <w:t>6.</w:t>
            </w:r>
          </w:p>
        </w:tc>
        <w:tc>
          <w:tcPr>
            <w:tcW w:w="7144" w:type="dxa"/>
            <w:gridSpan w:val="2"/>
            <w:hideMark/>
          </w:tcPr>
          <w:p w14:paraId="44A32AD8" w14:textId="2BDA93F3" w:rsidR="00992FFC" w:rsidRDefault="00992FFC" w:rsidP="00436F6F">
            <w:pPr>
              <w:pStyle w:val="TableBlock"/>
            </w:pPr>
            <w:r>
              <w:rPr>
                <w:rFonts w:hint="cs"/>
                <w:sz w:val="26"/>
                <w:rtl/>
              </w:rPr>
              <w:t xml:space="preserve">על אף האמור בחוק זה, לא </w:t>
            </w:r>
            <w:r w:rsidR="00436F6F">
              <w:rPr>
                <w:rFonts w:hint="cs"/>
                <w:sz w:val="26"/>
                <w:rtl/>
              </w:rPr>
              <w:t>יחולו</w:t>
            </w:r>
            <w:r>
              <w:rPr>
                <w:rFonts w:hint="cs"/>
                <w:sz w:val="26"/>
                <w:rtl/>
              </w:rPr>
              <w:t>, לעניין מקרקעין מועברים, הוראות סעיף 20 לפקודה, הקובע הגבלת הפיצויים.</w:t>
            </w:r>
          </w:p>
        </w:tc>
      </w:tr>
      <w:tr w:rsidR="00992FFC" w14:paraId="6A38C950" w14:textId="77777777" w:rsidTr="00441359">
        <w:trPr>
          <w:cantSplit/>
        </w:trPr>
        <w:tc>
          <w:tcPr>
            <w:tcW w:w="1871" w:type="dxa"/>
            <w:hideMark/>
          </w:tcPr>
          <w:p w14:paraId="6041C263" w14:textId="77777777" w:rsidR="00992FFC" w:rsidRPr="001077E3" w:rsidRDefault="00992FFC" w:rsidP="001077E3">
            <w:pPr>
              <w:pStyle w:val="TableSideHeading"/>
            </w:pPr>
            <w:r w:rsidRPr="001077E3">
              <w:rPr>
                <w:rFonts w:hint="cs"/>
                <w:rtl/>
              </w:rPr>
              <w:t>הכרזה בידי בית משפט על מקרקעין מועברים</w:t>
            </w:r>
          </w:p>
        </w:tc>
        <w:tc>
          <w:tcPr>
            <w:tcW w:w="624" w:type="dxa"/>
            <w:hideMark/>
          </w:tcPr>
          <w:p w14:paraId="55CB42AE" w14:textId="77777777" w:rsidR="00992FFC" w:rsidRPr="001077E3" w:rsidRDefault="00992FFC" w:rsidP="001077E3">
            <w:pPr>
              <w:pStyle w:val="TableText"/>
            </w:pPr>
            <w:r w:rsidRPr="001077E3">
              <w:rPr>
                <w:rFonts w:hint="cs"/>
                <w:rtl/>
              </w:rPr>
              <w:t>7.</w:t>
            </w:r>
          </w:p>
        </w:tc>
        <w:tc>
          <w:tcPr>
            <w:tcW w:w="7144" w:type="dxa"/>
            <w:gridSpan w:val="2"/>
            <w:hideMark/>
          </w:tcPr>
          <w:p w14:paraId="71C9EA92" w14:textId="2D00DF05" w:rsidR="00992FFC" w:rsidRDefault="00992FFC" w:rsidP="001077E3">
            <w:pPr>
              <w:pStyle w:val="TableBlock"/>
            </w:pPr>
            <w:r>
              <w:rPr>
                <w:rFonts w:hint="cs"/>
                <w:sz w:val="26"/>
                <w:rtl/>
              </w:rPr>
              <w:t>(א)</w:t>
            </w:r>
            <w:r>
              <w:rPr>
                <w:rFonts w:hint="cs"/>
                <w:sz w:val="26"/>
                <w:rtl/>
              </w:rPr>
              <w:tab/>
              <w:t xml:space="preserve">בלי לגרוע מהוראות לפי הפקודה, רשאי כל אדם או תאגיד הטוען לזכות </w:t>
            </w:r>
            <w:r w:rsidR="00436F6F">
              <w:rPr>
                <w:rFonts w:hint="cs"/>
                <w:sz w:val="26"/>
                <w:rtl/>
              </w:rPr>
              <w:t>במקרקעין</w:t>
            </w:r>
            <w:r>
              <w:rPr>
                <w:rFonts w:hint="cs"/>
                <w:sz w:val="26"/>
                <w:rtl/>
              </w:rPr>
              <w:t xml:space="preserve"> </w:t>
            </w:r>
            <w:r w:rsidR="00436F6F">
              <w:rPr>
                <w:rFonts w:hint="cs"/>
                <w:sz w:val="26"/>
                <w:rtl/>
              </w:rPr>
              <w:t>לבקש מבית המשפט המחוזי בירושלים</w:t>
            </w:r>
            <w:r>
              <w:rPr>
                <w:rFonts w:hint="cs"/>
                <w:sz w:val="26"/>
                <w:rtl/>
              </w:rPr>
              <w:t xml:space="preserve"> להכריז על מקרקעין כמקרקעין מועברים על פי חוק </w:t>
            </w:r>
            <w:r w:rsidR="00436F6F">
              <w:rPr>
                <w:rFonts w:hint="cs"/>
                <w:sz w:val="26"/>
                <w:rtl/>
              </w:rPr>
              <w:t>זה ועל היותו בעל זכות במקרקעין;</w:t>
            </w:r>
            <w:r>
              <w:rPr>
                <w:rFonts w:hint="cs"/>
                <w:sz w:val="26"/>
                <w:rtl/>
              </w:rPr>
              <w:t xml:space="preserve"> המשיב לבקשה יהיה היועץ המשפטי לממשלה.</w:t>
            </w:r>
          </w:p>
        </w:tc>
      </w:tr>
      <w:tr w:rsidR="00992FFC" w14:paraId="20DD00EC" w14:textId="77777777" w:rsidTr="00441359">
        <w:trPr>
          <w:cantSplit/>
        </w:trPr>
        <w:tc>
          <w:tcPr>
            <w:tcW w:w="1871" w:type="dxa"/>
          </w:tcPr>
          <w:p w14:paraId="1F900005" w14:textId="77777777" w:rsidR="00992FFC" w:rsidRPr="001077E3" w:rsidRDefault="00992FFC" w:rsidP="001077E3">
            <w:pPr>
              <w:pStyle w:val="TableSideHeading"/>
            </w:pPr>
          </w:p>
        </w:tc>
        <w:tc>
          <w:tcPr>
            <w:tcW w:w="624" w:type="dxa"/>
          </w:tcPr>
          <w:p w14:paraId="725D8041" w14:textId="77777777" w:rsidR="00992FFC" w:rsidRPr="001077E3" w:rsidRDefault="00992FFC" w:rsidP="001077E3">
            <w:pPr>
              <w:pStyle w:val="TableText"/>
            </w:pPr>
          </w:p>
        </w:tc>
        <w:tc>
          <w:tcPr>
            <w:tcW w:w="7144" w:type="dxa"/>
            <w:gridSpan w:val="2"/>
            <w:hideMark/>
          </w:tcPr>
          <w:p w14:paraId="080E1F8C" w14:textId="77777777" w:rsidR="00992FFC" w:rsidRDefault="00992FFC" w:rsidP="001077E3">
            <w:pPr>
              <w:pStyle w:val="TableBlock"/>
              <w:rPr>
                <w:sz w:val="26"/>
              </w:rPr>
            </w:pPr>
            <w:r>
              <w:rPr>
                <w:rFonts w:hint="cs"/>
                <w:sz w:val="26"/>
                <w:rtl/>
              </w:rPr>
              <w:t>(ב)</w:t>
            </w:r>
            <w:r>
              <w:rPr>
                <w:rFonts w:hint="cs"/>
                <w:sz w:val="26"/>
                <w:rtl/>
              </w:rPr>
              <w:tab/>
              <w:t>בלי לגרוע מהוראות סעיף קטן (א), רשאי בית המשפט להתיר לכל אדם הטוען לזכות במקרקעין האמורים, ושבידיו מסמך או ראיה המקימה זכות לכאורה במקרקעין, להשיב לבקשה.</w:t>
            </w:r>
          </w:p>
        </w:tc>
      </w:tr>
      <w:tr w:rsidR="00992FFC" w14:paraId="223DECA9" w14:textId="77777777" w:rsidTr="00441359">
        <w:trPr>
          <w:cantSplit/>
        </w:trPr>
        <w:tc>
          <w:tcPr>
            <w:tcW w:w="1871" w:type="dxa"/>
          </w:tcPr>
          <w:p w14:paraId="59792703" w14:textId="77777777" w:rsidR="00992FFC" w:rsidRPr="001077E3" w:rsidRDefault="00992FFC" w:rsidP="001077E3">
            <w:pPr>
              <w:pStyle w:val="TableSideHeading"/>
            </w:pPr>
          </w:p>
        </w:tc>
        <w:tc>
          <w:tcPr>
            <w:tcW w:w="624" w:type="dxa"/>
          </w:tcPr>
          <w:p w14:paraId="17DA90A8" w14:textId="77777777" w:rsidR="00992FFC" w:rsidRPr="001077E3" w:rsidRDefault="00992FFC" w:rsidP="001077E3">
            <w:pPr>
              <w:pStyle w:val="TableText"/>
            </w:pPr>
          </w:p>
        </w:tc>
        <w:tc>
          <w:tcPr>
            <w:tcW w:w="7144" w:type="dxa"/>
            <w:gridSpan w:val="2"/>
            <w:hideMark/>
          </w:tcPr>
          <w:p w14:paraId="36EC4C75" w14:textId="24E3941A" w:rsidR="00992FFC" w:rsidRDefault="00992FFC" w:rsidP="001077E3">
            <w:pPr>
              <w:pStyle w:val="TableBlock"/>
              <w:rPr>
                <w:sz w:val="26"/>
              </w:rPr>
            </w:pPr>
            <w:r>
              <w:rPr>
                <w:rFonts w:hint="cs"/>
                <w:sz w:val="26"/>
                <w:rtl/>
              </w:rPr>
              <w:t>(ג)</w:t>
            </w:r>
            <w:r>
              <w:rPr>
                <w:rFonts w:hint="cs"/>
                <w:sz w:val="26"/>
                <w:rtl/>
              </w:rPr>
              <w:tab/>
              <w:t>הכרזת בית משפט על היותו של אזרח</w:t>
            </w:r>
            <w:r w:rsidR="003B0C39">
              <w:rPr>
                <w:rFonts w:hint="cs"/>
                <w:sz w:val="26"/>
                <w:rtl/>
              </w:rPr>
              <w:t xml:space="preserve"> ישראלי או תאגיד ישראלי בעל זכות במקרקעין מועברים</w:t>
            </w:r>
            <w:r>
              <w:rPr>
                <w:rFonts w:hint="cs"/>
                <w:sz w:val="26"/>
                <w:rtl/>
              </w:rPr>
              <w:t xml:space="preserve"> מקנה לו את הזכות לקבל פיצויים כקבוע בסעיף 5.</w:t>
            </w:r>
          </w:p>
        </w:tc>
      </w:tr>
      <w:tr w:rsidR="00992FFC" w14:paraId="20FFD176" w14:textId="77777777" w:rsidTr="00441359">
        <w:trPr>
          <w:cantSplit/>
        </w:trPr>
        <w:tc>
          <w:tcPr>
            <w:tcW w:w="1871" w:type="dxa"/>
            <w:hideMark/>
          </w:tcPr>
          <w:p w14:paraId="3CACE629" w14:textId="77777777" w:rsidR="00992FFC" w:rsidRPr="001077E3" w:rsidRDefault="00992FFC" w:rsidP="001077E3">
            <w:pPr>
              <w:pStyle w:val="TableSideHeading"/>
            </w:pPr>
            <w:r w:rsidRPr="001077E3">
              <w:rPr>
                <w:rFonts w:hint="cs"/>
                <w:rtl/>
              </w:rPr>
              <w:t>ביצוע ותקנות</w:t>
            </w:r>
          </w:p>
        </w:tc>
        <w:tc>
          <w:tcPr>
            <w:tcW w:w="624" w:type="dxa"/>
            <w:hideMark/>
          </w:tcPr>
          <w:p w14:paraId="500699C5" w14:textId="77777777" w:rsidR="00992FFC" w:rsidRPr="001077E3" w:rsidRDefault="00992FFC" w:rsidP="001077E3">
            <w:pPr>
              <w:pStyle w:val="TableText"/>
            </w:pPr>
            <w:r w:rsidRPr="001077E3">
              <w:rPr>
                <w:rFonts w:hint="cs"/>
                <w:rtl/>
              </w:rPr>
              <w:t>8.</w:t>
            </w:r>
          </w:p>
        </w:tc>
        <w:tc>
          <w:tcPr>
            <w:tcW w:w="7144" w:type="dxa"/>
            <w:gridSpan w:val="2"/>
            <w:hideMark/>
          </w:tcPr>
          <w:p w14:paraId="28460378" w14:textId="15788BB9" w:rsidR="00992FFC" w:rsidRDefault="00992FFC" w:rsidP="001077E3">
            <w:pPr>
              <w:pStyle w:val="TableBlock"/>
            </w:pPr>
            <w:r>
              <w:rPr>
                <w:rFonts w:hint="cs"/>
                <w:sz w:val="26"/>
                <w:rtl/>
              </w:rPr>
              <w:t>שר המשפטים ממונה על ביצוע חוק זה; תקנות בדבר סדרי הדין בבקשות לפי הוראות סעיף 7 יותקנו על ידי שר המשפטים, באישור ועדת החוקה</w:t>
            </w:r>
            <w:r w:rsidR="00436F6F">
              <w:rPr>
                <w:rFonts w:hint="cs"/>
                <w:sz w:val="26"/>
                <w:rtl/>
              </w:rPr>
              <w:t>,</w:t>
            </w:r>
            <w:r>
              <w:rPr>
                <w:rFonts w:hint="cs"/>
                <w:sz w:val="26"/>
                <w:rtl/>
              </w:rPr>
              <w:t xml:space="preserve"> חוק ומשפט של הכנסת, בתוך 90 ימים מיום תחילתו של חוק זה.</w:t>
            </w:r>
          </w:p>
        </w:tc>
      </w:tr>
      <w:tr w:rsidR="00992FFC" w14:paraId="6496217B" w14:textId="77777777" w:rsidTr="00441359">
        <w:trPr>
          <w:cantSplit/>
        </w:trPr>
        <w:tc>
          <w:tcPr>
            <w:tcW w:w="1871" w:type="dxa"/>
            <w:hideMark/>
          </w:tcPr>
          <w:p w14:paraId="11135E8E" w14:textId="77777777" w:rsidR="00992FFC" w:rsidRPr="001077E3" w:rsidRDefault="00992FFC" w:rsidP="001077E3">
            <w:pPr>
              <w:pStyle w:val="TableSideHeading"/>
            </w:pPr>
            <w:r w:rsidRPr="001077E3">
              <w:rPr>
                <w:rFonts w:hint="cs"/>
                <w:rtl/>
              </w:rPr>
              <w:t>תחולה</w:t>
            </w:r>
          </w:p>
        </w:tc>
        <w:tc>
          <w:tcPr>
            <w:tcW w:w="624" w:type="dxa"/>
            <w:hideMark/>
          </w:tcPr>
          <w:p w14:paraId="2F1F3A64" w14:textId="77777777" w:rsidR="00992FFC" w:rsidRPr="001077E3" w:rsidRDefault="00992FFC" w:rsidP="001077E3">
            <w:pPr>
              <w:pStyle w:val="TableText"/>
            </w:pPr>
            <w:r w:rsidRPr="001077E3">
              <w:rPr>
                <w:rFonts w:hint="cs"/>
                <w:rtl/>
              </w:rPr>
              <w:t>9.</w:t>
            </w:r>
          </w:p>
        </w:tc>
        <w:tc>
          <w:tcPr>
            <w:tcW w:w="7144" w:type="dxa"/>
            <w:gridSpan w:val="2"/>
            <w:hideMark/>
          </w:tcPr>
          <w:p w14:paraId="5C0FC8C5" w14:textId="77777777" w:rsidR="00992FFC" w:rsidRDefault="00992FFC" w:rsidP="001077E3">
            <w:pPr>
              <w:pStyle w:val="TableBlock"/>
            </w:pPr>
            <w:r>
              <w:rPr>
                <w:rFonts w:hint="cs"/>
                <w:sz w:val="26"/>
                <w:rtl/>
              </w:rPr>
              <w:t xml:space="preserve">הוראות חוק זה יחולו על כל מקרקעין מועברים, אשר הועברו החל מיום כ"ג באייר </w:t>
            </w:r>
            <w:proofErr w:type="spellStart"/>
            <w:r>
              <w:rPr>
                <w:rFonts w:hint="cs"/>
                <w:sz w:val="26"/>
                <w:rtl/>
              </w:rPr>
              <w:t>התשנ"ד</w:t>
            </w:r>
            <w:proofErr w:type="spellEnd"/>
            <w:r>
              <w:rPr>
                <w:rFonts w:hint="cs"/>
                <w:sz w:val="26"/>
                <w:rtl/>
              </w:rPr>
              <w:t xml:space="preserve"> (4 במאי 1994).</w:t>
            </w:r>
          </w:p>
        </w:tc>
      </w:tr>
    </w:tbl>
    <w:p w14:paraId="6E8F4572" w14:textId="77777777" w:rsidR="00992FFC" w:rsidRDefault="00992FFC" w:rsidP="00992FFC">
      <w:pPr>
        <w:pStyle w:val="HeadDivreiHesber"/>
        <w:spacing w:before="0" w:after="0" w:line="240" w:lineRule="auto"/>
        <w:rPr>
          <w:sz w:val="26"/>
          <w:rtl/>
        </w:rPr>
      </w:pPr>
    </w:p>
    <w:p w14:paraId="06C0E9EA" w14:textId="77777777" w:rsidR="00F252C9" w:rsidRDefault="00F252C9" w:rsidP="00992FFC">
      <w:pPr>
        <w:pStyle w:val="HeadDivreiHesber"/>
        <w:spacing w:before="0" w:after="0" w:line="480" w:lineRule="auto"/>
        <w:rPr>
          <w:sz w:val="26"/>
          <w:rtl/>
        </w:rPr>
      </w:pPr>
    </w:p>
    <w:p w14:paraId="59D50857" w14:textId="77777777" w:rsidR="00F252C9" w:rsidRDefault="00F252C9" w:rsidP="00992FFC">
      <w:pPr>
        <w:pStyle w:val="HeadDivreiHesber"/>
        <w:spacing w:before="0" w:after="0" w:line="480" w:lineRule="auto"/>
        <w:rPr>
          <w:sz w:val="26"/>
          <w:rtl/>
        </w:rPr>
      </w:pPr>
    </w:p>
    <w:p w14:paraId="0968177C" w14:textId="77777777" w:rsidR="00992FFC" w:rsidRDefault="00992FFC" w:rsidP="00992FFC">
      <w:pPr>
        <w:pStyle w:val="HeadDivreiHesber"/>
        <w:spacing w:before="0" w:after="0" w:line="480" w:lineRule="auto"/>
        <w:rPr>
          <w:sz w:val="26"/>
          <w:rtl/>
        </w:rPr>
      </w:pPr>
      <w:r>
        <w:rPr>
          <w:rFonts w:hint="cs"/>
          <w:sz w:val="26"/>
          <w:rtl/>
        </w:rPr>
        <w:t>דברי הסבר</w:t>
      </w:r>
    </w:p>
    <w:p w14:paraId="7959A744" w14:textId="77777777" w:rsidR="00992FFC" w:rsidRDefault="00992FFC" w:rsidP="00992FFC">
      <w:pPr>
        <w:pStyle w:val="Hesber"/>
        <w:rPr>
          <w:sz w:val="26"/>
          <w:rtl/>
        </w:rPr>
      </w:pPr>
      <w:r>
        <w:rPr>
          <w:rFonts w:hint="cs"/>
          <w:sz w:val="26"/>
          <w:rtl/>
        </w:rPr>
        <w:t xml:space="preserve">מטרת הצעת החוק היא מתן זכות לקבלת פיצויים לבעלי זכויות במקרקעין המצויים בשטח שהריבונות, השיפוט, </w:t>
      </w:r>
      <w:proofErr w:type="spellStart"/>
      <w:r>
        <w:rPr>
          <w:rFonts w:hint="cs"/>
          <w:sz w:val="26"/>
          <w:rtl/>
        </w:rPr>
        <w:t>המינהל</w:t>
      </w:r>
      <w:proofErr w:type="spellEnd"/>
      <w:r>
        <w:rPr>
          <w:rFonts w:hint="cs"/>
          <w:sz w:val="26"/>
          <w:rtl/>
        </w:rPr>
        <w:t>, הסמכויות או השליטה בו, הועברו לידי מדינת חוץ או לידי הרשות הפלסטינית, וזאת בדומה למנגנון המוסדר בפקודת הקרקעות (רכישה לצורכי ציבור), 1943 (להלן –הפקודה).</w:t>
      </w:r>
    </w:p>
    <w:p w14:paraId="7F72D6E2" w14:textId="365B0E36" w:rsidR="00992FFC" w:rsidRDefault="00992FFC" w:rsidP="00992FFC">
      <w:pPr>
        <w:pStyle w:val="Hesber"/>
        <w:rPr>
          <w:sz w:val="26"/>
          <w:rtl/>
        </w:rPr>
      </w:pPr>
      <w:r>
        <w:rPr>
          <w:rFonts w:hint="cs"/>
          <w:sz w:val="26"/>
          <w:rtl/>
        </w:rPr>
        <w:t>מדינת ישראל מחויבת מוסרית ומשפטית, בין השאר גם מכוח חוק-יסוד: כבוד האדם וחירותו, להגנה על קניינו של האזרח. מאידך</w:t>
      </w:r>
      <w:r w:rsidR="00436F6F">
        <w:rPr>
          <w:rFonts w:hint="cs"/>
          <w:sz w:val="26"/>
          <w:rtl/>
        </w:rPr>
        <w:t xml:space="preserve"> גיסא</w:t>
      </w:r>
      <w:r>
        <w:rPr>
          <w:rFonts w:hint="cs"/>
          <w:sz w:val="26"/>
          <w:rtl/>
        </w:rPr>
        <w:t>, קיימים בחוק מנגנונים, כגון זה הקבוע בפקודה, שמכוחם רשאית המדינה לשלול מהאזרח את קניינו, תוך הבטחת זכותו לפיצויים, כאשר נעשה הדבר לצורכי הציבור.</w:t>
      </w:r>
    </w:p>
    <w:p w14:paraId="73AA8D9D" w14:textId="31EFE2E3" w:rsidR="00992FFC" w:rsidRDefault="00992FFC" w:rsidP="00992FFC">
      <w:pPr>
        <w:pStyle w:val="Hesber"/>
        <w:rPr>
          <w:sz w:val="26"/>
          <w:rtl/>
        </w:rPr>
      </w:pPr>
      <w:r>
        <w:rPr>
          <w:rFonts w:hint="cs"/>
          <w:sz w:val="26"/>
          <w:rtl/>
        </w:rPr>
        <w:t xml:space="preserve">העברת סמכויות כלשהן </w:t>
      </w:r>
      <w:r>
        <w:rPr>
          <w:rFonts w:hint="eastAsia"/>
          <w:sz w:val="26"/>
          <w:rtl/>
        </w:rPr>
        <w:t>–</w:t>
      </w:r>
      <w:r>
        <w:rPr>
          <w:rFonts w:hint="cs"/>
          <w:sz w:val="26"/>
          <w:rtl/>
        </w:rPr>
        <w:t xml:space="preserve"> בין שהן ביטחוניות, בין שהן אזרחיות, ובין שהן אחרות – בשטח פלוני, לידי מדינת חוץ או </w:t>
      </w:r>
      <w:r w:rsidR="00436F6F">
        <w:rPr>
          <w:rFonts w:hint="cs"/>
          <w:sz w:val="26"/>
          <w:rtl/>
        </w:rPr>
        <w:t xml:space="preserve">לידי </w:t>
      </w:r>
      <w:r>
        <w:rPr>
          <w:rFonts w:hint="cs"/>
          <w:sz w:val="26"/>
          <w:rtl/>
        </w:rPr>
        <w:t>הרשות הפלסטינית, בין אם הדבר נעשה מכוח הסכם ובין אם הדבר נעשה על ידי פעולה חד-צ</w:t>
      </w:r>
      <w:r w:rsidR="00436F6F">
        <w:rPr>
          <w:rFonts w:hint="cs"/>
          <w:sz w:val="26"/>
          <w:rtl/>
        </w:rPr>
        <w:t>דדית של המדינה, חזקה עליה שיש ע</w:t>
      </w:r>
      <w:r>
        <w:rPr>
          <w:rFonts w:hint="cs"/>
          <w:sz w:val="26"/>
          <w:rtl/>
        </w:rPr>
        <w:t xml:space="preserve">מה פגיעה חמורה בקניינו של האזרח הישראלי באותו שטח, עד כדי שלילתו המוחלטת. </w:t>
      </w:r>
    </w:p>
    <w:p w14:paraId="7107C76E" w14:textId="679F40A4" w:rsidR="00992FFC" w:rsidRDefault="00992FFC" w:rsidP="003332D3">
      <w:pPr>
        <w:pStyle w:val="Hesber"/>
        <w:rPr>
          <w:sz w:val="26"/>
          <w:rtl/>
        </w:rPr>
      </w:pPr>
      <w:r>
        <w:rPr>
          <w:rFonts w:hint="cs"/>
          <w:sz w:val="26"/>
          <w:rtl/>
        </w:rPr>
        <w:t xml:space="preserve">כך גם באשר למקרקעין </w:t>
      </w:r>
      <w:r w:rsidR="00436F6F">
        <w:rPr>
          <w:rFonts w:hint="cs"/>
          <w:sz w:val="26"/>
          <w:rtl/>
        </w:rPr>
        <w:t>בלתי</w:t>
      </w:r>
      <w:r>
        <w:rPr>
          <w:rFonts w:hint="cs"/>
          <w:sz w:val="26"/>
          <w:rtl/>
        </w:rPr>
        <w:t xml:space="preserve"> מוסדרים באזור יהודה והשומרון, אשר אזרחים ישראלים רכשו והחלו ברישומם הראשון. במקרה זה, כאשר המקרקעין נמצאים בשטחים בהם הועברו סמכויות לידי הרשות הפלסטינית</w:t>
      </w:r>
      <w:r w:rsidR="00436F6F">
        <w:rPr>
          <w:rFonts w:hint="cs"/>
          <w:sz w:val="26"/>
          <w:rtl/>
        </w:rPr>
        <w:t>, נפגעו קשות אותם אזרחים, היות ש</w:t>
      </w:r>
      <w:r>
        <w:rPr>
          <w:rFonts w:hint="cs"/>
          <w:sz w:val="26"/>
          <w:rtl/>
        </w:rPr>
        <w:t>הליך הרישום נקטע באיבו, וכל זכויותיהם על השקעותיהם הרבות בעניין</w:t>
      </w:r>
      <w:r w:rsidR="00436F6F">
        <w:rPr>
          <w:rFonts w:hint="cs"/>
          <w:sz w:val="26"/>
          <w:rtl/>
        </w:rPr>
        <w:t xml:space="preserve"> ירדו לטמיון, וזאת חרף מחוי</w:t>
      </w:r>
      <w:r>
        <w:rPr>
          <w:rFonts w:hint="cs"/>
          <w:sz w:val="26"/>
          <w:rtl/>
        </w:rPr>
        <w:t>בות הרשות הפלסטינית לפי הסכמי אוסלו להקים מנגנון רי</w:t>
      </w:r>
      <w:r w:rsidR="00436F6F">
        <w:rPr>
          <w:rFonts w:hint="cs"/>
          <w:sz w:val="26"/>
          <w:rtl/>
        </w:rPr>
        <w:t>שום משותף לה ולמדינת ישראל, מחויבות אשר אינה מקו</w:t>
      </w:r>
      <w:r>
        <w:rPr>
          <w:rFonts w:hint="cs"/>
          <w:sz w:val="26"/>
          <w:rtl/>
        </w:rPr>
        <w:t>ימת על ידי הרשות הפלסטינית מ</w:t>
      </w:r>
      <w:r w:rsidR="003332D3">
        <w:rPr>
          <w:rFonts w:hint="cs"/>
          <w:sz w:val="26"/>
          <w:rtl/>
        </w:rPr>
        <w:t>זה שנים רבות</w:t>
      </w:r>
      <w:r>
        <w:rPr>
          <w:rFonts w:hint="cs"/>
          <w:sz w:val="26"/>
          <w:rtl/>
        </w:rPr>
        <w:t>.</w:t>
      </w:r>
    </w:p>
    <w:p w14:paraId="527AA97E" w14:textId="77777777" w:rsidR="00992FFC" w:rsidRDefault="00992FFC" w:rsidP="00992FFC">
      <w:pPr>
        <w:pStyle w:val="Hesber"/>
        <w:rPr>
          <w:sz w:val="26"/>
          <w:rtl/>
        </w:rPr>
      </w:pPr>
      <w:r>
        <w:rPr>
          <w:rFonts w:hint="cs"/>
          <w:sz w:val="26"/>
          <w:rtl/>
        </w:rPr>
        <w:t xml:space="preserve">לפיכך מוצע כי בכל שטח שהשליטה בו תועבר במידה כלשהי למדינת חוץ או לרשות הפלסטינית, יראו את המקרקעין המצויים באותו שטח כמקרקעין שהופקעו לצורכי ציבור, ויופעל מנגנון דומה לזה הקבוע בפקודה, לרבות זכותם של בעלי הזכויות במקרקעין לקבלת פיצויים. </w:t>
      </w:r>
    </w:p>
    <w:p w14:paraId="46C51B38" w14:textId="25D925EF" w:rsidR="00992FFC" w:rsidRDefault="00992FFC" w:rsidP="003332D3">
      <w:pPr>
        <w:pStyle w:val="Hesber"/>
        <w:rPr>
          <w:sz w:val="26"/>
          <w:rtl/>
        </w:rPr>
      </w:pPr>
      <w:r>
        <w:rPr>
          <w:rFonts w:hint="cs"/>
          <w:sz w:val="26"/>
          <w:rtl/>
        </w:rPr>
        <w:t>הוראות החוק המוצע יוחלו על שטח כאמור, על ידי פרסום הכרזה מטעם ראש הממשלה, או על ידי הכרזה של בית המשפט המחוזי בירושלים</w:t>
      </w:r>
      <w:r w:rsidR="003332D3">
        <w:rPr>
          <w:rFonts w:hint="cs"/>
          <w:sz w:val="26"/>
          <w:rtl/>
        </w:rPr>
        <w:t xml:space="preserve"> בעקבות בקשה שתוגש לו</w:t>
      </w:r>
      <w:r>
        <w:rPr>
          <w:rFonts w:hint="cs"/>
          <w:sz w:val="26"/>
          <w:rtl/>
        </w:rPr>
        <w:t xml:space="preserve"> על ידי מי שטוען לזכות בשטח כאמור ואשר היועץ המשפטי יהיה המשיב לה.</w:t>
      </w:r>
    </w:p>
    <w:p w14:paraId="12B20206" w14:textId="63995D97" w:rsidR="00992FFC" w:rsidRDefault="00992FFC" w:rsidP="00992FFC">
      <w:pPr>
        <w:pStyle w:val="Hesber"/>
        <w:rPr>
          <w:sz w:val="26"/>
          <w:rtl/>
        </w:rPr>
      </w:pPr>
      <w:r>
        <w:rPr>
          <w:rFonts w:hint="cs"/>
          <w:sz w:val="26"/>
          <w:rtl/>
        </w:rPr>
        <w:t xml:space="preserve">יצוין כי מתחולת החוק הוצאו בעלי זכויות במקרקעין אשר היו זכאים לפיצויים לפי חוקים אחרים </w:t>
      </w:r>
      <w:r>
        <w:rPr>
          <w:rFonts w:hint="eastAsia"/>
          <w:sz w:val="26"/>
          <w:rtl/>
        </w:rPr>
        <w:t>–</w:t>
      </w:r>
      <w:r w:rsidR="003332D3">
        <w:rPr>
          <w:rFonts w:hint="cs"/>
          <w:sz w:val="26"/>
          <w:rtl/>
        </w:rPr>
        <w:t xml:space="preserve"> מפוני חצי האי-סיני</w:t>
      </w:r>
      <w:r>
        <w:rPr>
          <w:rFonts w:hint="cs"/>
          <w:sz w:val="26"/>
          <w:rtl/>
        </w:rPr>
        <w:t xml:space="preserve"> ומפוני חבל עזה וצפון השומרון.</w:t>
      </w:r>
    </w:p>
    <w:p w14:paraId="7F6961CB" w14:textId="5398EDF3" w:rsidR="00E13C27" w:rsidRDefault="00992FFC" w:rsidP="00F36B06">
      <w:pPr>
        <w:pStyle w:val="Hesber"/>
        <w:rPr>
          <w:sz w:val="26"/>
          <w:rtl/>
        </w:rPr>
      </w:pPr>
      <w:r>
        <w:rPr>
          <w:rFonts w:hint="cs"/>
          <w:sz w:val="26"/>
          <w:rtl/>
        </w:rPr>
        <w:t>הצע</w:t>
      </w:r>
      <w:r w:rsidR="003332D3">
        <w:rPr>
          <w:rFonts w:hint="cs"/>
          <w:sz w:val="26"/>
          <w:rtl/>
        </w:rPr>
        <w:t>ו</w:t>
      </w:r>
      <w:r>
        <w:rPr>
          <w:rFonts w:hint="cs"/>
          <w:sz w:val="26"/>
          <w:rtl/>
        </w:rPr>
        <w:t>ת חוק זה</w:t>
      </w:r>
      <w:r w:rsidR="003332D3">
        <w:rPr>
          <w:rFonts w:hint="cs"/>
          <w:sz w:val="26"/>
          <w:rtl/>
        </w:rPr>
        <w:t>ות</w:t>
      </w:r>
      <w:r>
        <w:rPr>
          <w:rFonts w:hint="cs"/>
          <w:sz w:val="26"/>
          <w:rtl/>
        </w:rPr>
        <w:t xml:space="preserve"> הונח</w:t>
      </w:r>
      <w:r w:rsidR="003332D3">
        <w:rPr>
          <w:rFonts w:hint="cs"/>
          <w:sz w:val="26"/>
          <w:rtl/>
        </w:rPr>
        <w:t>ו</w:t>
      </w:r>
      <w:r>
        <w:rPr>
          <w:rFonts w:hint="cs"/>
          <w:sz w:val="26"/>
          <w:rtl/>
        </w:rPr>
        <w:t xml:space="preserve"> על שולחן הכנסת השמונה-עשרה על ידי חבר הכנסת אורי אריא</w:t>
      </w:r>
      <w:r w:rsidR="003332D3">
        <w:rPr>
          <w:rFonts w:hint="cs"/>
          <w:sz w:val="26"/>
          <w:rtl/>
        </w:rPr>
        <w:t>ל וקבוצת חברי הכנסת (פ/2309/18) ועל שולחן הכנסת התשע-עשרה על ידי חבר הכנסת יריב לוין (פ/1563/19).</w:t>
      </w:r>
    </w:p>
    <w:p w14:paraId="156CD17E" w14:textId="1F67D8BC" w:rsidR="003B0C39" w:rsidRDefault="003B0C39" w:rsidP="00F36B06">
      <w:pPr>
        <w:pStyle w:val="Hesber"/>
        <w:rPr>
          <w:sz w:val="26"/>
          <w:rtl/>
        </w:rPr>
      </w:pPr>
    </w:p>
    <w:p w14:paraId="0A641ED5" w14:textId="77777777" w:rsidR="003B0C39" w:rsidRDefault="003B0C39" w:rsidP="003B0C39">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3DFF74D2" w14:textId="77777777" w:rsidR="003B0C39" w:rsidRDefault="003B0C39" w:rsidP="003B0C39">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0C3172E9" w14:textId="77777777" w:rsidR="003B0C39" w:rsidRDefault="003B0C39" w:rsidP="003B0C39">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12CFD987" w14:textId="3725AF4A" w:rsidR="003B0C39" w:rsidRDefault="003B0C39" w:rsidP="00F252C9">
      <w:pPr>
        <w:ind w:left="340" w:firstLine="0"/>
        <w:rPr>
          <w:rtl/>
        </w:rPr>
      </w:pPr>
      <w:r>
        <w:rPr>
          <w:rFonts w:ascii="Arial" w:eastAsia="Arial Unicode MS" w:hAnsi="Arial" w:cs="David" w:hint="cs"/>
          <w:snapToGrid w:val="0"/>
          <w:spacing w:val="0"/>
          <w:sz w:val="20"/>
          <w:szCs w:val="26"/>
          <w:rtl/>
        </w:rPr>
        <w:t xml:space="preserve">ד'  באב </w:t>
      </w:r>
      <w:proofErr w:type="spellStart"/>
      <w:r>
        <w:rPr>
          <w:rFonts w:ascii="Arial" w:eastAsia="Arial Unicode MS" w:hAnsi="Arial" w:cs="David" w:hint="cs"/>
          <w:snapToGrid w:val="0"/>
          <w:spacing w:val="0"/>
          <w:sz w:val="20"/>
          <w:szCs w:val="26"/>
          <w:rtl/>
        </w:rPr>
        <w:t>התשע"ה</w:t>
      </w:r>
      <w:proofErr w:type="spellEnd"/>
      <w:r>
        <w:rPr>
          <w:rFonts w:ascii="Arial" w:eastAsia="Arial Unicode MS" w:hAnsi="Arial" w:cs="David" w:hint="cs"/>
          <w:snapToGrid w:val="0"/>
          <w:spacing w:val="0"/>
          <w:sz w:val="20"/>
          <w:szCs w:val="26"/>
          <w:rtl/>
        </w:rPr>
        <w:t xml:space="preserve"> – 20.7.15</w:t>
      </w:r>
    </w:p>
    <w:p w14:paraId="36A2D23A" w14:textId="77777777" w:rsidR="003B0C39" w:rsidRPr="00F36B06" w:rsidRDefault="003B0C39" w:rsidP="00F36B06">
      <w:pPr>
        <w:pStyle w:val="Hesber"/>
        <w:rPr>
          <w:sz w:val="26"/>
          <w:rtl/>
        </w:rPr>
      </w:pPr>
    </w:p>
    <w:sectPr w:rsidR="003B0C39" w:rsidRPr="00F36B0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E590F">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6338233" w14:textId="77777777" w:rsidR="00992FFC" w:rsidRDefault="00992FFC" w:rsidP="00992FFC">
      <w:pPr>
        <w:pStyle w:val="a4"/>
        <w:rPr>
          <w:rFonts w:cs="Arial Unicode MS"/>
          <w:rtl/>
        </w:rPr>
      </w:pPr>
      <w:r>
        <w:rPr>
          <w:rStyle w:val="a6"/>
        </w:rPr>
        <w:footnoteRef/>
      </w:r>
      <w:r>
        <w:rPr>
          <w:rFonts w:hint="cs"/>
          <w:sz w:val="20"/>
          <w:rtl/>
        </w:rPr>
        <w:t xml:space="preserve"> ס"ח </w:t>
      </w:r>
      <w:proofErr w:type="spellStart"/>
      <w:r>
        <w:rPr>
          <w:rFonts w:hint="cs"/>
          <w:sz w:val="20"/>
          <w:rtl/>
        </w:rPr>
        <w:t>התשכ"ג</w:t>
      </w:r>
      <w:proofErr w:type="spellEnd"/>
      <w:r>
        <w:rPr>
          <w:rFonts w:hint="cs"/>
          <w:sz w:val="20"/>
          <w:rtl/>
        </w:rPr>
        <w:t>, עמ' 156.</w:t>
      </w:r>
    </w:p>
  </w:footnote>
  <w:footnote w:id="3">
    <w:p w14:paraId="7EFF4794" w14:textId="5F3E23C6" w:rsidR="00992FFC" w:rsidRDefault="00992FFC" w:rsidP="003B0C39">
      <w:pPr>
        <w:pStyle w:val="a4"/>
      </w:pPr>
      <w:r>
        <w:rPr>
          <w:rStyle w:val="a6"/>
        </w:rPr>
        <w:footnoteRef/>
      </w:r>
      <w:r w:rsidR="00441359">
        <w:rPr>
          <w:rFonts w:hint="cs"/>
          <w:sz w:val="20"/>
          <w:rtl/>
        </w:rPr>
        <w:t xml:space="preserve"> </w:t>
      </w:r>
      <w:proofErr w:type="spellStart"/>
      <w:r w:rsidR="00441359">
        <w:rPr>
          <w:rFonts w:hint="cs"/>
          <w:sz w:val="20"/>
          <w:rtl/>
        </w:rPr>
        <w:t>ע"ר</w:t>
      </w:r>
      <w:proofErr w:type="spellEnd"/>
      <w:r w:rsidR="00441359">
        <w:rPr>
          <w:rFonts w:hint="cs"/>
          <w:sz w:val="20"/>
          <w:rtl/>
        </w:rPr>
        <w:t xml:space="preserve"> </w:t>
      </w:r>
      <w:proofErr w:type="spellStart"/>
      <w:r w:rsidR="003B0C39">
        <w:rPr>
          <w:rFonts w:hint="cs"/>
          <w:sz w:val="20"/>
          <w:rtl/>
        </w:rPr>
        <w:t>התש"ח</w:t>
      </w:r>
      <w:proofErr w:type="spellEnd"/>
      <w:r w:rsidR="00F22872">
        <w:rPr>
          <w:rFonts w:hint="cs"/>
          <w:sz w:val="20"/>
          <w:rtl/>
        </w:rPr>
        <w:t>,</w:t>
      </w:r>
      <w:r>
        <w:rPr>
          <w:rFonts w:hint="cs"/>
          <w:sz w:val="20"/>
          <w:rtl/>
        </w:rPr>
        <w:t xml:space="preserve"> </w:t>
      </w:r>
      <w:proofErr w:type="spellStart"/>
      <w:r>
        <w:rPr>
          <w:rFonts w:hint="cs"/>
          <w:sz w:val="20"/>
          <w:rtl/>
        </w:rPr>
        <w:t>תוס</w:t>
      </w:r>
      <w:proofErr w:type="spellEnd"/>
      <w:r>
        <w:rPr>
          <w:rFonts w:hint="cs"/>
          <w:sz w:val="20"/>
          <w:rtl/>
        </w:rPr>
        <w:t>' א', עמ' 1.</w:t>
      </w:r>
    </w:p>
  </w:footnote>
  <w:footnote w:id="4">
    <w:p w14:paraId="2269E33E" w14:textId="36CD4A58" w:rsidR="00992FFC" w:rsidRDefault="00992FFC" w:rsidP="003B0C39">
      <w:pPr>
        <w:pStyle w:val="a4"/>
      </w:pPr>
      <w:r>
        <w:rPr>
          <w:rStyle w:val="a6"/>
        </w:rPr>
        <w:footnoteRef/>
      </w:r>
      <w:r w:rsidR="006D3BB7">
        <w:rPr>
          <w:rFonts w:hint="cs"/>
          <w:sz w:val="20"/>
          <w:rtl/>
        </w:rPr>
        <w:t xml:space="preserve"> </w:t>
      </w:r>
      <w:proofErr w:type="spellStart"/>
      <w:r w:rsidR="006D3BB7">
        <w:rPr>
          <w:rFonts w:hint="cs"/>
          <w:sz w:val="20"/>
          <w:rtl/>
        </w:rPr>
        <w:t>ע"ר</w:t>
      </w:r>
      <w:proofErr w:type="spellEnd"/>
      <w:r w:rsidR="006D3BB7">
        <w:rPr>
          <w:rFonts w:hint="cs"/>
          <w:sz w:val="20"/>
          <w:rtl/>
        </w:rPr>
        <w:t xml:space="preserve"> </w:t>
      </w:r>
      <w:proofErr w:type="spellStart"/>
      <w:r w:rsidR="003B0C39">
        <w:rPr>
          <w:rFonts w:hint="cs"/>
          <w:sz w:val="20"/>
          <w:rtl/>
        </w:rPr>
        <w:t>התש"ח</w:t>
      </w:r>
      <w:proofErr w:type="spellEnd"/>
      <w:r>
        <w:rPr>
          <w:rFonts w:hint="cs"/>
          <w:sz w:val="20"/>
          <w:rtl/>
        </w:rPr>
        <w:t xml:space="preserve">, </w:t>
      </w:r>
      <w:proofErr w:type="spellStart"/>
      <w:r>
        <w:rPr>
          <w:rFonts w:hint="cs"/>
          <w:sz w:val="20"/>
          <w:rtl/>
        </w:rPr>
        <w:t>תוס</w:t>
      </w:r>
      <w:proofErr w:type="spellEnd"/>
      <w:r>
        <w:rPr>
          <w:rFonts w:hint="cs"/>
          <w:sz w:val="20"/>
          <w:rtl/>
        </w:rPr>
        <w:t>' א', עמ' 61.</w:t>
      </w:r>
    </w:p>
  </w:footnote>
  <w:footnote w:id="5">
    <w:p w14:paraId="533F7958" w14:textId="77777777" w:rsidR="00992FFC" w:rsidRDefault="00992FFC" w:rsidP="00992FFC">
      <w:pPr>
        <w:pStyle w:val="a4"/>
      </w:pPr>
      <w:r>
        <w:rPr>
          <w:rStyle w:val="a6"/>
        </w:rPr>
        <w:footnoteRef/>
      </w:r>
      <w:r>
        <w:rPr>
          <w:rFonts w:hint="cs"/>
          <w:sz w:val="20"/>
          <w:rtl/>
        </w:rPr>
        <w:t xml:space="preserve"> </w:t>
      </w:r>
      <w:r>
        <w:rPr>
          <w:rFonts w:hint="cs"/>
          <w:sz w:val="20"/>
          <w:rtl/>
        </w:rPr>
        <w:t xml:space="preserve">ס"ח </w:t>
      </w:r>
      <w:proofErr w:type="spellStart"/>
      <w:r>
        <w:rPr>
          <w:rFonts w:hint="cs"/>
          <w:sz w:val="20"/>
          <w:rtl/>
        </w:rPr>
        <w:t>התשס"ה</w:t>
      </w:r>
      <w:proofErr w:type="spellEnd"/>
      <w:r>
        <w:rPr>
          <w:rFonts w:hint="cs"/>
          <w:sz w:val="20"/>
          <w:rtl/>
        </w:rPr>
        <w:t>, עמ' 142.</w:t>
      </w:r>
    </w:p>
  </w:footnote>
  <w:footnote w:id="6">
    <w:p w14:paraId="451F0B2C" w14:textId="77777777" w:rsidR="00992FFC" w:rsidRDefault="00992FFC" w:rsidP="00992FFC">
      <w:pPr>
        <w:pStyle w:val="a4"/>
      </w:pPr>
      <w:r>
        <w:rPr>
          <w:rStyle w:val="a6"/>
        </w:rPr>
        <w:footnoteRef/>
      </w:r>
      <w:r>
        <w:rPr>
          <w:rFonts w:hint="cs"/>
          <w:sz w:val="20"/>
          <w:rtl/>
        </w:rPr>
        <w:t xml:space="preserve"> </w:t>
      </w:r>
      <w:r>
        <w:rPr>
          <w:rFonts w:hint="cs"/>
          <w:sz w:val="20"/>
          <w:rtl/>
        </w:rPr>
        <w:t xml:space="preserve">ס"ח </w:t>
      </w:r>
      <w:proofErr w:type="spellStart"/>
      <w:r>
        <w:rPr>
          <w:rFonts w:hint="cs"/>
          <w:sz w:val="20"/>
          <w:rtl/>
        </w:rPr>
        <w:t>התשמ"ב</w:t>
      </w:r>
      <w:proofErr w:type="spellEnd"/>
      <w:r>
        <w:rPr>
          <w:rFonts w:hint="cs"/>
          <w:sz w:val="20"/>
          <w:rtl/>
        </w:rPr>
        <w:t>, עמ' 99.</w:t>
      </w:r>
    </w:p>
  </w:footnote>
  <w:footnote w:id="7">
    <w:p w14:paraId="68B9BD52" w14:textId="77777777" w:rsidR="00441359" w:rsidRDefault="00441359" w:rsidP="00441359">
      <w:pPr>
        <w:pStyle w:val="a4"/>
      </w:pPr>
      <w:r>
        <w:rPr>
          <w:rStyle w:val="a6"/>
        </w:rPr>
        <w:footnoteRef/>
      </w:r>
      <w:r>
        <w:rPr>
          <w:rFonts w:hint="cs"/>
          <w:sz w:val="20"/>
          <w:rtl/>
        </w:rPr>
        <w:t xml:space="preserve"> </w:t>
      </w:r>
      <w:r>
        <w:rPr>
          <w:rFonts w:hint="cs"/>
          <w:sz w:val="20"/>
          <w:rtl/>
        </w:rPr>
        <w:t xml:space="preserve">ס"ח </w:t>
      </w:r>
      <w:proofErr w:type="spellStart"/>
      <w:r>
        <w:rPr>
          <w:rFonts w:hint="cs"/>
          <w:sz w:val="20"/>
          <w:rtl/>
        </w:rPr>
        <w:t>התשנ"ה</w:t>
      </w:r>
      <w:proofErr w:type="spellEnd"/>
      <w:r>
        <w:rPr>
          <w:rFonts w:hint="cs"/>
          <w:sz w:val="20"/>
          <w:rtl/>
        </w:rPr>
        <w:t>, עמ' 324.</w:t>
      </w:r>
    </w:p>
  </w:footnote>
  <w:footnote w:id="8">
    <w:p w14:paraId="52FC6788" w14:textId="20C0E1D4" w:rsidR="00992FFC" w:rsidRDefault="00992FFC" w:rsidP="003B0C39">
      <w:pPr>
        <w:pStyle w:val="a4"/>
      </w:pPr>
      <w:r>
        <w:rPr>
          <w:rStyle w:val="a6"/>
        </w:rPr>
        <w:footnoteRef/>
      </w:r>
      <w:r>
        <w:rPr>
          <w:rFonts w:hint="cs"/>
          <w:sz w:val="20"/>
          <w:rtl/>
        </w:rPr>
        <w:t xml:space="preserve"> </w:t>
      </w:r>
      <w:proofErr w:type="spellStart"/>
      <w:r>
        <w:rPr>
          <w:rFonts w:hint="cs"/>
          <w:sz w:val="20"/>
          <w:rtl/>
        </w:rPr>
        <w:t>ע"ר</w:t>
      </w:r>
      <w:proofErr w:type="spellEnd"/>
      <w:r>
        <w:rPr>
          <w:rFonts w:hint="cs"/>
          <w:sz w:val="20"/>
          <w:rtl/>
        </w:rPr>
        <w:t xml:space="preserve"> </w:t>
      </w:r>
      <w:r w:rsidR="003B0C39">
        <w:rPr>
          <w:rFonts w:hint="cs"/>
          <w:sz w:val="20"/>
          <w:rtl/>
        </w:rPr>
        <w:t>1943</w:t>
      </w:r>
      <w:r w:rsidR="00436F6F">
        <w:rPr>
          <w:rFonts w:hint="cs"/>
          <w:sz w:val="20"/>
          <w:rtl/>
        </w:rPr>
        <w:t xml:space="preserve">, </w:t>
      </w:r>
      <w:proofErr w:type="spellStart"/>
      <w:r w:rsidR="00436F6F">
        <w:rPr>
          <w:rFonts w:hint="cs"/>
          <w:sz w:val="20"/>
          <w:rtl/>
        </w:rPr>
        <w:t>תוס</w:t>
      </w:r>
      <w:proofErr w:type="spellEnd"/>
      <w:r w:rsidR="00436F6F">
        <w:rPr>
          <w:rFonts w:hint="cs"/>
          <w:sz w:val="20"/>
          <w:rtl/>
        </w:rPr>
        <w:t>' 1, עמ' (ע) 32</w:t>
      </w:r>
      <w:r w:rsidR="003B0C39">
        <w:rPr>
          <w:rFonts w:hint="cs"/>
          <w:sz w:val="20"/>
          <w:rtl/>
        </w:rPr>
        <w:t>,</w:t>
      </w:r>
      <w:r>
        <w:rPr>
          <w:rFonts w:hint="cs"/>
          <w:sz w:val="20"/>
          <w:rtl/>
        </w:rPr>
        <w:t xml:space="preserve"> (א) 44.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E590F"/>
    <w:rsid w:val="00102B6B"/>
    <w:rsid w:val="001052D4"/>
    <w:rsid w:val="0010644B"/>
    <w:rsid w:val="001077E3"/>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332D3"/>
    <w:rsid w:val="0036422C"/>
    <w:rsid w:val="003710F6"/>
    <w:rsid w:val="00386E88"/>
    <w:rsid w:val="00396585"/>
    <w:rsid w:val="003B0C39"/>
    <w:rsid w:val="003D6E38"/>
    <w:rsid w:val="003D74A0"/>
    <w:rsid w:val="004033D8"/>
    <w:rsid w:val="004073F0"/>
    <w:rsid w:val="00412A7D"/>
    <w:rsid w:val="00416B4D"/>
    <w:rsid w:val="00417CFC"/>
    <w:rsid w:val="00436F6F"/>
    <w:rsid w:val="00441359"/>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6D3BB7"/>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92FFC"/>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22872"/>
    <w:rsid w:val="00F252C9"/>
    <w:rsid w:val="00F34CBD"/>
    <w:rsid w:val="00F36B06"/>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32113262-0ADD-4BF9-91EA-CEBD0D3D5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77E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1077E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077E3"/>
    <w:rPr>
      <w:sz w:val="36"/>
      <w:szCs w:val="52"/>
    </w:rPr>
  </w:style>
  <w:style w:type="paragraph" w:customStyle="1" w:styleId="Cover3-Haknesset">
    <w:name w:val="Cover 3-Haknesset"/>
    <w:basedOn w:val="Cover1-Reshumot"/>
    <w:rsid w:val="001077E3"/>
    <w:rPr>
      <w:b/>
      <w:bCs/>
      <w:spacing w:val="60"/>
    </w:rPr>
  </w:style>
  <w:style w:type="paragraph" w:customStyle="1" w:styleId="Cover4-Date">
    <w:name w:val="Cover 4-Date"/>
    <w:basedOn w:val="a"/>
    <w:rsid w:val="001077E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1077E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077E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077E3"/>
    <w:pPr>
      <w:spacing w:before="120" w:after="120"/>
    </w:pPr>
    <w:rPr>
      <w:color w:val="FF0000"/>
      <w:w w:val="80"/>
    </w:rPr>
  </w:style>
  <w:style w:type="paragraph" w:styleId="a3">
    <w:name w:val="endnote text"/>
    <w:basedOn w:val="a"/>
    <w:semiHidden/>
    <w:rsid w:val="001077E3"/>
    <w:pPr>
      <w:ind w:left="227" w:hanging="227"/>
    </w:pPr>
    <w:rPr>
      <w:sz w:val="14"/>
      <w:szCs w:val="22"/>
    </w:rPr>
  </w:style>
  <w:style w:type="paragraph" w:customStyle="1" w:styleId="TableText">
    <w:name w:val="Table Text"/>
    <w:basedOn w:val="a"/>
    <w:rsid w:val="001077E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077E3"/>
  </w:style>
  <w:style w:type="paragraph" w:customStyle="1" w:styleId="TableBlock">
    <w:name w:val="Table Block"/>
    <w:basedOn w:val="TableText"/>
    <w:rsid w:val="001077E3"/>
    <w:pPr>
      <w:ind w:right="0"/>
      <w:jc w:val="both"/>
    </w:pPr>
  </w:style>
  <w:style w:type="paragraph" w:customStyle="1" w:styleId="TableHead">
    <w:name w:val="Table Head"/>
    <w:basedOn w:val="TableText"/>
    <w:rsid w:val="001077E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1077E3"/>
  </w:style>
  <w:style w:type="paragraph" w:customStyle="1" w:styleId="Hesber">
    <w:name w:val="Hesber"/>
    <w:basedOn w:val="a"/>
    <w:rsid w:val="001077E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1077E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1077E3"/>
    <w:rPr>
      <w:vertAlign w:val="superscript"/>
    </w:rPr>
  </w:style>
  <w:style w:type="paragraph" w:customStyle="1" w:styleId="HesberHeading">
    <w:name w:val="Hesber Heading"/>
    <w:basedOn w:val="Hesber"/>
    <w:rsid w:val="001077E3"/>
    <w:pPr>
      <w:tabs>
        <w:tab w:val="left" w:pos="624"/>
        <w:tab w:val="left" w:pos="1247"/>
      </w:tabs>
      <w:ind w:firstLine="0"/>
    </w:pPr>
    <w:rPr>
      <w:b/>
      <w:bCs/>
    </w:rPr>
  </w:style>
  <w:style w:type="paragraph" w:customStyle="1" w:styleId="HesberWriters">
    <w:name w:val="Hesber Writers"/>
    <w:basedOn w:val="Hesber"/>
    <w:rsid w:val="001077E3"/>
    <w:pPr>
      <w:spacing w:before="120" w:after="6000"/>
      <w:ind w:left="1418" w:firstLine="0"/>
      <w:jc w:val="right"/>
    </w:pPr>
    <w:rPr>
      <w:b/>
      <w:bCs/>
    </w:rPr>
  </w:style>
  <w:style w:type="paragraph" w:customStyle="1" w:styleId="Hesber1st">
    <w:name w:val="Hesber 1st"/>
    <w:basedOn w:val="Hesber"/>
    <w:rsid w:val="001077E3"/>
    <w:pPr>
      <w:tabs>
        <w:tab w:val="left" w:pos="680"/>
        <w:tab w:val="left" w:pos="1020"/>
      </w:tabs>
      <w:ind w:firstLine="0"/>
    </w:pPr>
  </w:style>
  <w:style w:type="character" w:styleId="a7">
    <w:name w:val="endnote reference"/>
    <w:basedOn w:val="a0"/>
    <w:semiHidden/>
    <w:rsid w:val="001077E3"/>
    <w:rPr>
      <w:vertAlign w:val="superscript"/>
    </w:rPr>
  </w:style>
  <w:style w:type="paragraph" w:customStyle="1" w:styleId="TableBlockOutdent">
    <w:name w:val="Table BlockOutdent"/>
    <w:basedOn w:val="TableBlock"/>
    <w:rsid w:val="001077E3"/>
    <w:pPr>
      <w:ind w:left="624" w:hanging="624"/>
    </w:pPr>
  </w:style>
  <w:style w:type="paragraph" w:styleId="a8">
    <w:name w:val="header"/>
    <w:basedOn w:val="a"/>
    <w:rsid w:val="001077E3"/>
    <w:pPr>
      <w:tabs>
        <w:tab w:val="center" w:pos="4153"/>
        <w:tab w:val="right" w:pos="8306"/>
      </w:tabs>
    </w:pPr>
  </w:style>
  <w:style w:type="paragraph" w:styleId="a9">
    <w:name w:val="footer"/>
    <w:basedOn w:val="a"/>
    <w:rsid w:val="001077E3"/>
    <w:pPr>
      <w:tabs>
        <w:tab w:val="center" w:pos="4153"/>
        <w:tab w:val="right" w:pos="8306"/>
      </w:tabs>
    </w:pPr>
  </w:style>
  <w:style w:type="paragraph" w:customStyle="1" w:styleId="HeadDivreiHesber">
    <w:name w:val="Head DivreiHesber"/>
    <w:basedOn w:val="a"/>
    <w:rsid w:val="001077E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1077E3"/>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077E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992FF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871497">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62329-3AD7-48E7-96F3-5C4507F00766}"/>
</file>

<file path=customXml/itemProps2.xml><?xml version="1.0" encoding="utf-8"?>
<ds:datastoreItem xmlns:ds="http://schemas.openxmlformats.org/officeDocument/2006/customXml" ds:itemID="{88F4AFE3-9455-419C-8851-785A55F4451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3539E25A-622B-455E-9E81-450902E05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1086</Words>
  <Characters>5521</Characters>
  <Application>Microsoft Office Word</Application>
  <DocSecurity>4</DocSecurity>
  <Lines>262</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2015-07-16T06:09:00Z</cp:lastPrinted>
  <dcterms:created xsi:type="dcterms:W3CDTF">2018-01-18T11:08:00Z</dcterms:created>
  <dcterms:modified xsi:type="dcterms:W3CDTF">2018-01-18T11:08:00Z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2064111</vt:r8>
  </property>
</Properties>
</file>